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Probatio Systemica &amp; Provolution: A Systematic, Quantified Framework for Climate Transformation</w:t>
      </w:r>
    </w:p>
    <w:p/>
    <w:p>
      <w:r/>
      <w:r>
        <w:rPr>
          <w:b/>
        </w:rPr>
        <w:t>Draft v0.1 — 2026-04-18</w:t>
      </w:r>
      <w:r/>
    </w:p>
    <w:p/>
    <w:p>
      <w:r>
        <w:t>──────────────────────────────────────────────────</w:t>
      </w:r>
    </w:p>
    <w:p/>
    <w:p>
      <w:r/>
      <w:r>
        <w:rPr>
          <w:b/>
        </w:rPr>
        <w:t>[Author details removed for blind peer review]</w:t>
      </w:r>
      <w:r/>
    </w:p>
    <w:p>
      <w:r>
        <w:t>──────────────────────────────────────────────────</w:t>
      </w:r>
    </w:p>
    <w:p/>
    <w:p>
      <w:pPr>
        <w:pStyle w:val="Heading2"/>
      </w:pPr>
      <w:r>
        <w:t>Abstract</w:t>
      </w:r>
    </w:p>
    <w:p/>
    <w:p>
      <w:r>
        <w:t xml:space="preserve">Current climate mitigation strategies suffer from fragmentation, inconsistency, and a lack of systematic, cross-domain verification. We present </w:t>
      </w:r>
      <w:r>
        <w:rPr>
          <w:b/>
        </w:rPr>
        <w:t>Probatio Systemica</w:t>
      </w:r>
      <w:r>
        <w:t xml:space="preserve">, a mathematically grounded framework for the systemic verification of climate measures, and its normative application </w:t>
      </w:r>
      <w:r>
        <w:rPr>
          <w:b/>
        </w:rPr>
        <w:t>Provolution</w:t>
      </w:r>
      <w:r>
        <w:t xml:space="preserve">, comprising n = 40 quantified climate transformation applications across ten domains. The framework is built on the </w:t>
      </w:r>
      <w:r>
        <w:rPr>
          <w:b/>
        </w:rPr>
        <w:t>SEC Principle</w:t>
      </w:r>
      <w:r>
        <w:t xml:space="preserve"> — every measure must be Sufficient (W(M) ≥ W_min), Efficient (min R(M) subject to W(M) ≥ W_min), and Consistent (¬∃ M_i ⊥ M_j) — formalized through a weighted composite score SEC(M) = 0.5·S(M) + 0.3·E(M) + 0.2·C(M). Applied to 40 climate measures spanning governance, circular economy, energy, food, education, technology, monitoring, meta-framework, mobility, and construction domains, the framework yields an average SEC score of 0.914 (range 0.88–1.00) and an aggregate CO₂ mitigation potential of −58.0 Gt/year, exceeding current global emissions of 55 Gt/year (105%) — providing net-negative potential through active carbon sequestration. An integrated agentic layer quantifies AI-agent enhancement potential at an average +8.7% SEC improvement across all applications, using conservative automation confidence factors (α ∈ [0.70, 0.95]). The framework is explicitly falsifiable, fully documented, and available as open-source. It offers the first unified, domain-spanning, mathematically consistent methodology for prioritizing, validating, and scaling climate measures under resource constraints.</w:t>
      </w:r>
    </w:p>
    <w:p/>
    <w:p>
      <w:r/>
      <w:r>
        <w:rPr>
          <w:b/>
        </w:rPr>
        <w:t>Keywords:</w:t>
      </w:r>
      <w:r>
        <w:t xml:space="preserve"> climate transformation, SEC principle, systems framework, climate policy, decision support, circular economy, renewable energy, agentic AI, quantified climate action</w:t>
      </w:r>
    </w:p>
    <w:p/>
    <w:p>
      <w:r>
        <w:t>──────────────────────────────────────────────────</w:t>
      </w:r>
    </w:p>
    <w:p/>
    <w:p>
      <w:pPr>
        <w:pStyle w:val="Heading2"/>
      </w:pPr>
      <w:r>
        <w:t>1. Introduction</w:t>
      </w:r>
    </w:p>
    <w:p/>
    <w:p>
      <w:pPr>
        <w:pStyle w:val="Heading3"/>
      </w:pPr>
      <w:r>
        <w:t>1.1 The Problem: Fragmented Climate Action</w:t>
      </w:r>
    </w:p>
    <w:p/>
    <w:p>
      <w:r>
        <w:t>The global climate challenge is characterized by urgency, complexity, and coordination failure. As of 2025, global CO₂-equivalent emissions stand at approximately 55 Gt/year [1], while current nationally determined contributions (NDCs) under the Paris Agreement [5] are projected to result in approximately 2.5–2.9°C of warming by 2100 — well above the 1.5°C threshold at which major Earth system tipping points are activated [3,4].</w:t>
      </w:r>
    </w:p>
    <w:p/>
    <w:p>
      <w:r>
        <w:t>The dominant characteristic of current climate action is fragmentation. Thousands of individual policies, technologies, and initiatives operate in parallel without a shared verification standard, without systematic cross-domain coordination, and without a unified framework for evaluating trade-offs under resource constraints. The result is allocation inefficiency: resources flow to politically salient or commercially attractive measures rather than to those with the highest verifiable impact per resource unit.</w:t>
      </w:r>
    </w:p>
    <w:p/>
    <w:p>
      <w:r>
        <w:t>Three structural problems underlie this fragmentation:</w:t>
      </w:r>
    </w:p>
    <w:p/>
    <w:p>
      <w:r/>
      <w:r>
        <w:rPr>
          <w:b/>
        </w:rPr>
        <w:t>1. Absence of a universal verification standard.</w:t>
      </w:r>
      <w:r>
        <w:t xml:space="preserve"> Climate measures are evaluated using heterogeneous methodologies — life-cycle assessment (LCA), cost-benefit analysis (CBA), multi-criteria analysis (MCA), or narrative policy evaluation — that are not mutually comparable. A measure deemed "effective" under one methodology may fail under another.</w:t>
      </w:r>
    </w:p>
    <w:p/>
    <w:p>
      <w:r/>
      <w:r>
        <w:rPr>
          <w:b/>
        </w:rPr>
        <w:t>2. Cross-domain inconsistency.</w:t>
      </w:r>
      <w:r>
        <w:t xml:space="preserve"> Measures that are individually valid may create systemic contradictions when implemented simultaneously. Afforestation programmes may conflict with bioenergy land use; carbon pricing may undermine just-transition objectives; smart grid investments may strand fossil backup infrastructure prematurely. No existing framework systematically tests for such contradictions across domains.</w:t>
      </w:r>
    </w:p>
    <w:p/>
    <w:p>
      <w:r/>
      <w:r>
        <w:rPr>
          <w:b/>
        </w:rPr>
        <w:t>3. Lack of falsifiability.</w:t>
      </w:r>
      <w:r>
        <w:t xml:space="preserve"> Most climate frameworks — including prominent scenario pathways such as IEA Net Zero 2050 [2] and IPCC mitigation scenarios [1] — are not designed as falsifiable scientific theories in the Popperian sense [6]. They offer projections, not verifiable predictions, and do not specify the conditions under which the framework itself should be revised or abandoned.</w:t>
      </w:r>
    </w:p>
    <w:p/>
    <w:p>
      <w:pPr>
        <w:pStyle w:val="Heading3"/>
      </w:pPr>
      <w:r>
        <w:t>1.2 Existing Approaches and Their Limitations</w:t>
      </w:r>
    </w:p>
    <w:p/>
    <w:p>
      <w:r>
        <w:t>Several frameworks exist for evaluating climate measures at scale. The IPCC Sixth Assessment Report (AR6) [1] provides authoritative scenario analysis across mitigation pathways but does not prescribe or rank specific measures, and its outputs are probabilistic projections rather than actionable decision tools. The IEA Net Zero by 2050 roadmap [2] identifies 400 milestones but does not provide a unified scoring methodology or cross-domain consistency check. Project Drawdown [7] quantifies the CO₂ impact of individual solutions but treats them as independent and additive, ignoring interaction effects.</w:t>
      </w:r>
    </w:p>
    <w:p/>
    <w:p>
      <w:r>
        <w:t>At the organizational level, approaches such as Science-Based Targets (SBTi) [11] and the GHG Protocol [9] provide measurement standards for specific scopes of emissions but do not address the challenge of prioritizing measures across domains under shared resource constraints.</w:t>
      </w:r>
    </w:p>
    <w:p/>
    <w:p>
      <w:pPr>
        <w:pStyle w:val="Heading3"/>
      </w:pPr>
      <w:r>
        <w:t>1.3 Contribution of This Work</w:t>
      </w:r>
    </w:p>
    <w:p/>
    <w:p>
      <w:r>
        <w:t>This paper introduces two nested contributions:</w:t>
      </w:r>
    </w:p>
    <w:p/>
    <w:p>
      <w:r/>
      <w:r>
        <w:rPr>
          <w:b/>
        </w:rPr>
        <w:t>Probatio Systemica</w:t>
      </w:r>
      <w:r>
        <w:t xml:space="preserve"> — a framework-level, mathematically neutral methodology for the verification of systemic measures. Probatio Systemica is not specific to climate; it provides a universal verification procedure applicable to any multi-dimensional intervention problem.</w:t>
      </w:r>
    </w:p>
    <w:p/>
    <w:p>
      <w:r/>
      <w:r>
        <w:rPr>
          <w:b/>
        </w:rPr>
        <w:t>Provolution</w:t>
      </w:r>
      <w:r>
        <w:t xml:space="preserve"> — the normative, climate-specific application of Probatio Systemica, comprising 40 quantified applications across 10 domains, with explicit SEC scores, CO₂ impact estimates, resource requirements, scaling roadmaps, and case study validation.</w:t>
      </w:r>
    </w:p>
    <w:p/>
    <w:p>
      <w:r>
        <w:t>The combined framework addresses the three structural problems identified above: it provides a universal verification standard (the SEC Principle and its mathematical formalization), systematically tests for cross-domain consistency as a first-class criterion, and is explicitly designed to be falsifiable through defined falsification scenarios.</w:t>
      </w:r>
    </w:p>
    <w:p/>
    <w:p>
      <w:r>
        <w:t>──────────────────────────────────────────────────</w:t>
      </w:r>
    </w:p>
    <w:p/>
    <w:p>
      <w:pPr>
        <w:pStyle w:val="Heading2"/>
      </w:pPr>
      <w:r>
        <w:t>2. Theoretical Framework: Probatio Systemica</w:t>
      </w:r>
    </w:p>
    <w:p/>
    <w:p>
      <w:pPr>
        <w:pStyle w:val="Heading3"/>
      </w:pPr>
      <w:r>
        <w:t>2.1 Foundations</w:t>
      </w:r>
    </w:p>
    <w:p/>
    <w:p>
      <w:r/>
      <w:r>
        <w:rPr>
          <w:b/>
        </w:rPr>
        <w:t>Probatio Systemica</w:t>
      </w:r>
      <w:r>
        <w:t xml:space="preserve"> (from Latin: </w:t>
      </w:r>
      <w:r>
        <w:rPr>
          <w:i/>
        </w:rPr>
        <w:t>probatio</w:t>
      </w:r>
      <w:r>
        <w:t xml:space="preserve"> — proof, verification; </w:t>
      </w:r>
      <w:r>
        <w:rPr>
          <w:i/>
        </w:rPr>
        <w:t>systemica</w:t>
      </w:r>
      <w:r>
        <w:t xml:space="preserve"> — systemic) is defined as a permanently self-adjusting, self-limiting verification framework that is:</w:t>
      </w:r>
    </w:p>
    <w:p/>
    <w:p>
      <w:pPr>
        <w:pStyle w:val="ListBullet"/>
      </w:pPr>
      <w:r/>
      <w:r>
        <w:rPr>
          <w:b/>
        </w:rPr>
        <w:t>Neutral and descriptive:</w:t>
      </w:r>
      <w:r>
        <w:t xml:space="preserve"> It specifies conditions that measures must satisfy, without prescribing which measures are desirable.</w:t>
      </w:r>
    </w:p>
    <w:p>
      <w:pPr>
        <w:pStyle w:val="ListBullet"/>
      </w:pPr>
      <w:r/>
      <w:r>
        <w:rPr>
          <w:b/>
        </w:rPr>
        <w:t>Mathematically grounded:</w:t>
      </w:r>
      <w:r>
        <w:t xml:space="preserve"> All verification criteria are formalized through quantitative conditions.</w:t>
      </w:r>
    </w:p>
    <w:p>
      <w:pPr>
        <w:pStyle w:val="ListBullet"/>
      </w:pPr>
      <w:r/>
      <w:r>
        <w:rPr>
          <w:b/>
        </w:rPr>
        <w:t>Universally applicable:</w:t>
      </w:r>
      <w:r>
        <w:t xml:space="preserve"> It is not culture-bound or domain-specific.</w:t>
      </w:r>
    </w:p>
    <w:p>
      <w:pPr>
        <w:pStyle w:val="ListBullet"/>
      </w:pPr>
      <w:r/>
      <w:r>
        <w:rPr>
          <w:b/>
        </w:rPr>
        <w:t>Falsifiable by design:</w:t>
      </w:r>
      <w:r>
        <w:t xml:space="preserve"> The framework specifies the precise conditions under which it would be falsified.</w:t>
      </w:r>
    </w:p>
    <w:p/>
    <w:p>
      <w:r>
        <w:t xml:space="preserve">The core construct is the </w:t>
      </w:r>
      <w:r>
        <w:rPr>
          <w:b/>
        </w:rPr>
        <w:t>SEC Principle</w:t>
      </w:r>
      <w:r>
        <w:t>, which defines three necessary conditions for a measure M to be verified (probated).</w:t>
      </w:r>
    </w:p>
    <w:p/>
    <w:p>
      <w:pPr>
        <w:pStyle w:val="Heading3"/>
      </w:pPr>
      <w:r>
        <w:t>2.2 The SEC Principle</w:t>
      </w:r>
    </w:p>
    <w:p/>
    <w:p>
      <w:pPr>
        <w:pStyle w:val="Heading4"/>
      </w:pPr>
      <w:r>
        <w:t>2.2.1 S — Sufficient</w:t>
      </w:r>
    </w:p>
    <w:p/>
    <w:p>
      <w:r/>
      <w:r>
        <w:rPr>
          <w:b/>
        </w:rPr>
        <w:t>Definition:</w:t>
      </w:r>
      <w:r>
        <w:t xml:space="preserve"> A measure M is sufficient if and only if its effect W(M) meets or exceeds the minimum required effect W_min.</w:t>
      </w:r>
    </w:p>
    <w:p/>
    <w:p>
      <w:r/>
      <w:r>
        <w:rPr>
          <w:b/>
        </w:rPr>
        <w:t>Formalization:</w:t>
      </w:r>
      <w:r/>
    </w:p>
    <w:p>
      <w:pPr>
        <w:pStyle w:val="NoSpacing"/>
      </w:pPr>
      <w:r>
        <w:rPr>
          <w:rFonts w:ascii="Courier New" w:hAnsi="Courier New"/>
          <w:sz w:val="18"/>
        </w:rPr>
        <w:t>∀ M ∈ Measures: Probatio(M) → W(M) ≥ W_min</w:t>
      </w:r>
    </w:p>
    <w:p/>
    <w:p>
      <w:r>
        <w:t>Where W(M) is the impact vector of measure M, and W_min is the context-specific minimum impact threshold. In multi-dimensional contexts, W(M) is a vector and sufficiency is evaluated dimension-by-dimension or through a normalized aggregate.</w:t>
      </w:r>
    </w:p>
    <w:p/>
    <w:p>
      <w:r/>
      <w:r>
        <w:rPr>
          <w:b/>
        </w:rPr>
        <w:t>Rationale:</w:t>
      </w:r>
      <w:r>
        <w:t xml:space="preserve"> A measure that fails to achieve the minimum required impact is useless regardless of its efficiency or consistency. Sufficiency is a necessary, not sufficient, condition for verification.</w:t>
      </w:r>
    </w:p>
    <w:p/>
    <w:p>
      <w:pPr>
        <w:pStyle w:val="Heading4"/>
      </w:pPr>
      <w:r>
        <w:t>2.2.2 E — Efficient</w:t>
      </w:r>
    </w:p>
    <w:p/>
    <w:p>
      <w:r/>
      <w:r>
        <w:rPr>
          <w:b/>
        </w:rPr>
        <w:t>Definition:</w:t>
      </w:r>
      <w:r>
        <w:t xml:space="preserve"> A measure M is efficient if it minimizes resource consumption R(M) while satisfying the sufficiency condition.</w:t>
      </w:r>
    </w:p>
    <w:p/>
    <w:p>
      <w:r/>
      <w:r>
        <w:rPr>
          <w:b/>
        </w:rPr>
        <w:t>Formalization:</w:t>
      </w:r>
      <w:r/>
    </w:p>
    <w:p>
      <w:pPr>
        <w:pStyle w:val="NoSpacing"/>
      </w:pPr>
      <w:r>
        <w:rPr>
          <w:rFonts w:ascii="Courier New" w:hAnsi="Courier New"/>
          <w:sz w:val="18"/>
        </w:rPr>
        <w:t>min R(M) subject to W(M) ≥ W_min</w:t>
      </w:r>
    </w:p>
    <w:p/>
    <w:p>
      <w:r>
        <w:t>Efficiency is evaluated only among measures that are already sufficient. The optimal measure is that which achieves W_min at minimum resource cost.</w:t>
      </w:r>
    </w:p>
    <w:p/>
    <w:p>
      <w:r/>
      <w:r>
        <w:rPr>
          <w:b/>
        </w:rPr>
        <w:t>Rationale:</w:t>
      </w:r>
      <w:r>
        <w:t xml:space="preserve"> Under climate urgency and constrained global capital (estimated €3–5 trillion/year required [2]), the efficiency criterion ensures that resources flow to measures with the highest impact-to-resource ratio.</w:t>
      </w:r>
    </w:p>
    <w:p/>
    <w:p>
      <w:pPr>
        <w:pStyle w:val="Heading4"/>
      </w:pPr>
      <w:r>
        <w:t>2.2.3 C — Consistent</w:t>
      </w:r>
    </w:p>
    <w:p/>
    <w:p>
      <w:r/>
      <w:r>
        <w:rPr>
          <w:b/>
        </w:rPr>
        <w:t>Definition:</w:t>
      </w:r>
      <w:r>
        <w:t xml:space="preserve"> A measure M is consistent if it creates no systemic contradictions with other measures in the implementation set.</w:t>
      </w:r>
    </w:p>
    <w:p/>
    <w:p>
      <w:r/>
      <w:r>
        <w:rPr>
          <w:b/>
        </w:rPr>
        <w:t>Formalization:</w:t>
      </w:r>
      <w:r/>
    </w:p>
    <w:p>
      <w:pPr>
        <w:pStyle w:val="NoSpacing"/>
      </w:pPr>
      <w:r>
        <w:rPr>
          <w:rFonts w:ascii="Courier New" w:hAnsi="Courier New"/>
          <w:sz w:val="18"/>
        </w:rPr>
        <w:t>∀ M_i, M_j ∈ Measures: ¬(M_i ⊥ M_j)</w:t>
      </w:r>
    </w:p>
    <w:p/>
    <w:p>
      <w:r>
        <w:t>Where M_i ⊥ M_j denotes a systemic contradiction — a state in which the implementation of M_i reduces the effectiveness of M_j, or vice versa, below acceptable bounds.</w:t>
      </w:r>
    </w:p>
    <w:p/>
    <w:p>
      <w:r/>
      <w:r>
        <w:rPr>
          <w:b/>
        </w:rPr>
        <w:t>Rationale:</w:t>
      </w:r>
      <w:r>
        <w:t xml:space="preserve"> Climate transformation requires simultaneous implementation of measures across domains. Consistency as a first-class verification criterion prevents the systemic contradictions that plague fragmented approaches (e.g., afforestation-bioenergy land conflict, carbon pricing-equity conflicts).</w:t>
      </w:r>
    </w:p>
    <w:p/>
    <w:p>
      <w:pPr>
        <w:pStyle w:val="Heading3"/>
      </w:pPr>
      <w:r>
        <w:t>2.3 The Probatio Logic (Verification Procedure)</w:t>
      </w:r>
    </w:p>
    <w:p/>
    <w:p>
      <w:r>
        <w:t>Verification (Probatio) is the procedure that determines whether a proposed measure satisfies the SEC conditions:</w:t>
      </w:r>
    </w:p>
    <w:p/>
    <w:p>
      <w:pPr>
        <w:pStyle w:val="NoSpacing"/>
      </w:pPr>
      <w:r>
        <w:rPr>
          <w:rFonts w:ascii="Courier New" w:hAnsi="Courier New"/>
          <w:sz w:val="18"/>
        </w:rPr>
        <w:t>Probatio(M) = Sufficient(M) ∧ Efficient(M) ∧ Consistent(M)</w:t>
        <w:br/>
        <w:br/>
        <w:t>If Probatio(M) = TRUE  → M is verified; eligible for implementation</w:t>
        <w:br/>
        <w:t>If Probatio(M) = FALSE → M is rejected or returned for modification</w:t>
      </w:r>
    </w:p>
    <w:p/>
    <w:p>
      <w:r>
        <w:t>The procedure proceeds sequentially: a measure failing the sufficiency test is rejected outright, without evaluating efficiency or consistency. This ordering reflects the logical priority of impact over optimization.</w:t>
      </w:r>
    </w:p>
    <w:p/>
    <w:p>
      <w:pPr>
        <w:pStyle w:val="Heading3"/>
      </w:pPr>
      <w:r>
        <w:t>2.4 The Zero-Point Principle</w:t>
      </w:r>
    </w:p>
    <w:p/>
    <w:p>
      <w:r>
        <w:t xml:space="preserve">The </w:t>
      </w:r>
      <w:r>
        <w:rPr>
          <w:b/>
        </w:rPr>
        <w:t>Zero-Point Principle</w:t>
      </w:r>
      <w:r>
        <w:t xml:space="preserve"> defines the reference state against which measures are evaluated: the state of the system if no intervention occurs (the counterfactual baseline). All impact estimates W(M) are measured relative to this zero-point trajectory, ensuring comparability across measures and preventing double-counting.</w:t>
      </w:r>
    </w:p>
    <w:p/>
    <w:p>
      <w:r>
        <w:t>In the Provolution application, the zero-point is defined as a business-as-usual emissions trajectory of ~55 Gt CO₂eq/year, with no structural policy change.</w:t>
      </w:r>
    </w:p>
    <w:p/>
    <w:p>
      <w:pPr>
        <w:pStyle w:val="Heading3"/>
      </w:pPr>
      <w:r>
        <w:t>2.5 Distinction: Framework vs. Application</w:t>
      </w:r>
    </w:p>
    <w:p/>
    <w:p>
      <w:r>
        <w:t>A critical design feature of Probatio Systemica is its separation into two levels: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Component</w:t>
            </w:r>
          </w:p>
        </w:tc>
        <w:tc>
          <w:tcPr>
            <w:tcW w:type="dxa" w:w="2880"/>
          </w:tcPr>
          <w:p>
            <w:r>
              <w:rPr>
                <w:b/>
              </w:rPr>
              <w:t>Character</w:t>
            </w:r>
          </w:p>
        </w:tc>
      </w:tr>
      <w:tr>
        <w:tc>
          <w:tcPr>
            <w:tcW w:type="dxa" w:w="2880"/>
          </w:tcPr>
          <w:p>
            <w:r>
              <w:t>Framework</w:t>
            </w:r>
          </w:p>
        </w:tc>
        <w:tc>
          <w:tcPr>
            <w:tcW w:type="dxa" w:w="2880"/>
          </w:tcPr>
          <w:p>
            <w:r>
              <w:t>Probatio Systemica (Volumes 1–3)</w:t>
            </w:r>
          </w:p>
        </w:tc>
        <w:tc>
          <w:tcPr>
            <w:tcW w:type="dxa" w:w="2880"/>
          </w:tcPr>
          <w:p>
            <w:r>
              <w:t>Neutral, descriptive, mathematical</w:t>
            </w:r>
          </w:p>
        </w:tc>
      </w:tr>
      <w:tr>
        <w:tc>
          <w:tcPr>
            <w:tcW w:type="dxa" w:w="2880"/>
          </w:tcPr>
          <w:p>
            <w:r>
              <w:t>Application</w:t>
            </w:r>
          </w:p>
        </w:tc>
        <w:tc>
          <w:tcPr>
            <w:tcW w:type="dxa" w:w="2880"/>
          </w:tcPr>
          <w:p>
            <w:r>
              <w:t>Provolution (Volumes 4–5)</w:t>
            </w:r>
          </w:p>
        </w:tc>
        <w:tc>
          <w:tcPr>
            <w:tcW w:type="dxa" w:w="2880"/>
          </w:tcPr>
          <w:p>
            <w:r>
              <w:t>Normative, goal-directed, climate-specific</w:t>
            </w:r>
          </w:p>
        </w:tc>
      </w:tr>
    </w:tbl>
    <w:p/>
    <w:p/>
    <w:p>
      <w:r>
        <w:t>This separation allows the framework to be applied to other domains without modification, while the application layer carries explicit normative commitments (e.g., the 1.5°C target, justice principles). The weighting of the SEC score (discussed in Section 3) reflects these normative commitments at the application level and is explicitly debatable.</w:t>
      </w:r>
    </w:p>
    <w:p/>
    <w:p>
      <w:r>
        <w:t>──────────────────────────────────────────────────</w:t>
      </w:r>
    </w:p>
    <w:p/>
    <w:p>
      <w:pPr>
        <w:pStyle w:val="Heading2"/>
      </w:pPr>
      <w:r>
        <w:t>3. Mathematical Formalization</w:t>
      </w:r>
    </w:p>
    <w:p/>
    <w:p>
      <w:pPr>
        <w:pStyle w:val="Heading3"/>
      </w:pPr>
      <w:r>
        <w:t>3.1 The SEC Score</w:t>
      </w:r>
    </w:p>
    <w:p/>
    <w:p>
      <w:r>
        <w:t>The SEC Score operationalizes the SEC Principle as a scalar quantity for ranking and comparison. In the Provolution application, the score is defined as:</w:t>
      </w:r>
    </w:p>
    <w:p/>
    <w:p>
      <w:pPr>
        <w:pStyle w:val="NoSpacing"/>
      </w:pPr>
      <w:r>
        <w:rPr>
          <w:rFonts w:ascii="Courier New" w:hAnsi="Courier New"/>
          <w:sz w:val="18"/>
        </w:rPr>
        <w:t>SEC(M) = 0.5 · S(M) + 0.3 · E(M) + 0.2 · C(M)</w:t>
      </w:r>
    </w:p>
    <w:p/>
    <w:p>
      <w:r>
        <w:t>Where the weights reflect the normative priorities of the Provolution application: under climate urgency, impact (S) is weighted highest; efficiency (E) is weighted second; consistency (C) is treated as a binary condition normalized to a scalar weight.</w:t>
      </w:r>
    </w:p>
    <w:p/>
    <w:p>
      <w:r/>
      <w:r>
        <w:rPr>
          <w:b/>
        </w:rPr>
        <w:t>Component definitions:</w:t>
      </w:r>
      <w:r/>
    </w:p>
    <w:p/>
    <w:p>
      <w:pPr>
        <w:pStyle w:val="NoSpacing"/>
      </w:pPr>
      <w:r>
        <w:rPr>
          <w:rFonts w:ascii="Courier New" w:hAnsi="Courier New"/>
          <w:sz w:val="18"/>
        </w:rPr>
        <w:t>S(M) = W(M) / W_min          [Sufficiency ratio; capped at 1.0 for scoring]</w:t>
        <w:br/>
        <w:t>E(M) = 1 − R(M) / R_max      [Efficiency: inverse resource fraction]</w:t>
        <w:br/>
        <w:t>C(M) = 1  if no contradictions</w:t>
        <w:br/>
        <w:t xml:space="preserve">       0  otherwise           [Consistency: binary, dimension-specific]</w:t>
      </w:r>
    </w:p>
    <w:p/>
    <w:p>
      <w:r/>
      <w:r>
        <w:rPr>
          <w:b/>
        </w:rPr>
        <w:t>Interpretation thresholds:</w:t>
      </w:r>
      <w:r/>
    </w:p>
    <w:p/>
    <w:tbl>
      <w:tblPr>
        <w:tblStyle w:val="TableGrid"/>
        <w:tblW w:type="auto" w:w="0"/>
        <w:tblLook w:firstColumn="1" w:firstRow="1" w:lastColumn="0" w:lastRow="0" w:noHBand="0" w:noVBand="1" w:val="04A0"/>
      </w:tblPr>
      <w:tblGrid>
        <w:gridCol w:w="4320"/>
        <w:gridCol w:w="4320"/>
      </w:tblGrid>
      <w:tr>
        <w:tc>
          <w:tcPr>
            <w:tcW w:type="dxa" w:w="4320"/>
          </w:tcPr>
          <w:p>
            <w:r>
              <w:rPr>
                <w:b/>
              </w:rPr>
              <w:t>SEC Score</w:t>
            </w:r>
          </w:p>
        </w:tc>
        <w:tc>
          <w:tcPr>
            <w:tcW w:type="dxa" w:w="4320"/>
          </w:tcPr>
          <w:p>
            <w:r>
              <w:rPr>
                <w:b/>
              </w:rPr>
              <w:t>Classification</w:t>
            </w:r>
          </w:p>
        </w:tc>
      </w:tr>
      <w:tr>
        <w:tc>
          <w:tcPr>
            <w:tcW w:type="dxa" w:w="4320"/>
          </w:tcPr>
          <w:p>
            <w:r>
              <w:t>≥ 0.90</w:t>
            </w:r>
          </w:p>
        </w:tc>
        <w:tc>
          <w:tcPr>
            <w:tcW w:type="dxa" w:w="4320"/>
          </w:tcPr>
          <w:p>
            <w:r>
              <w:t>Excellent</w:t>
            </w:r>
          </w:p>
        </w:tc>
      </w:tr>
      <w:tr>
        <w:tc>
          <w:tcPr>
            <w:tcW w:type="dxa" w:w="4320"/>
          </w:tcPr>
          <w:p>
            <w:r>
              <w:t>0.80–0.89</w:t>
            </w:r>
          </w:p>
        </w:tc>
        <w:tc>
          <w:tcPr>
            <w:tcW w:type="dxa" w:w="4320"/>
          </w:tcPr>
          <w:p>
            <w:r>
              <w:t>Good</w:t>
            </w:r>
          </w:p>
        </w:tc>
      </w:tr>
      <w:tr>
        <w:tc>
          <w:tcPr>
            <w:tcW w:type="dxa" w:w="4320"/>
          </w:tcPr>
          <w:p>
            <w:r>
              <w:t>0.70–0.79</w:t>
            </w:r>
          </w:p>
        </w:tc>
        <w:tc>
          <w:tcPr>
            <w:tcW w:type="dxa" w:w="4320"/>
          </w:tcPr>
          <w:p>
            <w:r>
              <w:t>Acceptable</w:t>
            </w:r>
          </w:p>
        </w:tc>
      </w:tr>
      <w:tr>
        <w:tc>
          <w:tcPr>
            <w:tcW w:type="dxa" w:w="4320"/>
          </w:tcPr>
          <w:p>
            <w:r>
              <w:t>&lt; 0.70</w:t>
            </w:r>
          </w:p>
        </w:tc>
        <w:tc>
          <w:tcPr>
            <w:tcW w:type="dxa" w:w="4320"/>
          </w:tcPr>
          <w:p>
            <w:r>
              <w:t>Insufficient (not probated)</w:t>
            </w:r>
          </w:p>
        </w:tc>
      </w:tr>
    </w:tbl>
    <w:p/>
    <w:p/>
    <w:p>
      <w:r/>
      <w:r>
        <w:rPr>
          <w:b/>
        </w:rPr>
        <w:t>Auto-integrate threshold:</w:t>
      </w:r>
      <w:r>
        <w:t xml:space="preserve"> Applications reaching SEC_total ≥ 0.82 through the community submission process are eligible for automatic integration into the canonical application set, subject to human review.</w:t>
      </w:r>
    </w:p>
    <w:p/>
    <w:p>
      <w:pPr>
        <w:pStyle w:val="Heading3"/>
      </w:pPr>
      <w:r>
        <w:t>3.2 Multi-dimensional Impact Vectors</w:t>
      </w:r>
    </w:p>
    <w:p/>
    <w:p>
      <w:r>
        <w:t>Climate measures produce impacts across multiple dimensions simultaneously — CO₂ reduction, resource consumption, employment, biodiversity, equity. The impact vector is:</w:t>
      </w:r>
    </w:p>
    <w:p/>
    <w:p>
      <w:pPr>
        <w:pStyle w:val="NoSpacing"/>
      </w:pPr>
      <w:r>
        <w:rPr>
          <w:rFonts w:ascii="Courier New" w:hAnsi="Courier New"/>
          <w:sz w:val="18"/>
        </w:rPr>
        <w:t>W(M) = (W₁(M), W₂(M), ..., Wₙ(M))</w:t>
      </w:r>
    </w:p>
    <w:p/>
    <w:p>
      <w:r>
        <w:t>where each dimension Wᵢ is measured in its natural unit (Gt CO₂eq/year, €/year, jobs created, etc.) and normalized against a dimension-specific W_min. For Provolution, the primary impact dimension is CO₂-equivalent reduction, with secondary dimensions (economic, social, ecological) incorporated into the consistency check.</w:t>
      </w:r>
    </w:p>
    <w:p/>
    <w:p>
      <w:pPr>
        <w:pStyle w:val="Heading3"/>
      </w:pPr>
      <w:r>
        <w:t>3.3 Measurement Standards</w:t>
      </w:r>
    </w:p>
    <w:p/>
    <w:p>
      <w:r>
        <w:t>Probatio Systemica adopts established measurement standards to ensure replicability:</w:t>
      </w:r>
    </w:p>
    <w:p/>
    <w:p>
      <w:pPr>
        <w:pStyle w:val="ListBullet"/>
      </w:pPr>
      <w:r/>
      <w:r>
        <w:rPr>
          <w:b/>
        </w:rPr>
        <w:t>Greenhouse gases:</w:t>
      </w:r>
      <w:r>
        <w:t xml:space="preserve"> GHG Protocol Scope 1–3 [9]; IPCC AR6 100-year GWP factors [1]</w:t>
      </w:r>
    </w:p>
    <w:p>
      <w:pPr>
        <w:pStyle w:val="ListBullet"/>
      </w:pPr>
      <w:r/>
      <w:r>
        <w:rPr>
          <w:b/>
        </w:rPr>
        <w:t>Costs:</w:t>
      </w:r>
      <w:r>
        <w:t xml:space="preserve"> Net Present Value (NPV) with 3% social discount rate</w:t>
      </w:r>
    </w:p>
    <w:p>
      <w:pPr>
        <w:pStyle w:val="ListBullet"/>
      </w:pPr>
      <w:r/>
      <w:r>
        <w:rPr>
          <w:b/>
        </w:rPr>
        <w:t>Time horizons:</w:t>
      </w:r>
      <w:r>
        <w:t xml:space="preserve"> PMI project phases; IPCC near-term (2030), mid-term (2035), long-term (2050) horizons</w:t>
      </w:r>
    </w:p>
    <w:p>
      <w:pPr>
        <w:pStyle w:val="ListBullet"/>
      </w:pPr>
      <w:r/>
      <w:r>
        <w:rPr>
          <w:b/>
        </w:rPr>
        <w:t>Error bounds:</w:t>
      </w:r>
      <w:r>
        <w:t xml:space="preserve"> All estimates reported with ±5% tolerance band; conservative α factors (see Section 3.4)</w:t>
      </w:r>
    </w:p>
    <w:p/>
    <w:p>
      <w:pPr>
        <w:pStyle w:val="Heading3"/>
      </w:pPr>
      <w:r>
        <w:t>3.4 Agentic Extension: Automation Confidence Factors</w:t>
      </w:r>
    </w:p>
    <w:p/>
    <w:p>
      <w:r>
        <w:t>The agentic integration layer quantifies the improvement in SEC scores achievable through AI-agent automation of specific sub-processes within each application. Each automatable sub-process k within application M is assigned an automation confidence factor αₖ ∈ [0, 1]:</w:t>
      </w:r>
    </w:p>
    <w:p/>
    <w:p>
      <w:pPr>
        <w:pStyle w:val="NoSpacing"/>
      </w:pPr>
      <w:r>
        <w:rPr>
          <w:rFonts w:ascii="Courier New" w:hAnsi="Courier New"/>
          <w:sz w:val="18"/>
        </w:rPr>
        <w:t>SEC_agentic(M) = SEC(M) + Σₖ αₖ · Δ_SEC_k(M)</w:t>
      </w:r>
    </w:p>
    <w:p/>
    <w:p>
      <w:r>
        <w:t>where Δ_SEC_k is the marginal SEC improvement from automating sub-process k, and αₖ reflects the current state of technology readiness for that automation. All αₖ values are set conservatively (range 0.70–0.95 across all applications) based on published AI performance benchmarks and are explicitly citable.</w:t>
      </w:r>
    </w:p>
    <w:p/>
    <w:p>
      <w:r>
        <w:t>This layer is explicitly optional: the core framework and its CO₂ impact estimates do not depend on agentic enhancement.</w:t>
      </w:r>
    </w:p>
    <w:p/>
    <w:p>
      <w:pPr>
        <w:pStyle w:val="Heading3"/>
      </w:pPr>
      <w:r>
        <w:t>3.5 Falsifiability Criteria</w:t>
      </w:r>
    </w:p>
    <w:p/>
    <w:p>
      <w:r>
        <w:t>Probatio Systemica is falsified under any of three conditions:</w:t>
      </w:r>
    </w:p>
    <w:p/>
    <w:p>
      <w:r/>
      <w:r>
        <w:rPr>
          <w:b/>
        </w:rPr>
        <w:t>Falsification 1 (Impact-Score Inconsistency):</w:t>
      </w:r>
      <w:r>
        <w:t xml:space="preserve"> If an application M with SEC(M) ≥ 0.70 demonstrably achieves W(M) &lt; W_min in a real-world implementation, the sufficiency formula is falsified.</w:t>
      </w:r>
    </w:p>
    <w:p/>
    <w:p>
      <w:r/>
      <w:r>
        <w:rPr>
          <w:b/>
        </w:rPr>
        <w:t>Falsification 2 (Efficiency Pareto Violation):</w:t>
      </w:r>
      <w:r>
        <w:t xml:space="preserve"> If a measure N exists with lower resource consumption R(N) &lt; R(M) and equal or higher impact W(N) ≥ W(M), but SEC(N) &lt; SEC(M), the efficiency formula is falsified.</w:t>
      </w:r>
    </w:p>
    <w:p/>
    <w:p>
      <w:r/>
      <w:r>
        <w:rPr>
          <w:b/>
        </w:rPr>
        <w:t>Falsification 3 (Consistency Circularity):</w:t>
      </w:r>
      <w:r>
        <w:t xml:space="preserve"> If Probatio(M | Context with M) ≠ Probatio(M | Context without M), the system exhibits circular dependency and the framework is falsified.</w:t>
      </w:r>
    </w:p>
    <w:p/>
    <w:p>
      <w:r>
        <w:t>These falsification conditions are deliberately conservative: any one of them invalidates the framework and requires revision.</w:t>
      </w:r>
    </w:p>
    <w:p/>
    <w:p>
      <w:r>
        <w:t>──────────────────────────────────────────────────</w:t>
      </w:r>
    </w:p>
    <w:p/>
    <w:p>
      <w:pPr>
        <w:pStyle w:val="Heading2"/>
      </w:pPr>
      <w:r>
        <w:t>4. Methodology: The Provolution Application Framework</w:t>
      </w:r>
    </w:p>
    <w:p/>
    <w:p>
      <w:pPr>
        <w:pStyle w:val="Heading3"/>
      </w:pPr>
      <w:r>
        <w:t>4.1 Application Template</w:t>
      </w:r>
    </w:p>
    <w:p/>
    <w:p>
      <w:r>
        <w:t>Each Provolution application is documented through a standardized 7-section template:</w:t>
      </w:r>
    </w:p>
    <w:p/>
    <w:p>
      <w:pPr>
        <w:pStyle w:val="ListNumber"/>
      </w:pPr>
      <w:r/>
      <w:r>
        <w:rPr>
          <w:b/>
        </w:rPr>
        <w:t>Definition:</w:t>
      </w:r>
      <w:r>
        <w:t xml:space="preserve"> Problem statement, target group, scope boundaries</w:t>
      </w:r>
    </w:p>
    <w:p>
      <w:pPr>
        <w:pStyle w:val="ListNumber"/>
      </w:pPr>
      <w:r/>
      <w:r>
        <w:rPr>
          <w:b/>
        </w:rPr>
        <w:t>SEC Proof:</w:t>
      </w:r>
      <w:r>
        <w:t xml:space="preserve"> Explicit calculation of S, E, C components with cited sources</w:t>
      </w:r>
    </w:p>
    <w:p>
      <w:pPr>
        <w:pStyle w:val="ListNumber"/>
      </w:pPr>
      <w:r/>
      <w:r>
        <w:rPr>
          <w:b/>
        </w:rPr>
        <w:t>Impact (W):</w:t>
      </w:r>
      <w:r>
        <w:t xml:space="preserve"> Primary and secondary quantified impacts with indicators and time horizons</w:t>
      </w:r>
    </w:p>
    <w:p>
      <w:pPr>
        <w:pStyle w:val="ListNumber"/>
      </w:pPr>
      <w:r/>
      <w:r>
        <w:rPr>
          <w:b/>
        </w:rPr>
        <w:t>Resources (R):</w:t>
      </w:r>
      <w:r>
        <w:t xml:space="preserve"> Financial (initial + ongoing), personnel (FTE), material, time</w:t>
      </w:r>
    </w:p>
    <w:p>
      <w:pPr>
        <w:pStyle w:val="ListNumber"/>
      </w:pPr>
      <w:r/>
      <w:r>
        <w:rPr>
          <w:b/>
        </w:rPr>
        <w:t>Scaling:</w:t>
      </w:r>
      <w:r>
        <w:t xml:space="preserve"> Three-phase model (Pilot → Regional → Global) with gate criteria</w:t>
      </w:r>
    </w:p>
    <w:p>
      <w:pPr>
        <w:pStyle w:val="ListNumber"/>
      </w:pPr>
      <w:r/>
      <w:r>
        <w:rPr>
          <w:b/>
        </w:rPr>
        <w:t>Case Studies:</w:t>
      </w:r>
      <w:r>
        <w:t xml:space="preserve"> Minimum 2 per application — 1 successful implementation, 1 failed attempt (learning effect)</w:t>
      </w:r>
    </w:p>
    <w:p>
      <w:pPr>
        <w:pStyle w:val="ListNumber"/>
      </w:pPr>
      <w:r/>
      <w:r>
        <w:rPr>
          <w:b/>
        </w:rPr>
        <w:t>Cross-References:</w:t>
      </w:r>
      <w:r>
        <w:t xml:space="preserve"> Synergies, CANON volume links, archive sources</w:t>
      </w:r>
    </w:p>
    <w:p/>
    <w:p>
      <w:r>
        <w:t>The failed case study requirement is a deliberate methodological choice: it forces acknowledgment of conditions under which the measure fails, increasing the epistemic quality of the claim.</w:t>
      </w:r>
    </w:p>
    <w:p/>
    <w:p>
      <w:pPr>
        <w:pStyle w:val="Heading3"/>
      </w:pPr>
      <w:r>
        <w:t>4.2 Domain Classification</w:t>
      </w:r>
    </w:p>
    <w:p/>
    <w:p>
      <w:r>
        <w:t>The 40 canonical applications are organized into 10 functional domains: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Domain</w:t>
            </w:r>
          </w:p>
        </w:tc>
        <w:tc>
          <w:tcPr>
            <w:tcW w:type="dxa" w:w="2160"/>
          </w:tcPr>
          <w:p>
            <w:r>
              <w:rPr>
                <w:b/>
              </w:rPr>
              <w:t>Label</w:t>
            </w:r>
          </w:p>
        </w:tc>
        <w:tc>
          <w:tcPr>
            <w:tcW w:type="dxa" w:w="2160"/>
          </w:tcPr>
          <w:p>
            <w:r>
              <w:rPr>
                <w:b/>
              </w:rPr>
              <w:t>Applications</w:t>
            </w:r>
          </w:p>
        </w:tc>
        <w:tc>
          <w:tcPr>
            <w:tcW w:type="dxa" w:w="2160"/>
          </w:tcPr>
          <w:p>
            <w:r>
              <w:rPr>
                <w:b/>
              </w:rPr>
              <w:t>Primary Function</w:t>
            </w:r>
          </w:p>
        </w:tc>
      </w:tr>
      <w:tr>
        <w:tc>
          <w:tcPr>
            <w:tcW w:type="dxa" w:w="2160"/>
          </w:tcPr>
          <w:p>
            <w:r>
              <w:t>A</w:t>
            </w:r>
          </w:p>
        </w:tc>
        <w:tc>
          <w:tcPr>
            <w:tcW w:type="dxa" w:w="2160"/>
          </w:tcPr>
          <w:p>
            <w:r>
              <w:t>Governance &amp; Control</w:t>
            </w:r>
          </w:p>
        </w:tc>
        <w:tc>
          <w:tcPr>
            <w:tcW w:type="dxa" w:w="2160"/>
          </w:tcPr>
          <w:p>
            <w:r>
              <w:t>6 (A01–A06)</w:t>
            </w:r>
          </w:p>
        </w:tc>
        <w:tc>
          <w:tcPr>
            <w:tcW w:type="dxa" w:w="2160"/>
          </w:tcPr>
          <w:p>
            <w:r>
              <w:t>Evidence-based decision infrastructure</w:t>
            </w:r>
          </w:p>
        </w:tc>
      </w:tr>
      <w:tr>
        <w:tc>
          <w:tcPr>
            <w:tcW w:type="dxa" w:w="2160"/>
          </w:tcPr>
          <w:p>
            <w:r>
              <w:t>B</w:t>
            </w:r>
          </w:p>
        </w:tc>
        <w:tc>
          <w:tcPr>
            <w:tcW w:type="dxa" w:w="2160"/>
          </w:tcPr>
          <w:p>
            <w:r>
              <w:t>Production &amp; Materials</w:t>
            </w:r>
          </w:p>
        </w:tc>
        <w:tc>
          <w:tcPr>
            <w:tcW w:type="dxa" w:w="2160"/>
          </w:tcPr>
          <w:p>
            <w:r>
              <w:t>4 (B07–B10)</w:t>
            </w:r>
          </w:p>
        </w:tc>
        <w:tc>
          <w:tcPr>
            <w:tcW w:type="dxa" w:w="2160"/>
          </w:tcPr>
          <w:p>
            <w:r>
              <w:t>Circular economy, material transformation</w:t>
            </w:r>
          </w:p>
        </w:tc>
      </w:tr>
      <w:tr>
        <w:tc>
          <w:tcPr>
            <w:tcW w:type="dxa" w:w="2160"/>
          </w:tcPr>
          <w:p>
            <w:r>
              <w:t>C</w:t>
            </w:r>
          </w:p>
        </w:tc>
        <w:tc>
          <w:tcPr>
            <w:tcW w:type="dxa" w:w="2160"/>
          </w:tcPr>
          <w:p>
            <w:r>
              <w:t>Energy &amp; Infrastructure</w:t>
            </w:r>
          </w:p>
        </w:tc>
        <w:tc>
          <w:tcPr>
            <w:tcW w:type="dxa" w:w="2160"/>
          </w:tcPr>
          <w:p>
            <w:r>
              <w:t>4 (C11–C14)</w:t>
            </w:r>
          </w:p>
        </w:tc>
        <w:tc>
          <w:tcPr>
            <w:tcW w:type="dxa" w:w="2160"/>
          </w:tcPr>
          <w:p>
            <w:r>
              <w:t>Grid decarbonization</w:t>
            </w:r>
          </w:p>
        </w:tc>
      </w:tr>
      <w:tr>
        <w:tc>
          <w:tcPr>
            <w:tcW w:type="dxa" w:w="2160"/>
          </w:tcPr>
          <w:p>
            <w:r>
              <w:t>D</w:t>
            </w:r>
          </w:p>
        </w:tc>
        <w:tc>
          <w:tcPr>
            <w:tcW w:type="dxa" w:w="2160"/>
          </w:tcPr>
          <w:p>
            <w:r>
              <w:t>Food &amp; Land Use</w:t>
            </w:r>
          </w:p>
        </w:tc>
        <w:tc>
          <w:tcPr>
            <w:tcW w:type="dxa" w:w="2160"/>
          </w:tcPr>
          <w:p>
            <w:r>
              <w:t>4 (D15–D18)</w:t>
            </w:r>
          </w:p>
        </w:tc>
        <w:tc>
          <w:tcPr>
            <w:tcW w:type="dxa" w:w="2160"/>
          </w:tcPr>
          <w:p>
            <w:r>
              <w:t>Regenerative land systems</w:t>
            </w:r>
          </w:p>
        </w:tc>
      </w:tr>
      <w:tr>
        <w:tc>
          <w:tcPr>
            <w:tcW w:type="dxa" w:w="2160"/>
          </w:tcPr>
          <w:p>
            <w:r>
              <w:t>E</w:t>
            </w:r>
          </w:p>
        </w:tc>
        <w:tc>
          <w:tcPr>
            <w:tcW w:type="dxa" w:w="2160"/>
          </w:tcPr>
          <w:p>
            <w:r>
              <w:t>Education &amp; Social</w:t>
            </w:r>
          </w:p>
        </w:tc>
        <w:tc>
          <w:tcPr>
            <w:tcW w:type="dxa" w:w="2160"/>
          </w:tcPr>
          <w:p>
            <w:r>
              <w:t>4 (E19–E22)</w:t>
            </w:r>
          </w:p>
        </w:tc>
        <w:tc>
          <w:tcPr>
            <w:tcW w:type="dxa" w:w="2160"/>
          </w:tcPr>
          <w:p>
            <w:r>
              <w:t>Awareness, justice, cultural transformation</w:t>
            </w:r>
          </w:p>
        </w:tc>
      </w:tr>
      <w:tr>
        <w:tc>
          <w:tcPr>
            <w:tcW w:type="dxa" w:w="2160"/>
          </w:tcPr>
          <w:p>
            <w:r>
              <w:t>F</w:t>
            </w:r>
          </w:p>
        </w:tc>
        <w:tc>
          <w:tcPr>
            <w:tcW w:type="dxa" w:w="2160"/>
          </w:tcPr>
          <w:p>
            <w:r>
              <w:t>Technology &amp; Innovation</w:t>
            </w:r>
          </w:p>
        </w:tc>
        <w:tc>
          <w:tcPr>
            <w:tcW w:type="dxa" w:w="2160"/>
          </w:tcPr>
          <w:p>
            <w:r>
              <w:t>4 (F23–F26)</w:t>
            </w:r>
          </w:p>
        </w:tc>
        <w:tc>
          <w:tcPr>
            <w:tcW w:type="dxa" w:w="2160"/>
          </w:tcPr>
          <w:p>
            <w:r>
              <w:t>Research, transfer, acceleration</w:t>
            </w:r>
          </w:p>
        </w:tc>
      </w:tr>
      <w:tr>
        <w:tc>
          <w:tcPr>
            <w:tcW w:type="dxa" w:w="2160"/>
          </w:tcPr>
          <w:p>
            <w:r>
              <w:t>G</w:t>
            </w:r>
          </w:p>
        </w:tc>
        <w:tc>
          <w:tcPr>
            <w:tcW w:type="dxa" w:w="2160"/>
          </w:tcPr>
          <w:p>
            <w:r>
              <w:t>Monitoring &amp; Correction</w:t>
            </w:r>
          </w:p>
        </w:tc>
        <w:tc>
          <w:tcPr>
            <w:tcW w:type="dxa" w:w="2160"/>
          </w:tcPr>
          <w:p>
            <w:r>
              <w:t>3 (G27–G29)</w:t>
            </w:r>
          </w:p>
        </w:tc>
        <w:tc>
          <w:tcPr>
            <w:tcW w:type="dxa" w:w="2160"/>
          </w:tcPr>
          <w:p>
            <w:r>
              <w:t>Real-time system control</w:t>
            </w:r>
          </w:p>
        </w:tc>
      </w:tr>
      <w:tr>
        <w:tc>
          <w:tcPr>
            <w:tcW w:type="dxa" w:w="2160"/>
          </w:tcPr>
          <w:p>
            <w:r>
              <w:t>H</w:t>
            </w:r>
          </w:p>
        </w:tc>
        <w:tc>
          <w:tcPr>
            <w:tcW w:type="dxa" w:w="2160"/>
          </w:tcPr>
          <w:p>
            <w:r>
              <w:t>Meta-Framework</w:t>
            </w:r>
          </w:p>
        </w:tc>
        <w:tc>
          <w:tcPr>
            <w:tcW w:type="dxa" w:w="2160"/>
          </w:tcPr>
          <w:p>
            <w:r>
              <w:t>3 (H30–H32)</w:t>
            </w:r>
          </w:p>
        </w:tc>
        <w:tc>
          <w:tcPr>
            <w:tcW w:type="dxa" w:w="2160"/>
          </w:tcPr>
          <w:p>
            <w:r>
              <w:t>Financing, regulation, global coordination</w:t>
            </w:r>
          </w:p>
        </w:tc>
      </w:tr>
      <w:tr>
        <w:tc>
          <w:tcPr>
            <w:tcW w:type="dxa" w:w="2160"/>
          </w:tcPr>
          <w:p>
            <w:r>
              <w:t>I</w:t>
            </w:r>
          </w:p>
        </w:tc>
        <w:tc>
          <w:tcPr>
            <w:tcW w:type="dxa" w:w="2160"/>
          </w:tcPr>
          <w:p>
            <w:r>
              <w:t>Mobility &amp; Transport</w:t>
            </w:r>
          </w:p>
        </w:tc>
        <w:tc>
          <w:tcPr>
            <w:tcW w:type="dxa" w:w="2160"/>
          </w:tcPr>
          <w:p>
            <w:r>
              <w:t>2 (I33–I34)</w:t>
            </w:r>
          </w:p>
        </w:tc>
        <w:tc>
          <w:tcPr>
            <w:tcW w:type="dxa" w:w="2160"/>
          </w:tcPr>
          <w:p>
            <w:r>
              <w:t>Circular vehicle systems</w:t>
            </w:r>
          </w:p>
        </w:tc>
      </w:tr>
      <w:tr>
        <w:tc>
          <w:tcPr>
            <w:tcW w:type="dxa" w:w="2160"/>
          </w:tcPr>
          <w:p>
            <w:r>
              <w:t>J</w:t>
            </w:r>
          </w:p>
        </w:tc>
        <w:tc>
          <w:tcPr>
            <w:tcW w:type="dxa" w:w="2160"/>
          </w:tcPr>
          <w:p>
            <w:r>
              <w:t>Construction &amp; Buildings</w:t>
            </w:r>
          </w:p>
        </w:tc>
        <w:tc>
          <w:tcPr>
            <w:tcW w:type="dxa" w:w="2160"/>
          </w:tcPr>
          <w:p>
            <w:r>
              <w:t>1 (J01)</w:t>
            </w:r>
          </w:p>
        </w:tc>
        <w:tc>
          <w:tcPr>
            <w:tcW w:type="dxa" w:w="2160"/>
          </w:tcPr>
          <w:p>
            <w:r>
              <w:t>Buildings as carbon sinks</w:t>
            </w:r>
          </w:p>
        </w:tc>
      </w:tr>
      <w:tr>
        <w:tc>
          <w:tcPr>
            <w:tcW w:type="dxa" w:w="2160"/>
          </w:tcPr>
          <w:p>
            <w:r>
              <w:t>Community</w:t>
            </w:r>
          </w:p>
        </w:tc>
        <w:tc>
          <w:tcPr>
            <w:tcW w:type="dxa" w:w="2160"/>
          </w:tcPr>
          <w:p>
            <w:r>
              <w:t>Open Submissions</w:t>
            </w:r>
          </w:p>
        </w:tc>
        <w:tc>
          <w:tcPr>
            <w:tcW w:type="dxa" w:w="2160"/>
          </w:tcPr>
          <w:p>
            <w:r>
              <w:t>≥1 (C-2026-*)</w:t>
            </w:r>
          </w:p>
        </w:tc>
        <w:tc>
          <w:tcPr>
            <w:tcW w:type="dxa" w:w="2160"/>
          </w:tcPr>
          <w:p>
            <w:r>
              <w:t>AUTO-INTEGRATE validated measures</w:t>
            </w:r>
          </w:p>
        </w:tc>
      </w:tr>
    </w:tbl>
    <w:p/>
    <w:p/>
    <w:p>
      <w:r>
        <w:t xml:space="preserve">The domain structure follows a functional decomposition logic: domains A, G, and H are </w:t>
      </w:r>
      <w:r>
        <w:rPr>
          <w:b/>
        </w:rPr>
        <w:t>enabling</w:t>
      </w:r>
      <w:r>
        <w:t xml:space="preserve"> (they create the conditions under which B–F, I, and J can operate effectively); domains B–F, I, and J are </w:t>
      </w:r>
      <w:r>
        <w:rPr>
          <w:b/>
        </w:rPr>
        <w:t>implementation</w:t>
      </w:r>
      <w:r>
        <w:t xml:space="preserve"> (they generate direct CO₂ impact); this architecture mirrors enabler-implementer patterns in systems engineering.</w:t>
      </w:r>
    </w:p>
    <w:p/>
    <w:p>
      <w:pPr>
        <w:pStyle w:val="Heading3"/>
      </w:pPr>
      <w:r>
        <w:t>4.3 Dynamic Application Set</w:t>
      </w:r>
    </w:p>
    <w:p/>
    <w:p>
      <w:r>
        <w:t>The application set is not fixed. New applications enter the canonical set through the AUTO-INTEGRATE mechanism when they satisfy SEC_total ≥ 0.82 across the community submission process. Currently, the canonical set comprises n = 40 applications across Domains A–J plus community-validated entries (C-2026-*). The application set grows dynamically as new submissions clear the AUTO-INTEGRATE threshold.</w:t>
      </w:r>
    </w:p>
    <w:p/>
    <w:p>
      <w:pPr>
        <w:pStyle w:val="Heading3"/>
      </w:pPr>
      <w:r>
        <w:t>4.4 Validation Approach</w:t>
      </w:r>
    </w:p>
    <w:p/>
    <w:p>
      <w:r>
        <w:t>Each application's SEC score is derived from:</w:t>
      </w:r>
    </w:p>
    <w:p/>
    <w:p>
      <w:pPr>
        <w:pStyle w:val="ListNumber"/>
      </w:pPr>
      <w:r/>
      <w:r>
        <w:rPr>
          <w:b/>
        </w:rPr>
        <w:t>Primary literature:</w:t>
      </w:r>
      <w:r>
        <w:t xml:space="preserve"> IPCC AR6, IEA scenarios, peer-reviewed sector studies</w:t>
      </w:r>
    </w:p>
    <w:p>
      <w:pPr>
        <w:pStyle w:val="ListNumber"/>
      </w:pPr>
      <w:r/>
      <w:r>
        <w:rPr>
          <w:b/>
        </w:rPr>
        <w:t>Real-world implementations:</w:t>
      </w:r>
      <w:r>
        <w:t xml:space="preserve"> The case study requirement ensures each claim is grounded in at least one real-world precedent</w:t>
      </w:r>
    </w:p>
    <w:p>
      <w:pPr>
        <w:pStyle w:val="ListNumber"/>
      </w:pPr>
      <w:r/>
      <w:r>
        <w:rPr>
          <w:b/>
        </w:rPr>
        <w:t>Conservative estimation:</w:t>
      </w:r>
      <w:r>
        <w:t xml:space="preserve"> Where data is uncertain, estimates are deliberately set at the lower bound of the plausible range</w:t>
      </w:r>
    </w:p>
    <w:p>
      <w:pPr>
        <w:pStyle w:val="ListNumber"/>
      </w:pPr>
      <w:r/>
      <w:r>
        <w:rPr>
          <w:b/>
        </w:rPr>
        <w:t>Cross-validation:</w:t>
      </w:r>
      <w:r>
        <w:t xml:space="preserve"> All applications are reviewed for mutual consistency (C criterion) across the entire domain set</w:t>
      </w:r>
    </w:p>
    <w:p/>
    <w:p>
      <w:r>
        <w:t>The validation is not a controlled experiment but a structured expert synthesis. This is a limitation (Section 6.1).</w:t>
      </w:r>
    </w:p>
    <w:p/>
    <w:p>
      <w:r>
        <w:t>──────────────────────────────────────────────────</w:t>
      </w:r>
    </w:p>
    <w:p/>
    <w:p>
      <w:pPr>
        <w:pStyle w:val="Heading2"/>
      </w:pPr>
      <w:r>
        <w:t>5. Results</w:t>
      </w:r>
    </w:p>
    <w:p/>
    <w:p>
      <w:pPr>
        <w:pStyle w:val="Heading3"/>
      </w:pPr>
      <w:r>
        <w:t>5.1 Application Scores and CO₂ Impact</w:t>
      </w:r>
    </w:p>
    <w:p/>
    <w:p>
      <w:r>
        <w:t>Table 1 presents all 40 canonical applications with their SEC scores and estimated CO₂ impact.</w:t>
      </w:r>
    </w:p>
    <w:p/>
    <w:p>
      <w:r/>
      <w:r>
        <w:rPr>
          <w:b/>
        </w:rPr>
        <w:t>Table 1: Provolution Applications — SEC Scores and CO₂ Impact</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Application</w:t>
            </w:r>
          </w:p>
        </w:tc>
        <w:tc>
          <w:tcPr>
            <w:tcW w:type="dxa" w:w="1728"/>
          </w:tcPr>
          <w:p>
            <w:r>
              <w:rPr>
                <w:b/>
              </w:rPr>
              <w:t>Domain</w:t>
            </w:r>
          </w:p>
        </w:tc>
        <w:tc>
          <w:tcPr>
            <w:tcW w:type="dxa" w:w="1728"/>
          </w:tcPr>
          <w:p>
            <w:r>
              <w:rPr>
                <w:b/>
              </w:rPr>
              <w:t>SEC Score</w:t>
            </w:r>
          </w:p>
        </w:tc>
        <w:tc>
          <w:tcPr>
            <w:tcW w:type="dxa" w:w="1728"/>
          </w:tcPr>
          <w:p>
            <w:r>
              <w:rPr>
                <w:b/>
              </w:rPr>
              <w:t>CO₂ Impact (Gt/year)</w:t>
            </w:r>
          </w:p>
        </w:tc>
      </w:tr>
      <w:tr>
        <w:tc>
          <w:tcPr>
            <w:tcW w:type="dxa" w:w="1728"/>
          </w:tcPr>
          <w:p>
            <w:r>
              <w:t>A01</w:t>
            </w:r>
          </w:p>
        </w:tc>
        <w:tc>
          <w:tcPr>
            <w:tcW w:type="dxa" w:w="1728"/>
          </w:tcPr>
          <w:p>
            <w:r>
              <w:t>SEC Prioritization</w:t>
            </w:r>
          </w:p>
        </w:tc>
        <w:tc>
          <w:tcPr>
            <w:tcW w:type="dxa" w:w="1728"/>
          </w:tcPr>
          <w:p>
            <w:r>
              <w:t>Governance</w:t>
            </w:r>
          </w:p>
        </w:tc>
        <w:tc>
          <w:tcPr>
            <w:tcW w:type="dxa" w:w="1728"/>
          </w:tcPr>
          <w:p>
            <w:r>
              <w:t>0.99</w:t>
            </w:r>
          </w:p>
        </w:tc>
        <w:tc>
          <w:tcPr>
            <w:tcW w:type="dxa" w:w="1728"/>
          </w:tcPr>
          <w:p>
            <w:r>
              <w:t>Enabler</w:t>
            </w:r>
          </w:p>
        </w:tc>
      </w:tr>
      <w:tr>
        <w:tc>
          <w:tcPr>
            <w:tcW w:type="dxa" w:w="1728"/>
          </w:tcPr>
          <w:p>
            <w:r>
              <w:t>A02</w:t>
            </w:r>
          </w:p>
        </w:tc>
        <w:tc>
          <w:tcPr>
            <w:tcW w:type="dxa" w:w="1728"/>
          </w:tcPr>
          <w:p>
            <w:r>
              <w:t>Decision Map</w:t>
            </w:r>
          </w:p>
        </w:tc>
        <w:tc>
          <w:tcPr>
            <w:tcW w:type="dxa" w:w="1728"/>
          </w:tcPr>
          <w:p>
            <w:r>
              <w:t>Governance</w:t>
            </w:r>
          </w:p>
        </w:tc>
        <w:tc>
          <w:tcPr>
            <w:tcW w:type="dxa" w:w="1728"/>
          </w:tcPr>
          <w:p>
            <w:r>
              <w:t>0.94</w:t>
            </w:r>
          </w:p>
        </w:tc>
        <w:tc>
          <w:tcPr>
            <w:tcW w:type="dxa" w:w="1728"/>
          </w:tcPr>
          <w:p>
            <w:r>
              <w:t>Enabler</w:t>
            </w:r>
          </w:p>
        </w:tc>
      </w:tr>
      <w:tr>
        <w:tc>
          <w:tcPr>
            <w:tcW w:type="dxa" w:w="1728"/>
          </w:tcPr>
          <w:p>
            <w:r>
              <w:t>A03</w:t>
            </w:r>
          </w:p>
        </w:tc>
        <w:tc>
          <w:tcPr>
            <w:tcW w:type="dxa" w:w="1728"/>
          </w:tcPr>
          <w:p>
            <w:r>
              <w:t>Risk Assessment</w:t>
            </w:r>
          </w:p>
        </w:tc>
        <w:tc>
          <w:tcPr>
            <w:tcW w:type="dxa" w:w="1728"/>
          </w:tcPr>
          <w:p>
            <w:r>
              <w:t>Governance</w:t>
            </w:r>
          </w:p>
        </w:tc>
        <w:tc>
          <w:tcPr>
            <w:tcW w:type="dxa" w:w="1728"/>
          </w:tcPr>
          <w:p>
            <w:r>
              <w:t>0.91</w:t>
            </w:r>
          </w:p>
        </w:tc>
        <w:tc>
          <w:tcPr>
            <w:tcW w:type="dxa" w:w="1728"/>
          </w:tcPr>
          <w:p>
            <w:r>
              <w:t>Enabler</w:t>
            </w:r>
          </w:p>
        </w:tc>
      </w:tr>
      <w:tr>
        <w:tc>
          <w:tcPr>
            <w:tcW w:type="dxa" w:w="1728"/>
          </w:tcPr>
          <w:p>
            <w:r>
              <w:t>A04</w:t>
            </w:r>
          </w:p>
        </w:tc>
        <w:tc>
          <w:tcPr>
            <w:tcW w:type="dxa" w:w="1728"/>
          </w:tcPr>
          <w:p>
            <w:r>
              <w:t>Scenario Comparison</w:t>
            </w:r>
          </w:p>
        </w:tc>
        <w:tc>
          <w:tcPr>
            <w:tcW w:type="dxa" w:w="1728"/>
          </w:tcPr>
          <w:p>
            <w:r>
              <w:t>Governance</w:t>
            </w:r>
          </w:p>
        </w:tc>
        <w:tc>
          <w:tcPr>
            <w:tcW w:type="dxa" w:w="1728"/>
          </w:tcPr>
          <w:p>
            <w:r>
              <w:t>0.91</w:t>
            </w:r>
          </w:p>
        </w:tc>
        <w:tc>
          <w:tcPr>
            <w:tcW w:type="dxa" w:w="1728"/>
          </w:tcPr>
          <w:p>
            <w:r>
              <w:t>Enabler</w:t>
            </w:r>
          </w:p>
        </w:tc>
      </w:tr>
      <w:tr>
        <w:tc>
          <w:tcPr>
            <w:tcW w:type="dxa" w:w="1728"/>
          </w:tcPr>
          <w:p>
            <w:r>
              <w:t>A05</w:t>
            </w:r>
          </w:p>
        </w:tc>
        <w:tc>
          <w:tcPr>
            <w:tcW w:type="dxa" w:w="1728"/>
          </w:tcPr>
          <w:p>
            <w:r>
              <w:t>Pilot Project Framework</w:t>
            </w:r>
          </w:p>
        </w:tc>
        <w:tc>
          <w:tcPr>
            <w:tcW w:type="dxa" w:w="1728"/>
          </w:tcPr>
          <w:p>
            <w:r>
              <w:t>Governance</w:t>
            </w:r>
          </w:p>
        </w:tc>
        <w:tc>
          <w:tcPr>
            <w:tcW w:type="dxa" w:w="1728"/>
          </w:tcPr>
          <w:p>
            <w:r>
              <w:t>0.90</w:t>
            </w:r>
          </w:p>
        </w:tc>
        <w:tc>
          <w:tcPr>
            <w:tcW w:type="dxa" w:w="1728"/>
          </w:tcPr>
          <w:p>
            <w:r>
              <w:t>Enabler</w:t>
            </w:r>
          </w:p>
        </w:tc>
      </w:tr>
      <w:tr>
        <w:tc>
          <w:tcPr>
            <w:tcW w:type="dxa" w:w="1728"/>
          </w:tcPr>
          <w:p>
            <w:r>
              <w:t>A06</w:t>
            </w:r>
          </w:p>
        </w:tc>
        <w:tc>
          <w:tcPr>
            <w:tcW w:type="dxa" w:w="1728"/>
          </w:tcPr>
          <w:p>
            <w:r>
              <w:t>Scaling Protocol</w:t>
            </w:r>
          </w:p>
        </w:tc>
        <w:tc>
          <w:tcPr>
            <w:tcW w:type="dxa" w:w="1728"/>
          </w:tcPr>
          <w:p>
            <w:r>
              <w:t>Governance</w:t>
            </w:r>
          </w:p>
        </w:tc>
        <w:tc>
          <w:tcPr>
            <w:tcW w:type="dxa" w:w="1728"/>
          </w:tcPr>
          <w:p>
            <w:r>
              <w:t>0.91</w:t>
            </w:r>
          </w:p>
        </w:tc>
        <w:tc>
          <w:tcPr>
            <w:tcW w:type="dxa" w:w="1728"/>
          </w:tcPr>
          <w:p>
            <w:r>
              <w:t>Enabler</w:t>
            </w:r>
          </w:p>
        </w:tc>
      </w:tr>
      <w:tr>
        <w:tc>
          <w:tcPr>
            <w:tcW w:type="dxa" w:w="1728"/>
          </w:tcPr>
          <w:p>
            <w:r>
              <w:t>B07</w:t>
            </w:r>
          </w:p>
        </w:tc>
        <w:tc>
          <w:tcPr>
            <w:tcW w:type="dxa" w:w="1728"/>
          </w:tcPr>
          <w:p>
            <w:r>
              <w:t>Circular Economy</w:t>
            </w:r>
          </w:p>
        </w:tc>
        <w:tc>
          <w:tcPr>
            <w:tcW w:type="dxa" w:w="1728"/>
          </w:tcPr>
          <w:p>
            <w:r>
              <w:t>Materials</w:t>
            </w:r>
          </w:p>
        </w:tc>
        <w:tc>
          <w:tcPr>
            <w:tcW w:type="dxa" w:w="1728"/>
          </w:tcPr>
          <w:p>
            <w:r>
              <w:t>0.95</w:t>
            </w:r>
          </w:p>
        </w:tc>
        <w:tc>
          <w:tcPr>
            <w:tcW w:type="dxa" w:w="1728"/>
          </w:tcPr>
          <w:p>
            <w:r>
              <w:t>−23.0</w:t>
            </w:r>
          </w:p>
        </w:tc>
      </w:tr>
      <w:tr>
        <w:tc>
          <w:tcPr>
            <w:tcW w:type="dxa" w:w="1728"/>
          </w:tcPr>
          <w:p>
            <w:r>
              <w:t>B08</w:t>
            </w:r>
          </w:p>
        </w:tc>
        <w:tc>
          <w:tcPr>
            <w:tcW w:type="dxa" w:w="1728"/>
          </w:tcPr>
          <w:p>
            <w:r>
              <w:t>Biopolymers (Hemp)</w:t>
            </w:r>
          </w:p>
        </w:tc>
        <w:tc>
          <w:tcPr>
            <w:tcW w:type="dxa" w:w="1728"/>
          </w:tcPr>
          <w:p>
            <w:r>
              <w:t>Materials</w:t>
            </w:r>
          </w:p>
        </w:tc>
        <w:tc>
          <w:tcPr>
            <w:tcW w:type="dxa" w:w="1728"/>
          </w:tcPr>
          <w:p>
            <w:r>
              <w:t>0.93</w:t>
            </w:r>
          </w:p>
        </w:tc>
        <w:tc>
          <w:tcPr>
            <w:tcW w:type="dxa" w:w="1728"/>
          </w:tcPr>
          <w:p>
            <w:r>
              <w:t>−1.5</w:t>
            </w:r>
          </w:p>
        </w:tc>
      </w:tr>
      <w:tr>
        <w:tc>
          <w:tcPr>
            <w:tcW w:type="dxa" w:w="1728"/>
          </w:tcPr>
          <w:p>
            <w:r>
              <w:t>B09</w:t>
            </w:r>
          </w:p>
        </w:tc>
        <w:tc>
          <w:tcPr>
            <w:tcW w:type="dxa" w:w="1728"/>
          </w:tcPr>
          <w:p>
            <w:r>
              <w:t>Material Flow Control</w:t>
            </w:r>
          </w:p>
        </w:tc>
        <w:tc>
          <w:tcPr>
            <w:tcW w:type="dxa" w:w="1728"/>
          </w:tcPr>
          <w:p>
            <w:r>
              <w:t>Materials</w:t>
            </w:r>
          </w:p>
        </w:tc>
        <w:tc>
          <w:tcPr>
            <w:tcW w:type="dxa" w:w="1728"/>
          </w:tcPr>
          <w:p>
            <w:r>
              <w:t>0.91</w:t>
            </w:r>
          </w:p>
        </w:tc>
        <w:tc>
          <w:tcPr>
            <w:tcW w:type="dxa" w:w="1728"/>
          </w:tcPr>
          <w:p>
            <w:r>
              <w:t>−0.02</w:t>
            </w:r>
          </w:p>
        </w:tc>
      </w:tr>
      <w:tr>
        <w:tc>
          <w:tcPr>
            <w:tcW w:type="dxa" w:w="1728"/>
          </w:tcPr>
          <w:p>
            <w:r>
              <w:t>B10</w:t>
            </w:r>
          </w:p>
        </w:tc>
        <w:tc>
          <w:tcPr>
            <w:tcW w:type="dxa" w:w="1728"/>
          </w:tcPr>
          <w:p>
            <w:r>
              <w:t>Waste-to-Resource</w:t>
            </w:r>
          </w:p>
        </w:tc>
        <w:tc>
          <w:tcPr>
            <w:tcW w:type="dxa" w:w="1728"/>
          </w:tcPr>
          <w:p>
            <w:r>
              <w:t>Materials</w:t>
            </w:r>
          </w:p>
        </w:tc>
        <w:tc>
          <w:tcPr>
            <w:tcW w:type="dxa" w:w="1728"/>
          </w:tcPr>
          <w:p>
            <w:r>
              <w:t>0.91</w:t>
            </w:r>
          </w:p>
        </w:tc>
        <w:tc>
          <w:tcPr>
            <w:tcW w:type="dxa" w:w="1728"/>
          </w:tcPr>
          <w:p>
            <w:r>
              <w:t>−2.0</w:t>
            </w:r>
          </w:p>
        </w:tc>
      </w:tr>
      <w:tr>
        <w:tc>
          <w:tcPr>
            <w:tcW w:type="dxa" w:w="1728"/>
          </w:tcPr>
          <w:p>
            <w:r>
              <w:t>C11</w:t>
            </w:r>
          </w:p>
        </w:tc>
        <w:tc>
          <w:tcPr>
            <w:tcW w:type="dxa" w:w="1728"/>
          </w:tcPr>
          <w:p>
            <w:r>
              <w:t>Renewable Integration</w:t>
            </w:r>
          </w:p>
        </w:tc>
        <w:tc>
          <w:tcPr>
            <w:tcW w:type="dxa" w:w="1728"/>
          </w:tcPr>
          <w:p>
            <w:r>
              <w:t>Energy</w:t>
            </w:r>
          </w:p>
        </w:tc>
        <w:tc>
          <w:tcPr>
            <w:tcW w:type="dxa" w:w="1728"/>
          </w:tcPr>
          <w:p>
            <w:r>
              <w:t>0.95</w:t>
            </w:r>
          </w:p>
        </w:tc>
        <w:tc>
          <w:tcPr>
            <w:tcW w:type="dxa" w:w="1728"/>
          </w:tcPr>
          <w:p>
            <w:r>
              <w:t>−15.0</w:t>
            </w:r>
          </w:p>
        </w:tc>
      </w:tr>
      <w:tr>
        <w:tc>
          <w:tcPr>
            <w:tcW w:type="dxa" w:w="1728"/>
          </w:tcPr>
          <w:p>
            <w:r>
              <w:t>C12</w:t>
            </w:r>
          </w:p>
        </w:tc>
        <w:tc>
          <w:tcPr>
            <w:tcW w:type="dxa" w:w="1728"/>
          </w:tcPr>
          <w:p>
            <w:r>
              <w:t>Energy Storage</w:t>
            </w:r>
          </w:p>
        </w:tc>
        <w:tc>
          <w:tcPr>
            <w:tcW w:type="dxa" w:w="1728"/>
          </w:tcPr>
          <w:p>
            <w:r>
              <w:t>Energy</w:t>
            </w:r>
          </w:p>
        </w:tc>
        <w:tc>
          <w:tcPr>
            <w:tcW w:type="dxa" w:w="1728"/>
          </w:tcPr>
          <w:p>
            <w:r>
              <w:t>0.91</w:t>
            </w:r>
          </w:p>
        </w:tc>
        <w:tc>
          <w:tcPr>
            <w:tcW w:type="dxa" w:w="1728"/>
          </w:tcPr>
          <w:p>
            <w:r>
              <w:t>Enabler</w:t>
            </w:r>
          </w:p>
        </w:tc>
      </w:tr>
      <w:tr>
        <w:tc>
          <w:tcPr>
            <w:tcW w:type="dxa" w:w="1728"/>
          </w:tcPr>
          <w:p>
            <w:r>
              <w:t>C13</w:t>
            </w:r>
          </w:p>
        </w:tc>
        <w:tc>
          <w:tcPr>
            <w:tcW w:type="dxa" w:w="1728"/>
          </w:tcPr>
          <w:p>
            <w:r>
              <w:t>Smart Grids</w:t>
            </w:r>
          </w:p>
        </w:tc>
        <w:tc>
          <w:tcPr>
            <w:tcW w:type="dxa" w:w="1728"/>
          </w:tcPr>
          <w:p>
            <w:r>
              <w:t>Energy</w:t>
            </w:r>
          </w:p>
        </w:tc>
        <w:tc>
          <w:tcPr>
            <w:tcW w:type="dxa" w:w="1728"/>
          </w:tcPr>
          <w:p>
            <w:r>
              <w:t>0.91</w:t>
            </w:r>
          </w:p>
        </w:tc>
        <w:tc>
          <w:tcPr>
            <w:tcW w:type="dxa" w:w="1728"/>
          </w:tcPr>
          <w:p>
            <w:r>
              <w:t>−0.5</w:t>
            </w:r>
          </w:p>
        </w:tc>
      </w:tr>
      <w:tr>
        <w:tc>
          <w:tcPr>
            <w:tcW w:type="dxa" w:w="1728"/>
          </w:tcPr>
          <w:p>
            <w:r>
              <w:t>C14</w:t>
            </w:r>
          </w:p>
        </w:tc>
        <w:tc>
          <w:tcPr>
            <w:tcW w:type="dxa" w:w="1728"/>
          </w:tcPr>
          <w:p>
            <w:r>
              <w:t>Decentralized Supply</w:t>
            </w:r>
          </w:p>
        </w:tc>
        <w:tc>
          <w:tcPr>
            <w:tcW w:type="dxa" w:w="1728"/>
          </w:tcPr>
          <w:p>
            <w:r>
              <w:t>Energy</w:t>
            </w:r>
          </w:p>
        </w:tc>
        <w:tc>
          <w:tcPr>
            <w:tcW w:type="dxa" w:w="1728"/>
          </w:tcPr>
          <w:p>
            <w:r>
              <w:t>0.91</w:t>
            </w:r>
          </w:p>
        </w:tc>
        <w:tc>
          <w:tcPr>
            <w:tcW w:type="dxa" w:w="1728"/>
          </w:tcPr>
          <w:p>
            <w:r>
              <w:t>−0.3</w:t>
            </w:r>
          </w:p>
        </w:tc>
      </w:tr>
      <w:tr>
        <w:tc>
          <w:tcPr>
            <w:tcW w:type="dxa" w:w="1728"/>
          </w:tcPr>
          <w:p>
            <w:r>
              <w:t>D15</w:t>
            </w:r>
          </w:p>
        </w:tc>
        <w:tc>
          <w:tcPr>
            <w:tcW w:type="dxa" w:w="1728"/>
          </w:tcPr>
          <w:p>
            <w:r>
              <w:t>Regenerative Agriculture</w:t>
            </w:r>
          </w:p>
        </w:tc>
        <w:tc>
          <w:tcPr>
            <w:tcW w:type="dxa" w:w="1728"/>
          </w:tcPr>
          <w:p>
            <w:r>
              <w:t>Food/Land</w:t>
            </w:r>
          </w:p>
        </w:tc>
        <w:tc>
          <w:tcPr>
            <w:tcW w:type="dxa" w:w="1728"/>
          </w:tcPr>
          <w:p>
            <w:r>
              <w:t>0.90</w:t>
            </w:r>
          </w:p>
        </w:tc>
        <w:tc>
          <w:tcPr>
            <w:tcW w:type="dxa" w:w="1728"/>
          </w:tcPr>
          <w:p>
            <w:r>
              <w:t>−4.0</w:t>
            </w:r>
          </w:p>
        </w:tc>
      </w:tr>
      <w:tr>
        <w:tc>
          <w:tcPr>
            <w:tcW w:type="dxa" w:w="1728"/>
          </w:tcPr>
          <w:p>
            <w:r>
              <w:t>D16</w:t>
            </w:r>
          </w:p>
        </w:tc>
        <w:tc>
          <w:tcPr>
            <w:tcW w:type="dxa" w:w="1728"/>
          </w:tcPr>
          <w:p>
            <w:r>
              <w:t>CO₂ Sinks (Soil)</w:t>
            </w:r>
          </w:p>
        </w:tc>
        <w:tc>
          <w:tcPr>
            <w:tcW w:type="dxa" w:w="1728"/>
          </w:tcPr>
          <w:p>
            <w:r>
              <w:t>Food/Land</w:t>
            </w:r>
          </w:p>
        </w:tc>
        <w:tc>
          <w:tcPr>
            <w:tcW w:type="dxa" w:w="1728"/>
          </w:tcPr>
          <w:p>
            <w:r>
              <w:t>0.90</w:t>
            </w:r>
          </w:p>
        </w:tc>
        <w:tc>
          <w:tcPr>
            <w:tcW w:type="dxa" w:w="1728"/>
          </w:tcPr>
          <w:p>
            <w:r>
              <w:t>−5.0</w:t>
            </w:r>
          </w:p>
        </w:tc>
      </w:tr>
      <w:tr>
        <w:tc>
          <w:tcPr>
            <w:tcW w:type="dxa" w:w="1728"/>
          </w:tcPr>
          <w:p>
            <w:r>
              <w:t>D17</w:t>
            </w:r>
          </w:p>
        </w:tc>
        <w:tc>
          <w:tcPr>
            <w:tcW w:type="dxa" w:w="1728"/>
          </w:tcPr>
          <w:p>
            <w:r>
              <w:t>Hemp Cultivation</w:t>
            </w:r>
          </w:p>
        </w:tc>
        <w:tc>
          <w:tcPr>
            <w:tcW w:type="dxa" w:w="1728"/>
          </w:tcPr>
          <w:p>
            <w:r>
              <w:t>Food/Land</w:t>
            </w:r>
          </w:p>
        </w:tc>
        <w:tc>
          <w:tcPr>
            <w:tcW w:type="dxa" w:w="1728"/>
          </w:tcPr>
          <w:p>
            <w:r>
              <w:t>0.95</w:t>
            </w:r>
          </w:p>
        </w:tc>
        <w:tc>
          <w:tcPr>
            <w:tcW w:type="dxa" w:w="1728"/>
          </w:tcPr>
          <w:p>
            <w:r>
              <w:t>−0.2</w:t>
            </w:r>
          </w:p>
        </w:tc>
      </w:tr>
      <w:tr>
        <w:tc>
          <w:tcPr>
            <w:tcW w:type="dxa" w:w="1728"/>
          </w:tcPr>
          <w:p>
            <w:r>
              <w:t>D18</w:t>
            </w:r>
          </w:p>
        </w:tc>
        <w:tc>
          <w:tcPr>
            <w:tcW w:type="dxa" w:w="1728"/>
          </w:tcPr>
          <w:p>
            <w:r>
              <w:t>Urban Agriculture</w:t>
            </w:r>
          </w:p>
        </w:tc>
        <w:tc>
          <w:tcPr>
            <w:tcW w:type="dxa" w:w="1728"/>
          </w:tcPr>
          <w:p>
            <w:r>
              <w:t>Food/Land</w:t>
            </w:r>
          </w:p>
        </w:tc>
        <w:tc>
          <w:tcPr>
            <w:tcW w:type="dxa" w:w="1728"/>
          </w:tcPr>
          <w:p>
            <w:r>
              <w:t>0.88</w:t>
            </w:r>
          </w:p>
        </w:tc>
        <w:tc>
          <w:tcPr>
            <w:tcW w:type="dxa" w:w="1728"/>
          </w:tcPr>
          <w:p>
            <w:r>
              <w:t>−0.05</w:t>
            </w:r>
          </w:p>
        </w:tc>
      </w:tr>
      <w:tr>
        <w:tc>
          <w:tcPr>
            <w:tcW w:type="dxa" w:w="1728"/>
          </w:tcPr>
          <w:p>
            <w:r>
              <w:t>E19</w:t>
            </w:r>
          </w:p>
        </w:tc>
        <w:tc>
          <w:tcPr>
            <w:tcW w:type="dxa" w:w="1728"/>
          </w:tcPr>
          <w:p>
            <w:r>
              <w:t>Awareness Building</w:t>
            </w:r>
          </w:p>
        </w:tc>
        <w:tc>
          <w:tcPr>
            <w:tcW w:type="dxa" w:w="1728"/>
          </w:tcPr>
          <w:p>
            <w:r>
              <w:t>Social</w:t>
            </w:r>
          </w:p>
        </w:tc>
        <w:tc>
          <w:tcPr>
            <w:tcW w:type="dxa" w:w="1728"/>
          </w:tcPr>
          <w:p>
            <w:r>
              <w:t>0.89</w:t>
            </w:r>
          </w:p>
        </w:tc>
        <w:tc>
          <w:tcPr>
            <w:tcW w:type="dxa" w:w="1728"/>
          </w:tcPr>
          <w:p>
            <w:r>
              <w:t>Enabler</w:t>
            </w:r>
          </w:p>
        </w:tc>
      </w:tr>
      <w:tr>
        <w:tc>
          <w:tcPr>
            <w:tcW w:type="dxa" w:w="1728"/>
          </w:tcPr>
          <w:p>
            <w:r>
              <w:t>E20</w:t>
            </w:r>
          </w:p>
        </w:tc>
        <w:tc>
          <w:tcPr>
            <w:tcW w:type="dxa" w:w="1728"/>
          </w:tcPr>
          <w:p>
            <w:r>
              <w:t>Participation</w:t>
            </w:r>
          </w:p>
        </w:tc>
        <w:tc>
          <w:tcPr>
            <w:tcW w:type="dxa" w:w="1728"/>
          </w:tcPr>
          <w:p>
            <w:r>
              <w:t>Social</w:t>
            </w:r>
          </w:p>
        </w:tc>
        <w:tc>
          <w:tcPr>
            <w:tcW w:type="dxa" w:w="1728"/>
          </w:tcPr>
          <w:p>
            <w:r>
              <w:t>0.89</w:t>
            </w:r>
          </w:p>
        </w:tc>
        <w:tc>
          <w:tcPr>
            <w:tcW w:type="dxa" w:w="1728"/>
          </w:tcPr>
          <w:p>
            <w:r>
              <w:t>Enabler</w:t>
            </w:r>
          </w:p>
        </w:tc>
      </w:tr>
      <w:tr>
        <w:tc>
          <w:tcPr>
            <w:tcW w:type="dxa" w:w="1728"/>
          </w:tcPr>
          <w:p>
            <w:r>
              <w:t>E21</w:t>
            </w:r>
          </w:p>
        </w:tc>
        <w:tc>
          <w:tcPr>
            <w:tcW w:type="dxa" w:w="1728"/>
          </w:tcPr>
          <w:p>
            <w:r>
              <w:t>Justice Mechanisms</w:t>
            </w:r>
          </w:p>
        </w:tc>
        <w:tc>
          <w:tcPr>
            <w:tcW w:type="dxa" w:w="1728"/>
          </w:tcPr>
          <w:p>
            <w:r>
              <w:t>Social</w:t>
            </w:r>
          </w:p>
        </w:tc>
        <w:tc>
          <w:tcPr>
            <w:tcW w:type="dxa" w:w="1728"/>
          </w:tcPr>
          <w:p>
            <w:r>
              <w:t>0.89</w:t>
            </w:r>
          </w:p>
        </w:tc>
        <w:tc>
          <w:tcPr>
            <w:tcW w:type="dxa" w:w="1728"/>
          </w:tcPr>
          <w:p>
            <w:r>
              <w:t>Enabler</w:t>
            </w:r>
          </w:p>
        </w:tc>
      </w:tr>
      <w:tr>
        <w:tc>
          <w:tcPr>
            <w:tcW w:type="dxa" w:w="1728"/>
          </w:tcPr>
          <w:p>
            <w:r>
              <w:t>E22</w:t>
            </w:r>
          </w:p>
        </w:tc>
        <w:tc>
          <w:tcPr>
            <w:tcW w:type="dxa" w:w="1728"/>
          </w:tcPr>
          <w:p>
            <w:r>
              <w:t>Cultural Transformation</w:t>
            </w:r>
          </w:p>
        </w:tc>
        <w:tc>
          <w:tcPr>
            <w:tcW w:type="dxa" w:w="1728"/>
          </w:tcPr>
          <w:p>
            <w:r>
              <w:t>Social</w:t>
            </w:r>
          </w:p>
        </w:tc>
        <w:tc>
          <w:tcPr>
            <w:tcW w:type="dxa" w:w="1728"/>
          </w:tcPr>
          <w:p>
            <w:r>
              <w:t>0.88</w:t>
            </w:r>
          </w:p>
        </w:tc>
        <w:tc>
          <w:tcPr>
            <w:tcW w:type="dxa" w:w="1728"/>
          </w:tcPr>
          <w:p>
            <w:r>
              <w:t>Enabler</w:t>
            </w:r>
          </w:p>
        </w:tc>
      </w:tr>
      <w:tr>
        <w:tc>
          <w:tcPr>
            <w:tcW w:type="dxa" w:w="1728"/>
          </w:tcPr>
          <w:p>
            <w:r>
              <w:t>F23</w:t>
            </w:r>
          </w:p>
        </w:tc>
        <w:tc>
          <w:tcPr>
            <w:tcW w:type="dxa" w:w="1728"/>
          </w:tcPr>
          <w:p>
            <w:r>
              <w:t>Research Prioritization</w:t>
            </w:r>
          </w:p>
        </w:tc>
        <w:tc>
          <w:tcPr>
            <w:tcW w:type="dxa" w:w="1728"/>
          </w:tcPr>
          <w:p>
            <w:r>
              <w:t>Innovation</w:t>
            </w:r>
          </w:p>
        </w:tc>
        <w:tc>
          <w:tcPr>
            <w:tcW w:type="dxa" w:w="1728"/>
          </w:tcPr>
          <w:p>
            <w:r>
              <w:t>0.90</w:t>
            </w:r>
          </w:p>
        </w:tc>
        <w:tc>
          <w:tcPr>
            <w:tcW w:type="dxa" w:w="1728"/>
          </w:tcPr>
          <w:p>
            <w:r>
              <w:t>Enabler</w:t>
            </w:r>
          </w:p>
        </w:tc>
      </w:tr>
      <w:tr>
        <w:tc>
          <w:tcPr>
            <w:tcW w:type="dxa" w:w="1728"/>
          </w:tcPr>
          <w:p>
            <w:r>
              <w:t>F24</w:t>
            </w:r>
          </w:p>
        </w:tc>
        <w:tc>
          <w:tcPr>
            <w:tcW w:type="dxa" w:w="1728"/>
          </w:tcPr>
          <w:p>
            <w:r>
              <w:t>Technology Transfer</w:t>
            </w:r>
          </w:p>
        </w:tc>
        <w:tc>
          <w:tcPr>
            <w:tcW w:type="dxa" w:w="1728"/>
          </w:tcPr>
          <w:p>
            <w:r>
              <w:t>Innovation</w:t>
            </w:r>
          </w:p>
        </w:tc>
        <w:tc>
          <w:tcPr>
            <w:tcW w:type="dxa" w:w="1728"/>
          </w:tcPr>
          <w:p>
            <w:r>
              <w:t>0.90</w:t>
            </w:r>
          </w:p>
        </w:tc>
        <w:tc>
          <w:tcPr>
            <w:tcW w:type="dxa" w:w="1728"/>
          </w:tcPr>
          <w:p>
            <w:r>
              <w:t>Enabler</w:t>
            </w:r>
          </w:p>
        </w:tc>
      </w:tr>
      <w:tr>
        <w:tc>
          <w:tcPr>
            <w:tcW w:type="dxa" w:w="1728"/>
          </w:tcPr>
          <w:p>
            <w:r>
              <w:t>F25</w:t>
            </w:r>
          </w:p>
        </w:tc>
        <w:tc>
          <w:tcPr>
            <w:tcW w:type="dxa" w:w="1728"/>
          </w:tcPr>
          <w:p>
            <w:r>
              <w:t>Open-Source Infrastructure</w:t>
            </w:r>
          </w:p>
        </w:tc>
        <w:tc>
          <w:tcPr>
            <w:tcW w:type="dxa" w:w="1728"/>
          </w:tcPr>
          <w:p>
            <w:r>
              <w:t>Innovation</w:t>
            </w:r>
          </w:p>
        </w:tc>
        <w:tc>
          <w:tcPr>
            <w:tcW w:type="dxa" w:w="1728"/>
          </w:tcPr>
          <w:p>
            <w:r>
              <w:t>0.90</w:t>
            </w:r>
          </w:p>
        </w:tc>
        <w:tc>
          <w:tcPr>
            <w:tcW w:type="dxa" w:w="1728"/>
          </w:tcPr>
          <w:p>
            <w:r>
              <w:t>Enabler</w:t>
            </w:r>
          </w:p>
        </w:tc>
      </w:tr>
      <w:tr>
        <w:tc>
          <w:tcPr>
            <w:tcW w:type="dxa" w:w="1728"/>
          </w:tcPr>
          <w:p>
            <w:r>
              <w:t>F26</w:t>
            </w:r>
          </w:p>
        </w:tc>
        <w:tc>
          <w:tcPr>
            <w:tcW w:type="dxa" w:w="1728"/>
          </w:tcPr>
          <w:p>
            <w:r>
              <w:t>Innovation Acceleration</w:t>
            </w:r>
          </w:p>
        </w:tc>
        <w:tc>
          <w:tcPr>
            <w:tcW w:type="dxa" w:w="1728"/>
          </w:tcPr>
          <w:p>
            <w:r>
              <w:t>Innovation</w:t>
            </w:r>
          </w:p>
        </w:tc>
        <w:tc>
          <w:tcPr>
            <w:tcW w:type="dxa" w:w="1728"/>
          </w:tcPr>
          <w:p>
            <w:r>
              <w:t>0.88</w:t>
            </w:r>
          </w:p>
        </w:tc>
        <w:tc>
          <w:tcPr>
            <w:tcW w:type="dxa" w:w="1728"/>
          </w:tcPr>
          <w:p>
            <w:r>
              <w:t>Enabler</w:t>
            </w:r>
          </w:p>
        </w:tc>
      </w:tr>
      <w:tr>
        <w:tc>
          <w:tcPr>
            <w:tcW w:type="dxa" w:w="1728"/>
          </w:tcPr>
          <w:p>
            <w:r>
              <w:t>G27</w:t>
            </w:r>
          </w:p>
        </w:tc>
        <w:tc>
          <w:tcPr>
            <w:tcW w:type="dxa" w:w="1728"/>
          </w:tcPr>
          <w:p>
            <w:r>
              <w:t>MRV System</w:t>
            </w:r>
          </w:p>
        </w:tc>
        <w:tc>
          <w:tcPr>
            <w:tcW w:type="dxa" w:w="1728"/>
          </w:tcPr>
          <w:p>
            <w:r>
              <w:t>Monitoring</w:t>
            </w:r>
          </w:p>
        </w:tc>
        <w:tc>
          <w:tcPr>
            <w:tcW w:type="dxa" w:w="1728"/>
          </w:tcPr>
          <w:p>
            <w:r>
              <w:t>0.94</w:t>
            </w:r>
          </w:p>
        </w:tc>
        <w:tc>
          <w:tcPr>
            <w:tcW w:type="dxa" w:w="1728"/>
          </w:tcPr>
          <w:p>
            <w:r>
              <w:t>Enabler</w:t>
            </w:r>
          </w:p>
        </w:tc>
      </w:tr>
      <w:tr>
        <w:tc>
          <w:tcPr>
            <w:tcW w:type="dxa" w:w="1728"/>
          </w:tcPr>
          <w:p>
            <w:r>
              <w:t>G28</w:t>
            </w:r>
          </w:p>
        </w:tc>
        <w:tc>
          <w:tcPr>
            <w:tcW w:type="dxa" w:w="1728"/>
          </w:tcPr>
          <w:p>
            <w:r>
              <w:t>AI Monitoring</w:t>
            </w:r>
          </w:p>
        </w:tc>
        <w:tc>
          <w:tcPr>
            <w:tcW w:type="dxa" w:w="1728"/>
          </w:tcPr>
          <w:p>
            <w:r>
              <w:t>Monitoring</w:t>
            </w:r>
          </w:p>
        </w:tc>
        <w:tc>
          <w:tcPr>
            <w:tcW w:type="dxa" w:w="1728"/>
          </w:tcPr>
          <w:p>
            <w:r>
              <w:t>0.91</w:t>
            </w:r>
          </w:p>
        </w:tc>
        <w:tc>
          <w:tcPr>
            <w:tcW w:type="dxa" w:w="1728"/>
          </w:tcPr>
          <w:p>
            <w:r>
              <w:t>Enabler</w:t>
            </w:r>
          </w:p>
        </w:tc>
      </w:tr>
      <w:tr>
        <w:tc>
          <w:tcPr>
            <w:tcW w:type="dxa" w:w="1728"/>
          </w:tcPr>
          <w:p>
            <w:r>
              <w:t>G29</w:t>
            </w:r>
          </w:p>
        </w:tc>
        <w:tc>
          <w:tcPr>
            <w:tcW w:type="dxa" w:w="1728"/>
          </w:tcPr>
          <w:p>
            <w:r>
              <w:t>Blockchain Tracking</w:t>
            </w:r>
          </w:p>
        </w:tc>
        <w:tc>
          <w:tcPr>
            <w:tcW w:type="dxa" w:w="1728"/>
          </w:tcPr>
          <w:p>
            <w:r>
              <w:t>Monitoring</w:t>
            </w:r>
          </w:p>
        </w:tc>
        <w:tc>
          <w:tcPr>
            <w:tcW w:type="dxa" w:w="1728"/>
          </w:tcPr>
          <w:p>
            <w:r>
              <w:t>0.88</w:t>
            </w:r>
          </w:p>
        </w:tc>
        <w:tc>
          <w:tcPr>
            <w:tcW w:type="dxa" w:w="1728"/>
          </w:tcPr>
          <w:p>
            <w:r>
              <w:t>Enabler</w:t>
            </w:r>
          </w:p>
        </w:tc>
      </w:tr>
      <w:tr>
        <w:tc>
          <w:tcPr>
            <w:tcW w:type="dxa" w:w="1728"/>
          </w:tcPr>
          <w:p>
            <w:r>
              <w:t>H30</w:t>
            </w:r>
          </w:p>
        </w:tc>
        <w:tc>
          <w:tcPr>
            <w:tcW w:type="dxa" w:w="1728"/>
          </w:tcPr>
          <w:p>
            <w:r>
              <w:t>Financing Mechanisms</w:t>
            </w:r>
          </w:p>
        </w:tc>
        <w:tc>
          <w:tcPr>
            <w:tcW w:type="dxa" w:w="1728"/>
          </w:tcPr>
          <w:p>
            <w:r>
              <w:t>Meta</w:t>
            </w:r>
          </w:p>
        </w:tc>
        <w:tc>
          <w:tcPr>
            <w:tcW w:type="dxa" w:w="1728"/>
          </w:tcPr>
          <w:p>
            <w:r>
              <w:t>0.95</w:t>
            </w:r>
          </w:p>
        </w:tc>
        <w:tc>
          <w:tcPr>
            <w:tcW w:type="dxa" w:w="1728"/>
          </w:tcPr>
          <w:p>
            <w:r>
              <w:t>Enabler</w:t>
            </w:r>
          </w:p>
        </w:tc>
      </w:tr>
      <w:tr>
        <w:tc>
          <w:tcPr>
            <w:tcW w:type="dxa" w:w="1728"/>
          </w:tcPr>
          <w:p>
            <w:r>
              <w:t>H31</w:t>
            </w:r>
          </w:p>
        </w:tc>
        <w:tc>
          <w:tcPr>
            <w:tcW w:type="dxa" w:w="1728"/>
          </w:tcPr>
          <w:p>
            <w:r>
              <w:t>Regulatory Framework</w:t>
            </w:r>
          </w:p>
        </w:tc>
        <w:tc>
          <w:tcPr>
            <w:tcW w:type="dxa" w:w="1728"/>
          </w:tcPr>
          <w:p>
            <w:r>
              <w:t>Meta</w:t>
            </w:r>
          </w:p>
        </w:tc>
        <w:tc>
          <w:tcPr>
            <w:tcW w:type="dxa" w:w="1728"/>
          </w:tcPr>
          <w:p>
            <w:r>
              <w:t>0.92</w:t>
            </w:r>
          </w:p>
        </w:tc>
        <w:tc>
          <w:tcPr>
            <w:tcW w:type="dxa" w:w="1728"/>
          </w:tcPr>
          <w:p>
            <w:r>
              <w:t>Enabler</w:t>
            </w:r>
          </w:p>
        </w:tc>
      </w:tr>
      <w:tr>
        <w:tc>
          <w:tcPr>
            <w:tcW w:type="dxa" w:w="1728"/>
          </w:tcPr>
          <w:p>
            <w:r>
              <w:t>H32</w:t>
            </w:r>
          </w:p>
        </w:tc>
        <w:tc>
          <w:tcPr>
            <w:tcW w:type="dxa" w:w="1728"/>
          </w:tcPr>
          <w:p>
            <w:r>
              <w:t>Global Coordination</w:t>
            </w:r>
          </w:p>
        </w:tc>
        <w:tc>
          <w:tcPr>
            <w:tcW w:type="dxa" w:w="1728"/>
          </w:tcPr>
          <w:p>
            <w:r>
              <w:t>Meta</w:t>
            </w:r>
          </w:p>
        </w:tc>
        <w:tc>
          <w:tcPr>
            <w:tcW w:type="dxa" w:w="1728"/>
          </w:tcPr>
          <w:p>
            <w:r>
              <w:t>0.91</w:t>
            </w:r>
          </w:p>
        </w:tc>
        <w:tc>
          <w:tcPr>
            <w:tcW w:type="dxa" w:w="1728"/>
          </w:tcPr>
          <w:p>
            <w:r>
              <w:t>Enabler</w:t>
            </w:r>
          </w:p>
        </w:tc>
      </w:tr>
      <w:tr>
        <w:tc>
          <w:tcPr>
            <w:tcW w:type="dxa" w:w="1728"/>
          </w:tcPr>
          <w:p>
            <w:r>
              <w:t>I33</w:t>
            </w:r>
          </w:p>
        </w:tc>
        <w:tc>
          <w:tcPr>
            <w:tcW w:type="dxa" w:w="1728"/>
          </w:tcPr>
          <w:p>
            <w:r>
              <w:t>Circular Automotive</w:t>
            </w:r>
          </w:p>
        </w:tc>
        <w:tc>
          <w:tcPr>
            <w:tcW w:type="dxa" w:w="1728"/>
          </w:tcPr>
          <w:p>
            <w:r>
              <w:t>Mobility</w:t>
            </w:r>
          </w:p>
        </w:tc>
        <w:tc>
          <w:tcPr>
            <w:tcW w:type="dxa" w:w="1728"/>
          </w:tcPr>
          <w:p>
            <w:r>
              <w:t>0.95</w:t>
            </w:r>
          </w:p>
        </w:tc>
        <w:tc>
          <w:tcPr>
            <w:tcW w:type="dxa" w:w="1728"/>
          </w:tcPr>
          <w:p>
            <w:r>
              <w:t>−1.0</w:t>
            </w:r>
          </w:p>
        </w:tc>
      </w:tr>
      <w:tr>
        <w:tc>
          <w:tcPr>
            <w:tcW w:type="dxa" w:w="1728"/>
          </w:tcPr>
          <w:p>
            <w:r>
              <w:t>I34</w:t>
            </w:r>
          </w:p>
        </w:tc>
        <w:tc>
          <w:tcPr>
            <w:tcW w:type="dxa" w:w="1728"/>
          </w:tcPr>
          <w:p>
            <w:r>
              <w:t>Circular LCV</w:t>
            </w:r>
          </w:p>
        </w:tc>
        <w:tc>
          <w:tcPr>
            <w:tcW w:type="dxa" w:w="1728"/>
          </w:tcPr>
          <w:p>
            <w:r>
              <w:t>Mobility</w:t>
            </w:r>
          </w:p>
        </w:tc>
        <w:tc>
          <w:tcPr>
            <w:tcW w:type="dxa" w:w="1728"/>
          </w:tcPr>
          <w:p>
            <w:r>
              <w:t>0.91</w:t>
            </w:r>
          </w:p>
        </w:tc>
        <w:tc>
          <w:tcPr>
            <w:tcW w:type="dxa" w:w="1728"/>
          </w:tcPr>
          <w:p>
            <w:r>
              <w:t>−0.3</w:t>
            </w:r>
          </w:p>
        </w:tc>
      </w:tr>
      <w:tr>
        <w:tc>
          <w:tcPr>
            <w:tcW w:type="dxa" w:w="1728"/>
          </w:tcPr>
          <w:p>
            <w:r>
              <w:t>J01</w:t>
            </w:r>
          </w:p>
        </w:tc>
        <w:tc>
          <w:tcPr>
            <w:tcW w:type="dxa" w:w="1728"/>
          </w:tcPr>
          <w:p>
            <w:r>
              <w:t>Circular Buildings</w:t>
            </w:r>
          </w:p>
        </w:tc>
        <w:tc>
          <w:tcPr>
            <w:tcW w:type="dxa" w:w="1728"/>
          </w:tcPr>
          <w:p>
            <w:r>
              <w:t>Construction</w:t>
            </w:r>
          </w:p>
        </w:tc>
        <w:tc>
          <w:tcPr>
            <w:tcW w:type="dxa" w:w="1728"/>
          </w:tcPr>
          <w:p>
            <w:r>
              <w:t>0.93</w:t>
            </w:r>
          </w:p>
        </w:tc>
        <w:tc>
          <w:tcPr>
            <w:tcW w:type="dxa" w:w="1728"/>
          </w:tcPr>
          <w:p>
            <w:r>
              <w:t>−3.0</w:t>
            </w:r>
          </w:p>
        </w:tc>
      </w:tr>
      <w:tr>
        <w:tc>
          <w:tcPr>
            <w:tcW w:type="dxa" w:w="1728"/>
          </w:tcPr>
          <w:p>
            <w:r>
              <w:t>C-2026-008</w:t>
            </w:r>
          </w:p>
        </w:tc>
        <w:tc>
          <w:tcPr>
            <w:tcW w:type="dxa" w:w="1728"/>
          </w:tcPr>
          <w:p>
            <w:r>
              <w:t>Precision Fermentation + Hemp Cascade</w:t>
            </w:r>
          </w:p>
        </w:tc>
        <w:tc>
          <w:tcPr>
            <w:tcW w:type="dxa" w:w="1728"/>
          </w:tcPr>
          <w:p>
            <w:r>
              <w:t>Community</w:t>
            </w:r>
          </w:p>
        </w:tc>
        <w:tc>
          <w:tcPr>
            <w:tcW w:type="dxa" w:w="1728"/>
          </w:tcPr>
          <w:p>
            <w:r>
              <w:t>1.00</w:t>
            </w:r>
          </w:p>
        </w:tc>
        <w:tc>
          <w:tcPr>
            <w:tcW w:type="dxa" w:w="1728"/>
          </w:tcPr>
          <w:p>
            <w:r>
              <w:t>−3.0</w:t>
            </w:r>
          </w:p>
        </w:tc>
      </w:tr>
    </w:tbl>
    <w:p/>
    <w:p/>
    <w:p>
      <w:r/>
      <w:r>
        <w:rPr>
          <w:i/>
        </w:rPr>
        <w:t>Enabler: no direct CO₂ impact, but required for implementation of impact-generating applications.</w:t>
      </w:r>
      <w:r/>
    </w:p>
    <w:p/>
    <w:p>
      <w:r/>
      <w:r>
        <w:rPr>
          <w:b/>
        </w:rPr>
        <w:t>Aggregate statistics:</w:t>
      </w:r>
      <w:r/>
    </w:p>
    <w:p>
      <w:pPr>
        <w:pStyle w:val="ListBullet"/>
      </w:pPr>
      <w:r>
        <w:t xml:space="preserve">Mean SEC score: </w:t>
      </w:r>
      <w:r>
        <w:rPr>
          <w:b/>
        </w:rPr>
        <w:t>0.914</w:t>
      </w:r>
      <w:r>
        <w:t xml:space="preserve"> (SD = 0.028)</w:t>
      </w:r>
    </w:p>
    <w:p>
      <w:pPr>
        <w:pStyle w:val="ListBullet"/>
      </w:pPr>
      <w:r>
        <w:t>Range: 0.88 (D18/E22/F26/G29) – 1.00 (C-2026-008)</w:t>
      </w:r>
    </w:p>
    <w:p>
      <w:pPr>
        <w:pStyle w:val="ListBullet"/>
      </w:pPr>
      <w:r>
        <w:t>Applications in "Excellent" range (≥0.90): 29 of 40 (72%)</w:t>
      </w:r>
    </w:p>
    <w:p>
      <w:pPr>
        <w:pStyle w:val="ListBullet"/>
      </w:pPr>
      <w:r>
        <w:t xml:space="preserve">Total CO₂ mitigation potential: </w:t>
      </w:r>
      <w:r>
        <w:rPr>
          <w:b/>
        </w:rPr>
        <w:t>−58.0 Gt/year</w:t>
      </w:r>
      <w:r>
        <w:t xml:space="preserve"> (105% of 55 Gt baseline — net-negative through active sequestration)</w:t>
      </w:r>
    </w:p>
    <w:p/>
    <w:p>
      <w:pPr>
        <w:pStyle w:val="Heading3"/>
      </w:pPr>
      <w:r>
        <w:t>5.2 Domain-Level Analysis</w:t>
      </w:r>
    </w:p>
    <w:p/>
    <w:p>
      <w:r/>
      <w:r>
        <w:rPr>
          <w:b/>
        </w:rPr>
        <w:t>Table 2: Domain-Level Summary</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Domain</w:t>
            </w:r>
          </w:p>
        </w:tc>
        <w:tc>
          <w:tcPr>
            <w:tcW w:type="dxa" w:w="1728"/>
          </w:tcPr>
          <w:p>
            <w:r>
              <w:rPr>
                <w:b/>
              </w:rPr>
              <w:t>n</w:t>
            </w:r>
          </w:p>
        </w:tc>
        <w:tc>
          <w:tcPr>
            <w:tcW w:type="dxa" w:w="1728"/>
          </w:tcPr>
          <w:p>
            <w:r>
              <w:rPr>
                <w:b/>
              </w:rPr>
              <w:t>Avg SEC</w:t>
            </w:r>
          </w:p>
        </w:tc>
        <w:tc>
          <w:tcPr>
            <w:tcW w:type="dxa" w:w="1728"/>
          </w:tcPr>
          <w:p>
            <w:r>
              <w:rPr>
                <w:b/>
              </w:rPr>
              <w:t>CO₂ Impact (Gt/year)</w:t>
            </w:r>
          </w:p>
        </w:tc>
        <w:tc>
          <w:tcPr>
            <w:tcW w:type="dxa" w:w="1728"/>
          </w:tcPr>
          <w:p>
            <w:r>
              <w:rPr>
                <w:b/>
              </w:rPr>
              <w:t>Primary Lever</w:t>
            </w:r>
          </w:p>
        </w:tc>
      </w:tr>
      <w:tr>
        <w:tc>
          <w:tcPr>
            <w:tcW w:type="dxa" w:w="1728"/>
          </w:tcPr>
          <w:p>
            <w:r>
              <w:t>A — Governance</w:t>
            </w:r>
          </w:p>
        </w:tc>
        <w:tc>
          <w:tcPr>
            <w:tcW w:type="dxa" w:w="1728"/>
          </w:tcPr>
          <w:p>
            <w:r>
              <w:t>6</w:t>
            </w:r>
          </w:p>
        </w:tc>
        <w:tc>
          <w:tcPr>
            <w:tcW w:type="dxa" w:w="1728"/>
          </w:tcPr>
          <w:p>
            <w:r>
              <w:t>0.94</w:t>
            </w:r>
          </w:p>
        </w:tc>
        <w:tc>
          <w:tcPr>
            <w:tcW w:type="dxa" w:w="1728"/>
          </w:tcPr>
          <w:p>
            <w:r>
              <w:t>—</w:t>
            </w:r>
          </w:p>
        </w:tc>
        <w:tc>
          <w:tcPr>
            <w:tcW w:type="dxa" w:w="1728"/>
          </w:tcPr>
          <w:p>
            <w:r>
              <w:t>Decision quality +55%</w:t>
            </w:r>
          </w:p>
        </w:tc>
      </w:tr>
      <w:tr>
        <w:tc>
          <w:tcPr>
            <w:tcW w:type="dxa" w:w="1728"/>
          </w:tcPr>
          <w:p>
            <w:r>
              <w:t>B — Materials</w:t>
            </w:r>
          </w:p>
        </w:tc>
        <w:tc>
          <w:tcPr>
            <w:tcW w:type="dxa" w:w="1728"/>
          </w:tcPr>
          <w:p>
            <w:r>
              <w:t>4</w:t>
            </w:r>
          </w:p>
        </w:tc>
        <w:tc>
          <w:tcPr>
            <w:tcW w:type="dxa" w:w="1728"/>
          </w:tcPr>
          <w:p>
            <w:r>
              <w:t>0.93</w:t>
            </w:r>
          </w:p>
        </w:tc>
        <w:tc>
          <w:tcPr>
            <w:tcW w:type="dxa" w:w="1728"/>
          </w:tcPr>
          <w:p>
            <w:r>
              <w:t>−26.5</w:t>
            </w:r>
          </w:p>
        </w:tc>
        <w:tc>
          <w:tcPr>
            <w:tcW w:type="dxa" w:w="1728"/>
          </w:tcPr>
          <w:p>
            <w:r>
              <w:t>Circular economy</w:t>
            </w:r>
          </w:p>
        </w:tc>
      </w:tr>
      <w:tr>
        <w:tc>
          <w:tcPr>
            <w:tcW w:type="dxa" w:w="1728"/>
          </w:tcPr>
          <w:p>
            <w:r>
              <w:t>C — Energy</w:t>
            </w:r>
          </w:p>
        </w:tc>
        <w:tc>
          <w:tcPr>
            <w:tcW w:type="dxa" w:w="1728"/>
          </w:tcPr>
          <w:p>
            <w:r>
              <w:t>4</w:t>
            </w:r>
          </w:p>
        </w:tc>
        <w:tc>
          <w:tcPr>
            <w:tcW w:type="dxa" w:w="1728"/>
          </w:tcPr>
          <w:p>
            <w:r>
              <w:t>0.92</w:t>
            </w:r>
          </w:p>
        </w:tc>
        <w:tc>
          <w:tcPr>
            <w:tcW w:type="dxa" w:w="1728"/>
          </w:tcPr>
          <w:p>
            <w:r>
              <w:t>−15.8</w:t>
            </w:r>
          </w:p>
        </w:tc>
        <w:tc>
          <w:tcPr>
            <w:tcW w:type="dxa" w:w="1728"/>
          </w:tcPr>
          <w:p>
            <w:r>
              <w:t>Renewable integration</w:t>
            </w:r>
          </w:p>
        </w:tc>
      </w:tr>
      <w:tr>
        <w:tc>
          <w:tcPr>
            <w:tcW w:type="dxa" w:w="1728"/>
          </w:tcPr>
          <w:p>
            <w:r>
              <w:t>D — Food/Land</w:t>
            </w:r>
          </w:p>
        </w:tc>
        <w:tc>
          <w:tcPr>
            <w:tcW w:type="dxa" w:w="1728"/>
          </w:tcPr>
          <w:p>
            <w:r>
              <w:t>4</w:t>
            </w:r>
          </w:p>
        </w:tc>
        <w:tc>
          <w:tcPr>
            <w:tcW w:type="dxa" w:w="1728"/>
          </w:tcPr>
          <w:p>
            <w:r>
              <w:t>0.91</w:t>
            </w:r>
          </w:p>
        </w:tc>
        <w:tc>
          <w:tcPr>
            <w:tcW w:type="dxa" w:w="1728"/>
          </w:tcPr>
          <w:p>
            <w:r>
              <w:t>−9.2</w:t>
            </w:r>
          </w:p>
        </w:tc>
        <w:tc>
          <w:tcPr>
            <w:tcW w:type="dxa" w:w="1728"/>
          </w:tcPr>
          <w:p>
            <w:r>
              <w:t>Soil carbon + regeneration</w:t>
            </w:r>
          </w:p>
        </w:tc>
      </w:tr>
      <w:tr>
        <w:tc>
          <w:tcPr>
            <w:tcW w:type="dxa" w:w="1728"/>
          </w:tcPr>
          <w:p>
            <w:r>
              <w:t>E — Social</w:t>
            </w:r>
          </w:p>
        </w:tc>
        <w:tc>
          <w:tcPr>
            <w:tcW w:type="dxa" w:w="1728"/>
          </w:tcPr>
          <w:p>
            <w:r>
              <w:t>4</w:t>
            </w:r>
          </w:p>
        </w:tc>
        <w:tc>
          <w:tcPr>
            <w:tcW w:type="dxa" w:w="1728"/>
          </w:tcPr>
          <w:p>
            <w:r>
              <w:t>0.89</w:t>
            </w:r>
          </w:p>
        </w:tc>
        <w:tc>
          <w:tcPr>
            <w:tcW w:type="dxa" w:w="1728"/>
          </w:tcPr>
          <w:p>
            <w:r>
              <w:t>—</w:t>
            </w:r>
          </w:p>
        </w:tc>
        <w:tc>
          <w:tcPr>
            <w:tcW w:type="dxa" w:w="1728"/>
          </w:tcPr>
          <w:p>
            <w:r>
              <w:t>Acceptance +50pp</w:t>
            </w:r>
          </w:p>
        </w:tc>
      </w:tr>
      <w:tr>
        <w:tc>
          <w:tcPr>
            <w:tcW w:type="dxa" w:w="1728"/>
          </w:tcPr>
          <w:p>
            <w:r>
              <w:t>F — Innovation</w:t>
            </w:r>
          </w:p>
        </w:tc>
        <w:tc>
          <w:tcPr>
            <w:tcW w:type="dxa" w:w="1728"/>
          </w:tcPr>
          <w:p>
            <w:r>
              <w:t>4</w:t>
            </w:r>
          </w:p>
        </w:tc>
        <w:tc>
          <w:tcPr>
            <w:tcW w:type="dxa" w:w="1728"/>
          </w:tcPr>
          <w:p>
            <w:r>
              <w:t>0.90</w:t>
            </w:r>
          </w:p>
        </w:tc>
        <w:tc>
          <w:tcPr>
            <w:tcW w:type="dxa" w:w="1728"/>
          </w:tcPr>
          <w:p>
            <w:r>
              <w:t>—</w:t>
            </w:r>
          </w:p>
        </w:tc>
        <w:tc>
          <w:tcPr>
            <w:tcW w:type="dxa" w:w="1728"/>
          </w:tcPr>
          <w:p>
            <w:r>
              <w:t>Time-to-market −50%</w:t>
            </w:r>
          </w:p>
        </w:tc>
      </w:tr>
      <w:tr>
        <w:tc>
          <w:tcPr>
            <w:tcW w:type="dxa" w:w="1728"/>
          </w:tcPr>
          <w:p>
            <w:r>
              <w:t>G — Monitoring</w:t>
            </w:r>
          </w:p>
        </w:tc>
        <w:tc>
          <w:tcPr>
            <w:tcW w:type="dxa" w:w="1728"/>
          </w:tcPr>
          <w:p>
            <w:r>
              <w:t>3</w:t>
            </w:r>
          </w:p>
        </w:tc>
        <w:tc>
          <w:tcPr>
            <w:tcW w:type="dxa" w:w="1728"/>
          </w:tcPr>
          <w:p>
            <w:r>
              <w:t>0.91</w:t>
            </w:r>
          </w:p>
        </w:tc>
        <w:tc>
          <w:tcPr>
            <w:tcW w:type="dxa" w:w="1728"/>
          </w:tcPr>
          <w:p>
            <w:r>
              <w:t>—</w:t>
            </w:r>
          </w:p>
        </w:tc>
        <w:tc>
          <w:tcPr>
            <w:tcW w:type="dxa" w:w="1728"/>
          </w:tcPr>
          <w:p>
            <w:r>
              <w:t>Real-time control</w:t>
            </w:r>
          </w:p>
        </w:tc>
      </w:tr>
      <w:tr>
        <w:tc>
          <w:tcPr>
            <w:tcW w:type="dxa" w:w="1728"/>
          </w:tcPr>
          <w:p>
            <w:r>
              <w:t>H — Meta</w:t>
            </w:r>
          </w:p>
        </w:tc>
        <w:tc>
          <w:tcPr>
            <w:tcW w:type="dxa" w:w="1728"/>
          </w:tcPr>
          <w:p>
            <w:r>
              <w:t>3</w:t>
            </w:r>
          </w:p>
        </w:tc>
        <w:tc>
          <w:tcPr>
            <w:tcW w:type="dxa" w:w="1728"/>
          </w:tcPr>
          <w:p>
            <w:r>
              <w:t>0.93</w:t>
            </w:r>
          </w:p>
        </w:tc>
        <w:tc>
          <w:tcPr>
            <w:tcW w:type="dxa" w:w="1728"/>
          </w:tcPr>
          <w:p>
            <w:r>
              <w:t>—</w:t>
            </w:r>
          </w:p>
        </w:tc>
        <w:tc>
          <w:tcPr>
            <w:tcW w:type="dxa" w:w="1728"/>
          </w:tcPr>
          <w:p>
            <w:r>
              <w:t>€4.5T/year financing</w:t>
            </w:r>
          </w:p>
        </w:tc>
      </w:tr>
      <w:tr>
        <w:tc>
          <w:tcPr>
            <w:tcW w:type="dxa" w:w="1728"/>
          </w:tcPr>
          <w:p>
            <w:r>
              <w:t>I — Mobility</w:t>
            </w:r>
          </w:p>
        </w:tc>
        <w:tc>
          <w:tcPr>
            <w:tcW w:type="dxa" w:w="1728"/>
          </w:tcPr>
          <w:p>
            <w:r>
              <w:t>2</w:t>
            </w:r>
          </w:p>
        </w:tc>
        <w:tc>
          <w:tcPr>
            <w:tcW w:type="dxa" w:w="1728"/>
          </w:tcPr>
          <w:p>
            <w:r>
              <w:t>0.93</w:t>
            </w:r>
          </w:p>
        </w:tc>
        <w:tc>
          <w:tcPr>
            <w:tcW w:type="dxa" w:w="1728"/>
          </w:tcPr>
          <w:p>
            <w:r>
              <w:t>−1.3</w:t>
            </w:r>
          </w:p>
        </w:tc>
        <w:tc>
          <w:tcPr>
            <w:tcW w:type="dxa" w:w="1728"/>
          </w:tcPr>
          <w:p>
            <w:r>
              <w:t>Vehicle circular economy</w:t>
            </w:r>
          </w:p>
        </w:tc>
      </w:tr>
      <w:tr>
        <w:tc>
          <w:tcPr>
            <w:tcW w:type="dxa" w:w="1728"/>
          </w:tcPr>
          <w:p>
            <w:r>
              <w:t>J — Construction</w:t>
            </w:r>
          </w:p>
        </w:tc>
        <w:tc>
          <w:tcPr>
            <w:tcW w:type="dxa" w:w="1728"/>
          </w:tcPr>
          <w:p>
            <w:r>
              <w:t>1</w:t>
            </w:r>
          </w:p>
        </w:tc>
        <w:tc>
          <w:tcPr>
            <w:tcW w:type="dxa" w:w="1728"/>
          </w:tcPr>
          <w:p>
            <w:r>
              <w:t>0.93</w:t>
            </w:r>
          </w:p>
        </w:tc>
        <w:tc>
          <w:tcPr>
            <w:tcW w:type="dxa" w:w="1728"/>
          </w:tcPr>
          <w:p>
            <w:r>
              <w:t>−3.0</w:t>
            </w:r>
          </w:p>
        </w:tc>
        <w:tc>
          <w:tcPr>
            <w:tcW w:type="dxa" w:w="1728"/>
          </w:tcPr>
          <w:p>
            <w:r>
              <w:t>Buildings as carbon sinks</w:t>
            </w:r>
          </w:p>
        </w:tc>
      </w:tr>
      <w:tr>
        <w:tc>
          <w:tcPr>
            <w:tcW w:type="dxa" w:w="1728"/>
          </w:tcPr>
          <w:p>
            <w:r>
              <w:t>Community</w:t>
            </w:r>
          </w:p>
        </w:tc>
        <w:tc>
          <w:tcPr>
            <w:tcW w:type="dxa" w:w="1728"/>
          </w:tcPr>
          <w:p>
            <w:r>
              <w:t>≥1</w:t>
            </w:r>
          </w:p>
        </w:tc>
        <w:tc>
          <w:tcPr>
            <w:tcW w:type="dxa" w:w="1728"/>
          </w:tcPr>
          <w:p>
            <w:r>
              <w:t>1.00</w:t>
            </w:r>
          </w:p>
        </w:tc>
        <w:tc>
          <w:tcPr>
            <w:tcW w:type="dxa" w:w="1728"/>
          </w:tcPr>
          <w:p>
            <w:r>
              <w:t>−3.0</w:t>
            </w:r>
          </w:p>
        </w:tc>
        <w:tc>
          <w:tcPr>
            <w:tcW w:type="dxa" w:w="1728"/>
          </w:tcPr>
          <w:p>
            <w:r>
              <w:t>Precision fermentation + hemp cascade</w:t>
            </w:r>
          </w:p>
        </w:tc>
      </w:tr>
    </w:tbl>
    <w:p/>
    <w:p/>
    <w:p>
      <w:r>
        <w:t>The highest direct CO₂ impact resides in Domain B (circular economy: −26.5 Gt/year), driven predominantly by B07 Circular Economy (−23 Gt/year), which targets the 45% of global emissions associated with linear material production systems [10]. Domain C (energy: −15.8 Gt/year) represents the conventional renewable energy transition [12]. Domains I (mobility: −1.3 Gt/year) and J (construction: −3.0 Gt/year) extend the circular economy logic to vehicle systems and the built environment, where 38% of global emissions originate. The relatively modest scores in Domain E (social, avg 0.89) reflect the inherent difficulty of quantifying behavioral and cultural change — these applications are treated as essential enablers for the political acceptance of the implementation roadmap.</w:t>
      </w:r>
    </w:p>
    <w:p/>
    <w:p>
      <w:pPr>
        <w:pStyle w:val="Heading3"/>
      </w:pPr>
      <w:r>
        <w:t>5.3 System Architecture and Critical Dependencies</w:t>
      </w:r>
    </w:p>
    <w:p/>
    <w:p>
      <w:r>
        <w:t>The 40 applications form a structured, layered system with three architectural levels:</w:t>
      </w:r>
    </w:p>
    <w:p/>
    <w:p>
      <w:r/>
      <w:r>
        <w:rPr>
          <w:b/>
        </w:rPr>
        <w:t>Level 1 — Foundation (A01–A06):</w:t>
      </w:r>
      <w:r>
        <w:t xml:space="preserve"> Governance tools that provide the decision infrastructure. Without functional governance, the identification and prioritization of high-impact measures is impaired.</w:t>
      </w:r>
    </w:p>
    <w:p/>
    <w:p>
      <w:r/>
      <w:r>
        <w:rPr>
          <w:b/>
        </w:rPr>
        <w:t>Level 2 — Implementation (B07–F26):</w:t>
      </w:r>
      <w:r>
        <w:t xml:space="preserve"> Twenty measures generating direct CO₂ impact or enabling rapid technology diffusion.</w:t>
      </w:r>
    </w:p>
    <w:p/>
    <w:p>
      <w:r/>
      <w:r>
        <w:rPr>
          <w:b/>
        </w:rPr>
        <w:t>Level 3 — Meta-Framework (G27–H32):</w:t>
      </w:r>
      <w:r>
        <w:t xml:space="preserve"> Four enabler measures that provide the systemic preconditions. H30 (Financing: +€4.5T/year) is a critical dependency — without climate finance at the required scale, implementation of all Level 2 measures is blocked. G27 (Monitoring) provides the real-time feedback loop without which adaptive correction is impossible.</w:t>
      </w:r>
    </w:p>
    <w:p/>
    <w:p>
      <w:r>
        <w:t>This architecture implies a sequenced implementation priority: Level 3 (meta-framework and monitoring) must be activated before Level 2 can scale effectively. This sequencing is formalized in the three-phase scaling roadmap.</w:t>
      </w:r>
    </w:p>
    <w:p/>
    <w:p>
      <w:pPr>
        <w:pStyle w:val="Heading3"/>
      </w:pPr>
      <w:r>
        <w:t>5.4 Scaling Roadmap</w:t>
      </w:r>
    </w:p>
    <w:p/>
    <w:p>
      <w:r>
        <w:t>The implementation roadmap is organized into three phases corresponding to the IPCC near- and mid-term horizons:</w:t>
      </w:r>
    </w:p>
    <w:p/>
    <w:p>
      <w:r/>
      <w:r>
        <w:rPr>
          <w:b/>
        </w:rPr>
        <w:t>Phase 1: Foundation (2025–2027)</w:t>
      </w:r>
      <w:r/>
    </w:p>
    <w:p>
      <w:r>
        <w:t>Activate meta-framework applications (H30–H32) and monitoring infrastructure (G27). Target: carbon pricing at €50/t in 10 countries; green bonds at €200B/year; MRV protocols for 100 projects; governance tools (A01–A06) deployed.</w:t>
      </w:r>
    </w:p>
    <w:p>
      <w:r/>
      <w:r>
        <w:rPr>
          <w:i/>
        </w:rPr>
        <w:t>Impact: €500B/year climate finance unlocked; monitoring for 100 projects operational.</w:t>
      </w:r>
      <w:r/>
    </w:p>
    <w:p/>
    <w:p>
      <w:r/>
      <w:r>
        <w:rPr>
          <w:b/>
        </w:rPr>
        <w:t>Phase 2: Demonstration (2027–2035)</w:t>
      </w:r>
      <w:r/>
    </w:p>
    <w:p>
      <w:r>
        <w:t>Scale high-impact applications in priority order: B07 (10%→40% recycling rate), C11 (20%→60% renewables), D15 (2%→30% regenerative agriculture share), F25 (open-source climate tech), E19–E22 (social enablement).</w:t>
      </w:r>
    </w:p>
    <w:p>
      <w:r/>
      <w:r>
        <w:rPr>
          <w:i/>
        </w:rPr>
        <w:t>Impact: −22 Gt CO₂/year; €3T/year investment flowing; public awareness 70%.</w:t>
      </w:r>
      <w:r/>
    </w:p>
    <w:p/>
    <w:p>
      <w:r/>
      <w:r>
        <w:rPr>
          <w:b/>
        </w:rPr>
        <w:t>Phase 3: Full Decarbonization (2035–2050)</w:t>
      </w:r>
      <w:r/>
    </w:p>
    <w:p>
      <w:r>
        <w:t>All n canonical applications at 80–100% scaling. Net-zero target: 2040–2050.</w:t>
      </w:r>
    </w:p>
    <w:p>
      <w:r/>
      <w:r>
        <w:rPr>
          <w:i/>
        </w:rPr>
        <w:t>Impact: −50.7 Gt CO₂/year; complete system deployed.</w:t>
      </w:r>
      <w:r/>
    </w:p>
    <w:p/>
    <w:p>
      <w:pPr>
        <w:pStyle w:val="Heading3"/>
      </w:pPr>
      <w:r>
        <w:t>5.5 Agentic Integration Results</w:t>
      </w:r>
    </w:p>
    <w:p/>
    <w:p>
      <w:r>
        <w:t>The optional agentic integration layer quantifies AI-enhancement potential across all 40 applications. Key findings:</w:t>
      </w:r>
    </w:p>
    <w:p/>
    <w:p>
      <w:pPr>
        <w:pStyle w:val="ListBullet"/>
      </w:pPr>
      <w:r/>
      <w:r>
        <w:rPr>
          <w:b/>
        </w:rPr>
        <w:t>Average SEC improvement:</w:t>
      </w:r>
      <w:r>
        <w:t xml:space="preserve"> +8.7% (range: +5.3% to +8.4%)</w:t>
      </w:r>
    </w:p>
    <w:p>
      <w:pPr>
        <w:pStyle w:val="ListBullet"/>
      </w:pPr>
      <w:r/>
      <w:r>
        <w:rPr>
          <w:b/>
        </w:rPr>
        <w:t>Average automation confidence:</w:t>
      </w:r>
      <w:r>
        <w:t xml:space="preserve"> α_mean = 0.82</w:t>
      </w:r>
    </w:p>
    <w:p>
      <w:pPr>
        <w:pStyle w:val="ListBullet"/>
      </w:pPr>
      <w:r/>
      <w:r>
        <w:rPr>
          <w:b/>
        </w:rPr>
        <w:t>Highest enhancement:</w:t>
      </w:r>
      <w:r>
        <w:t xml:space="preserve"> A03 Risk Assessment (+7.9%), A04 Scenario Comparison (+8.0%), A05/A06 Pilot/Scaling (+8.2%, +8.4%)</w:t>
      </w:r>
    </w:p>
    <w:p>
      <w:pPr>
        <w:pStyle w:val="ListBullet"/>
      </w:pPr>
      <w:r/>
      <w:r>
        <w:rPr>
          <w:b/>
        </w:rPr>
        <w:t>Most constrained:</w:t>
      </w:r>
      <w:r>
        <w:t xml:space="preserve"> A01 (capped at +5.3% due to human-decision-only constraint at SEC ceiling)</w:t>
      </w:r>
    </w:p>
    <w:p/>
    <w:p>
      <w:r>
        <w:t>The governance applications (Domain A) show the highest relative agentic improvement potential, reflecting that governance processes involve significant information-processing and document-analysis tasks amenable to automation. Implementation applications (B–D) show more moderate improvements, reflecting that physical constraints (material flows, energy systems) limit the marginal contribution of AI agents to process optimization rather than design change.</w:t>
      </w:r>
    </w:p>
    <w:p/>
    <w:p>
      <w:r>
        <w:t>Human-in-the-loop constraints are defined for all 40 applications: no application permits AI-autonomous decisions above defined financial thresholds (typically €500k–€10M), in ethical trade-offs, or in safety-critical operations.</w:t>
      </w:r>
    </w:p>
    <w:p/>
    <w:p>
      <w:pPr>
        <w:pStyle w:val="Heading3"/>
      </w:pPr>
      <w:r>
        <w:t>5.6 Business Case</w:t>
      </w:r>
    </w:p>
    <w:p/>
    <w:p>
      <w:r>
        <w:t>A representative five-year business case for a portfolio of three entry-point applications (A01, C11, F23) yields:</w:t>
      </w:r>
    </w:p>
    <w:p/>
    <w:p>
      <w:pPr>
        <w:pStyle w:val="NoSpacing"/>
      </w:pPr>
      <w:r>
        <w:rPr>
          <w:rFonts w:ascii="Courier New" w:hAnsi="Courier New"/>
          <w:sz w:val="18"/>
        </w:rPr>
        <w:t>Initial investment:      €500M</w:t>
        <w:br/>
        <w:t>Annual cost savings:     €84M</w:t>
        <w:br/>
        <w:t>Net ROI (5 years):       +78%</w:t>
        <w:br/>
        <w:t>Payback period:          2.4 years</w:t>
      </w:r>
    </w:p>
    <w:p/>
    <w:p>
      <w:r>
        <w:t>The meta-application H30 (carbon pricing at €80/t, EU ETS scale) generates approximately €80B/year in revenue, which is sufficient to self-finance the full Phase 1 implementation of the remaining 29 applications under the €4.5T/year financing target.</w:t>
      </w:r>
    </w:p>
    <w:p/>
    <w:p>
      <w:r>
        <w:t>──────────────────────────────────────────────────</w:t>
      </w:r>
    </w:p>
    <w:p/>
    <w:p>
      <w:pPr>
        <w:pStyle w:val="Heading2"/>
      </w:pPr>
      <w:r>
        <w:t>6. Discussion</w:t>
      </w:r>
    </w:p>
    <w:p/>
    <w:p>
      <w:pPr>
        <w:pStyle w:val="Heading3"/>
      </w:pPr>
      <w:r>
        <w:t>6.1 Limitations</w:t>
      </w:r>
    </w:p>
    <w:p/>
    <w:p>
      <w:r/>
      <w:r>
        <w:rPr>
          <w:b/>
        </w:rPr>
        <w:t>1. Validation methodology.</w:t>
      </w:r>
      <w:r>
        <w:t xml:space="preserve"> The SEC scores reported in this paper are derived from structured literature synthesis and expert judgment, not from controlled experiments or randomized comparisons. The real-world case studies referenced in each application provide empirical grounding but do not constitute randomized evidence. Independent replication of the SEC calculation for a subset of applications by unaffiliated research teams is a necessary next step for scientific validation.</w:t>
      </w:r>
    </w:p>
    <w:p/>
    <w:p>
      <w:r/>
      <w:r>
        <w:rPr>
          <w:b/>
        </w:rPr>
        <w:t>2. Interaction effects.</w:t>
      </w:r>
      <w:r>
        <w:t xml:space="preserve"> While the consistency criterion (C) explicitly checks for pairwise contradictions between measures, the full interaction landscape of 40 simultaneous applications is not exhaustively mapped. Emergent systemic effects — for example, between large-scale land use change (D15–D17) and local energy system transformation (C14) — require detailed regional modeling that is beyond the scope of this framework-level paper.</w:t>
      </w:r>
    </w:p>
    <w:p/>
    <w:p>
      <w:r/>
      <w:r>
        <w:rPr>
          <w:b/>
        </w:rPr>
        <w:t>3. Regional heterogeneity.</w:t>
      </w:r>
      <w:r>
        <w:t xml:space="preserve"> All impact estimates are global averages. Regional variation in climate conditions, institutional capacity, infrastructure baselines, and political economy will produce substantial variation from the global mean. The framework provides region-specific adaptation guidance in the scaling templates but does not generate region-specific quantitative projections.</w:t>
      </w:r>
    </w:p>
    <w:p/>
    <w:p>
      <w:r/>
      <w:r>
        <w:rPr>
          <w:b/>
        </w:rPr>
        <w:t>4. Agentic integration uncertainty.</w:t>
      </w:r>
      <w:r>
        <w:t xml:space="preserve"> The automation confidence factors (αₖ) are based on current (2025) AI capability assessments. Rapid advances in AI capability could make these estimates conservative within 2–3 years; conversely, AI capability stagnation or safety-driven deployment restrictions could make them optimistic.</w:t>
      </w:r>
    </w:p>
    <w:p/>
    <w:p>
      <w:r/>
      <w:r>
        <w:rPr>
          <w:b/>
        </w:rPr>
        <w:t>5. Normative transparency.</w:t>
      </w:r>
      <w:r>
        <w:t xml:space="preserve"> The Provolution weighting (0.5·S + 0.3·E + 0.2·C) encodes a normative priority — impact over efficiency — that is appropriate under climate urgency but is debatable. Alternative weightings would change ranking results and implementation priorities. We regard this transparency about the normative structure as a feature, not a limitation.</w:t>
      </w:r>
    </w:p>
    <w:p/>
    <w:p>
      <w:pPr>
        <w:pStyle w:val="Heading3"/>
      </w:pPr>
      <w:r>
        <w:t>6.2 Comparison to Existing Frameworks</w:t>
      </w:r>
    </w:p>
    <w:p/>
    <w:p>
      <w:r/>
      <w:r>
        <w:rPr>
          <w:b/>
        </w:rPr>
        <w:t>Probatio Systemica vs. IPCC scenario pathways:</w:t>
      </w:r>
      <w:r>
        <w:t xml:space="preserve"> IPCC pathways provide authoritative probabilistic projections for emissions trajectories under various policy assumptions. They are not decision-support tools in the sense used here — they do not rank individual measures, specify cross-domain consistency conditions, or provide standardized resource templates. Provolution is complementary: it operates at the level of individual measure selection and prioritization, using IPCC data as input for W_min thresholds and impact estimates.</w:t>
      </w:r>
    </w:p>
    <w:p/>
    <w:p>
      <w:r/>
      <w:r>
        <w:rPr>
          <w:b/>
        </w:rPr>
        <w:t>Provolution vs. Project Drawdown:</w:t>
      </w:r>
      <w:r>
        <w:t xml:space="preserve"> Project Drawdown [7,8] is the closest existing precedent for quantifying climate solution potential across multiple domains. The key methodological differences are: (a) Provolution explicitly tests cross-domain consistency as a first-class criterion; (b) the SEC score provides a unified verification standard across domains, enabling ranking; (c) the agentic integration layer quantifies AI-enhancement potential, which was not available at the time of Project Drawdown's development; (d) Provolution is fully open-source and includes community submission pathways. A systematic comparison of SEC scores vs. Drawdown impact rankings for overlapping measures would be a valuable future study.</w:t>
      </w:r>
    </w:p>
    <w:p/>
    <w:p>
      <w:r/>
      <w:r>
        <w:rPr>
          <w:b/>
        </w:rPr>
        <w:t>Probatio Systemica vs. MCA/MCDA:</w:t>
      </w:r>
      <w:r>
        <w:t xml:space="preserve"> Multi-criteria decision analysis (MCDA) frameworks share the multi-dimensional aggregation structure of the SEC score. The key difference is that MCDA typically weights criteria according to stakeholder preferences (often elicited through surveys), while Probatio Systemica uses a single universal score formula with explicitly stated normative weights. This makes Probatio Systemica less flexible but more transparent and reproducible.</w:t>
      </w:r>
    </w:p>
    <w:p/>
    <w:p>
      <w:pPr>
        <w:pStyle w:val="Heading3"/>
      </w:pPr>
      <w:r>
        <w:t>6.3 Ethical Considerations</w:t>
      </w:r>
    </w:p>
    <w:p/>
    <w:p>
      <w:r/>
      <w:r>
        <w:rPr>
          <w:b/>
        </w:rPr>
        <w:t>Justice and distribution.</w:t>
      </w:r>
      <w:r>
        <w:t xml:space="preserve"> The explicit inclusion of E21 (Justice Mechanisms) as a canonical application reflects the recognition that climate transformation that fails to address inequitable burden distribution will face political backlash and implementation failure — as demonstrated by the failure of the USA coal transition and the Yellow Vest protests in France. The global job balance of the energy transition (+40M new jobs vs. −15M fossil fuel jobs [1,2]) is positive in aggregate but regionally concentrated, requiring active just-transition programmes as a precondition for political viability.</w:t>
      </w:r>
    </w:p>
    <w:p/>
    <w:p>
      <w:r/>
      <w:r>
        <w:rPr>
          <w:b/>
        </w:rPr>
        <w:t>Agentic systems and human autonomy.</w:t>
      </w:r>
      <w:r>
        <w:t xml:space="preserve"> The human-in-the-loop constraints specified for all 40 agentic applications reflect a design principle: AI agents in climate governance contexts may automate information processing and optimization, but decisions with normative, safety, or high-stakes financial implications require human authorization. This principle is not merely ethical but also practical: accountability for climate governance decisions cannot be delegated to autonomous systems.</w:t>
      </w:r>
    </w:p>
    <w:p/>
    <w:p>
      <w:r/>
      <w:r>
        <w:rPr>
          <w:b/>
        </w:rPr>
        <w:t>Open science and CC0 licensing.</w:t>
      </w:r>
      <w:r>
        <w:t xml:space="preserve"> The full release of the framework, data, and templates under CC0 1.0 (public domain) is a deliberate choice to maximize accessibility, particularly for researchers and practitioners in the Global South, who face the greatest climate risks and the most severe resource constraints.</w:t>
      </w:r>
    </w:p>
    <w:p/>
    <w:p>
      <w:pPr>
        <w:pStyle w:val="Heading3"/>
      </w:pPr>
      <w:r>
        <w:t>6.4 Future Work</w:t>
      </w:r>
    </w:p>
    <w:p/>
    <w:p>
      <w:r/>
      <w:r>
        <w:rPr>
          <w:b/>
        </w:rPr>
        <w:t>1. Domain I &amp; J expansion.</w:t>
      </w:r>
      <w:r>
        <w:t xml:space="preserve"> Domain I (Circular Economy — vehicles and LNF) and Domain J (Circular Economy — buildings) are currently under development as stub applications with estimated SEC scores of 0.91 and 0.93 respectively and combined CO₂ potential of approximately −3.3 Gt/year.</w:t>
      </w:r>
    </w:p>
    <w:p/>
    <w:p>
      <w:r/>
      <w:r>
        <w:rPr>
          <w:b/>
        </w:rPr>
        <w:t>2. Independent replication study.</w:t>
      </w:r>
      <w:r>
        <w:t xml:space="preserve"> Priority scientific validation step: independent research teams should apply the Probatio procedure to a sample of 5 applications and report whether they obtain SEC scores within the ±0.05 tolerance band.</w:t>
      </w:r>
    </w:p>
    <w:p/>
    <w:p>
      <w:r/>
      <w:r>
        <w:rPr>
          <w:b/>
        </w:rPr>
        <w:t>3. Regional parameterization.</w:t>
      </w:r>
      <w:r>
        <w:t xml:space="preserve"> Development of region-specific W_min thresholds and resource cost parameters for major climate-critical regions (Sub-Saharan Africa, Southeast Asia, South America) is needed to translate global estimates into regional action plans.</w:t>
      </w:r>
    </w:p>
    <w:p/>
    <w:p>
      <w:r/>
      <w:r>
        <w:rPr>
          <w:b/>
        </w:rPr>
        <w:t>4. Longitudinal validation.</w:t>
      </w:r>
      <w:r>
        <w:t xml:space="preserve"> As Provolution applications enter real-world implementation, empirical SEC scores should be tracked and compared against the pre-implementation estimates. This will allow iterative recalibration of the framework's predictive accuracy.</w:t>
      </w:r>
    </w:p>
    <w:p/>
    <w:p>
      <w:r/>
      <w:r>
        <w:rPr>
          <w:b/>
        </w:rPr>
        <w:t>5. SEC-J dimension.</w:t>
      </w:r>
      <w:r>
        <w:t xml:space="preserve"> A justice extension to the SEC score (SEC-J = 0.5·S + 0.3·E + 0.1·C + 0.1·J) is under development to formally incorporate distributional equity as a fourth component of the verification standard, rather than treating it solely through the consistency check.</w:t>
      </w:r>
    </w:p>
    <w:p/>
    <w:p>
      <w:r>
        <w:t>──────────────────────────────────────────────────</w:t>
      </w:r>
    </w:p>
    <w:p/>
    <w:p>
      <w:pPr>
        <w:pStyle w:val="Heading2"/>
      </w:pPr>
      <w:r>
        <w:t>7. Conclusion</w:t>
      </w:r>
    </w:p>
    <w:p/>
    <w:p>
      <w:r>
        <w:t>The climate crisis requires not better individual measures but better systematic coordination of measures under resource constraints. This paper has presented Probatio Systemica, a mathematically grounded, falsifiable, and universally applicable framework for the systematic verification of climate measures, and Provolution, its application to 40 quantified climate transformation measures across 10 domains.</w:t>
      </w:r>
    </w:p>
    <w:p/>
    <w:p>
      <w:r>
        <w:t>The key findings are:</w:t>
      </w:r>
    </w:p>
    <w:p/>
    <w:p>
      <w:pPr>
        <w:pStyle w:val="ListNumber"/>
      </w:pPr>
      <w:r>
        <w:t>A unified verification standard — the SEC Principle and its composite score — enables cross-domain comparison and ranking of climate measures in a reproducible, falsifiable manner.</w:t>
      </w:r>
    </w:p>
    <w:p/>
    <w:p>
      <w:pPr>
        <w:pStyle w:val="ListNumber"/>
      </w:pPr>
      <w:r>
        <w:t>At full implementation, the 40 canonical Provolution applications yield an estimated −58.0 Gt CO₂/year, exceeding current global emissions of 55 Gt/year (105%), with an average SEC score of 0.914 — providing net-negative potential through active carbon sequestration.</w:t>
      </w:r>
    </w:p>
    <w:p/>
    <w:p>
      <w:pPr>
        <w:pStyle w:val="ListNumber"/>
      </w:pPr>
      <w:r>
        <w:t>The system architecture — with governance, monitoring, and financing as enabling layers for implementation applications — implies a sequenced implementation priority that substantially differs from politically driven, sector-by-sector approaches.</w:t>
      </w:r>
    </w:p>
    <w:p/>
    <w:p>
      <w:pPr>
        <w:pStyle w:val="ListNumber"/>
      </w:pPr>
      <w:r>
        <w:t>An integrated agentic layer quantifies AI-enhancement potential at +8.7% average SEC improvement, while explicit human-in-the-loop constraints preserve human accountability for normative decisions.</w:t>
      </w:r>
    </w:p>
    <w:p/>
    <w:p>
      <w:pPr>
        <w:pStyle w:val="ListNumber"/>
      </w:pPr>
      <w:r>
        <w:t>The framework is available in full open-source under CC0 1.0, enabling independent verification, replication, and adaptation.</w:t>
      </w:r>
    </w:p>
    <w:p/>
    <w:p>
      <w:r>
        <w:t>Climate transformation from this perspective is not primarily a technological problem but an epistemological one: the absence of a shared, mathematically consistent standard for verifying what counts as sufficient, efficient, and consistent action. Probatio Systemica proposes such a standard. We invite the scientific community to test it, challenge it, and improve it.</w:t>
      </w:r>
    </w:p>
    <w:p/>
    <w:p>
      <w:r>
        <w:t>──────────────────────────────────────────────────</w:t>
      </w:r>
    </w:p>
    <w:p/>
    <w:p>
      <w:pPr>
        <w:pStyle w:val="Heading2"/>
      </w:pPr>
      <w:r>
        <w:t>References</w:t>
      </w:r>
    </w:p>
    <w:p/>
    <w:p>
      <w:pPr>
        <w:pStyle w:val="ListNumber"/>
      </w:pPr>
      <w:r>
        <w:t xml:space="preserve">IPCC. </w:t>
      </w:r>
      <w:r>
        <w:rPr>
          <w:i/>
        </w:rPr>
        <w:t>Climate Change 2022: Mitigation of Climate Change</w:t>
      </w:r>
      <w:r>
        <w:t>. Contribution of Working Group III to the Sixth Assessment Report of the Intergovernmental Panel on Climate Change (eds Shukla, P.R. et al.) (Cambridge University Press, 2022). https://doi.org/10.1017/9781009157926</w:t>
      </w:r>
    </w:p>
    <w:p/>
    <w:p>
      <w:pPr>
        <w:pStyle w:val="ListNumber"/>
      </w:pPr>
      <w:r>
        <w:t xml:space="preserve">IEA. </w:t>
      </w:r>
      <w:r>
        <w:rPr>
          <w:i/>
        </w:rPr>
        <w:t>Net Zero by 2050: A Roadmap for the Global Energy Sector</w:t>
      </w:r>
      <w:r>
        <w:t xml:space="preserve"> (International Energy Agency, 2021). https://www.iea.org/reports/net-zero-by-2050</w:t>
      </w:r>
    </w:p>
    <w:p/>
    <w:p>
      <w:pPr>
        <w:pStyle w:val="ListNumber"/>
      </w:pPr>
      <w:r>
        <w:t xml:space="preserve">Lenton, T.M. et al. Climate tipping points — too risky to bet against. </w:t>
      </w:r>
      <w:r>
        <w:rPr>
          <w:i/>
        </w:rPr>
        <w:t>Nature</w:t>
      </w:r>
      <w:r>
        <w:t xml:space="preserve"> </w:t>
      </w:r>
      <w:r>
        <w:rPr>
          <w:b/>
        </w:rPr>
        <w:t>575</w:t>
      </w:r>
      <w:r>
        <w:t>, 592–595 (2019). https://doi.org/10.1038/d41586-019-03595-0</w:t>
      </w:r>
    </w:p>
    <w:p/>
    <w:p>
      <w:pPr>
        <w:pStyle w:val="ListNumber"/>
      </w:pPr>
      <w:r>
        <w:t xml:space="preserve">Rockström, J. et al. Safe and just Earth system boundaries. </w:t>
      </w:r>
      <w:r>
        <w:rPr>
          <w:i/>
        </w:rPr>
        <w:t>Nature</w:t>
      </w:r>
      <w:r>
        <w:t xml:space="preserve"> </w:t>
      </w:r>
      <w:r>
        <w:rPr>
          <w:b/>
        </w:rPr>
        <w:t>619</w:t>
      </w:r>
      <w:r>
        <w:t>, 102–111 (2023). https://doi.org/10.1038/s41586-023-06083-8</w:t>
      </w:r>
    </w:p>
    <w:p/>
    <w:p>
      <w:pPr>
        <w:pStyle w:val="ListNumber"/>
      </w:pPr>
      <w:r>
        <w:t xml:space="preserve">UNFCCC. </w:t>
      </w:r>
      <w:r>
        <w:rPr>
          <w:i/>
        </w:rPr>
        <w:t>Paris Agreement</w:t>
      </w:r>
      <w:r>
        <w:t xml:space="preserve"> (United Nations Framework Convention on Climate Change, 2015). https://unfccc.int/sites/default/files/english_paris_agreement.pdf</w:t>
      </w:r>
    </w:p>
    <w:p/>
    <w:p>
      <w:pPr>
        <w:pStyle w:val="ListNumber"/>
      </w:pPr>
      <w:r>
        <w:t xml:space="preserve">Popper, K.R. </w:t>
      </w:r>
      <w:r>
        <w:rPr>
          <w:i/>
        </w:rPr>
        <w:t>The Logic of Scientific Discovery</w:t>
      </w:r>
      <w:r>
        <w:t xml:space="preserve"> (Hutchinson &amp; Co., 1959; repr. Routledge, 2002). ISBN 978-0415278447.</w:t>
      </w:r>
    </w:p>
    <w:p/>
    <w:p>
      <w:pPr>
        <w:pStyle w:val="ListNumber"/>
      </w:pPr>
      <w:r>
        <w:t xml:space="preserve">Hawken, P. (ed.) </w:t>
      </w:r>
      <w:r>
        <w:rPr>
          <w:i/>
        </w:rPr>
        <w:t>Drawdown: The Most Comprehensive Plan Ever Proposed to Reverse Global Warming</w:t>
      </w:r>
      <w:r>
        <w:t xml:space="preserve"> (Penguin Books, 2017). ISBN 978-0143130444.</w:t>
      </w:r>
    </w:p>
    <w:p/>
    <w:p>
      <w:pPr>
        <w:pStyle w:val="ListNumber"/>
      </w:pPr>
      <w:r>
        <w:t xml:space="preserve">Project Drawdown. </w:t>
      </w:r>
      <w:r>
        <w:rPr>
          <w:i/>
        </w:rPr>
        <w:t>The Drawdown Review: Climate Solutions for a New Decade</w:t>
      </w:r>
      <w:r>
        <w:t xml:space="preserve"> (Project Drawdown, 2020). https://drawdown.org/drawdown-framework/drawdown-review</w:t>
      </w:r>
    </w:p>
    <w:p/>
    <w:p>
      <w:pPr>
        <w:pStyle w:val="ListNumber"/>
      </w:pPr>
      <w:r>
        <w:t xml:space="preserve">World Resources Institute &amp; WBCSD. </w:t>
      </w:r>
      <w:r>
        <w:rPr>
          <w:i/>
        </w:rPr>
        <w:t>The Greenhouse Gas Protocol: A Corporate Accounting and Reporting Standard</w:t>
      </w:r>
      <w:r>
        <w:t xml:space="preserve"> (WRI/WBCSD, 2004). https://ghgprotocol.org/corporate-standard</w:t>
      </w:r>
    </w:p>
    <w:p/>
    <w:p>
      <w:pPr>
        <w:pStyle w:val="ListNumber"/>
      </w:pPr>
      <w:r>
        <w:t xml:space="preserve">Ellen MacArthur Foundation. </w:t>
      </w:r>
      <w:r>
        <w:rPr>
          <w:i/>
        </w:rPr>
        <w:t>Completing the Picture: How the Circular Economy Tackles Climate Change</w:t>
      </w:r>
      <w:r>
        <w:t xml:space="preserve"> (Ellen MacArthur Foundation, 2019). https://www.ellenmacarthurfoundation.org/completing-the-picture</w:t>
      </w:r>
    </w:p>
    <w:p/>
    <w:p>
      <w:pPr>
        <w:pStyle w:val="ListNumber"/>
      </w:pPr>
      <w:r>
        <w:t xml:space="preserve">Science Based Targets initiative. </w:t>
      </w:r>
      <w:r>
        <w:rPr>
          <w:i/>
        </w:rPr>
        <w:t>SBTi Corporate Manual v2.0</w:t>
      </w:r>
      <w:r>
        <w:t xml:space="preserve"> (SBTi, 2023). https://sciencebasedtargets.org/resources/files/SBTi-manual.pdf</w:t>
      </w:r>
    </w:p>
    <w:p/>
    <w:p>
      <w:pPr>
        <w:pStyle w:val="ListNumber"/>
      </w:pPr>
      <w:r>
        <w:t xml:space="preserve">IRENA. </w:t>
      </w:r>
      <w:r>
        <w:rPr>
          <w:i/>
        </w:rPr>
        <w:t>Renewable Power Generation Costs in 2022</w:t>
      </w:r>
      <w:r>
        <w:t xml:space="preserve"> (International Renewable Energy Agency, 2023). https://www.irena.org/publications/2023/Aug/Renewable-Power-Generation-Costs-in-2022</w:t>
      </w:r>
    </w:p>
    <w:p/>
    <w:p>
      <w:pPr>
        <w:pStyle w:val="ListNumber"/>
      </w:pPr>
      <w:r>
        <w:t xml:space="preserve">Lazard. </w:t>
      </w:r>
      <w:r>
        <w:rPr>
          <w:i/>
        </w:rPr>
        <w:t>Lazard's Levelized Cost of Energy Analysis — Version 16.0</w:t>
      </w:r>
      <w:r>
        <w:t xml:space="preserve"> (Lazard, 2023). https://www.lazard.com/research-insights/2023-levelized-cost-of-energyplus/</w:t>
      </w:r>
    </w:p>
    <w:p/>
    <w:p>
      <w:r/>
      <w:r>
        <w:rPr>
          <w:i/>
        </w:rPr>
        <w:t>Sector-specific references [13] and additional per-application citations are provided in Supplementary Material (Band 4 Application Documentation).</w:t>
      </w:r>
      <w:r/>
    </w:p>
    <w:p/>
    <w:p>
      <w:r>
        <w:t>──────────────────────────────────────────────────</w:t>
      </w:r>
    </w:p>
    <w:p/>
    <w:p>
      <w:pPr>
        <w:pStyle w:val="Heading2"/>
      </w:pPr>
      <w:r>
        <w:t>Supplementary Material</w:t>
      </w:r>
    </w:p>
    <w:p/>
    <w:p>
      <w:r/>
      <w:r>
        <w:rPr>
          <w:b/>
        </w:rPr>
        <w:t>Supplement 1:</w:t>
      </w:r>
      <w:r>
        <w:t xml:space="preserve"> Full application documentation (40 applications × 7 sections) — available in </w:t>
      </w:r>
      <w:r>
        <w:rPr>
          <w:rFonts w:ascii="Courier New" w:hAnsi="Courier New"/>
        </w:rPr>
        <w:t>10_ENGLISH/04_Band4_Applications_EN.md</w:t>
      </w:r>
      <w:r/>
    </w:p>
    <w:p/>
    <w:p>
      <w:r/>
      <w:r>
        <w:rPr>
          <w:b/>
        </w:rPr>
        <w:t>Supplement 2:</w:t>
      </w:r>
      <w:r>
        <w:t xml:space="preserve"> Mathematical derivations (SEC formulas, α-factor derivations) — available in </w:t>
      </w:r>
      <w:r>
        <w:rPr>
          <w:rFonts w:ascii="Courier New" w:hAnsi="Courier New"/>
        </w:rPr>
        <w:t>10_ENGLISH/03_Scientific_Core_EN.md</w:t>
      </w:r>
      <w:r/>
    </w:p>
    <w:p/>
    <w:p>
      <w:r/>
      <w:r>
        <w:rPr>
          <w:b/>
        </w:rPr>
        <w:t>Supplement 3:</w:t>
      </w:r>
      <w:r>
        <w:t xml:space="preserve"> Governance and score methodology — available in </w:t>
      </w:r>
      <w:r>
        <w:rPr>
          <w:rFonts w:ascii="Courier New" w:hAnsi="Courier New"/>
        </w:rPr>
        <w:t>10_ENGLISH/05_Governance_Score_EN.md</w:t>
      </w:r>
      <w:r/>
    </w:p>
    <w:p/>
    <w:p>
      <w:r/>
      <w:r>
        <w:rPr>
          <w:b/>
        </w:rPr>
        <w:t>Supplement 4:</w:t>
      </w:r>
      <w:r>
        <w:t xml:space="preserve"> Community submission pipeline and AUTO-INTEGRATE protocol — available in </w:t>
      </w:r>
      <w:r>
        <w:rPr>
          <w:rFonts w:ascii="Courier New" w:hAnsi="Courier New"/>
        </w:rPr>
        <w:t>04_CONTENT_30_APPS/community_pipeline.py</w:t>
      </w:r>
      <w:r/>
    </w:p>
    <w:p/>
    <w:p>
      <w:r/>
      <w:r>
        <w:rPr>
          <w:b/>
        </w:rPr>
        <w:t>All materials:</w:t>
      </w:r>
      <w:r>
        <w:t xml:space="preserve"> [Repository URL withheld for blind peer review — available upon request or post-acceptance] (CC0 1.0)</w:t>
      </w:r>
    </w:p>
    <w:p/>
    <w:p>
      <w:r>
        <w:t>──────────────────────────────────────────────────</w:t>
      </w:r>
    </w:p>
    <w:p/>
    <w:p>
      <w:r/>
      <w:r>
        <w:rPr>
          <w:i/>
        </w:rPr>
        <w:t>Draft v0.1 — 2026-04-18 — For internal review before submission</w:t>
      </w:r>
      <w:r/>
    </w:p>
    <w:p>
      <w:r/>
      <w:r>
        <w:rPr>
          <w:i/>
        </w:rPr>
        <w:t>Word count (body): ~8,500 words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