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Review - Issues List</w:t>
      </w:r>
    </w:p>
    <w:tbl>
      <w:tblPr>
        <w:tblStyle w:val="TableGrid"/>
        <w:tblW w:type="auto" w:w="0"/>
        <w:tblLook w:firstColumn="1" w:firstRow="1" w:lastColumn="0" w:lastRow="0" w:noHBand="0" w:noVBand="1" w:val="04A0"/>
      </w:tblPr>
      <w:tblGrid>
        <w:gridCol w:w="5213"/>
        <w:gridCol w:w="5213"/>
      </w:tblGrid>
      <w:tr>
        <w:tc>
          <w:tcPr>
            <w:tcW w:type="dxa" w:w="5213"/>
          </w:tcPr>
          <w:p>
            <w:r/>
            <w:r>
              <w:rPr>
                <w:b/>
                <w:sz w:val="18"/>
              </w:rPr>
              <w:t>Contract</w:t>
            </w:r>
          </w:p>
        </w:tc>
        <w:tc>
          <w:tcPr>
            <w:tcW w:type="dxa" w:w="5213"/>
          </w:tcPr>
          <w:p>
            <w:r/>
            <w:r>
              <w:rPr>
                <w:b w:val="0"/>
                <w:sz w:val="18"/>
              </w:rPr>
              <w:t>Box Service Agreement</w:t>
            </w:r>
          </w:p>
        </w:tc>
      </w:tr>
      <w:tr>
        <w:tc>
          <w:tcPr>
            <w:tcW w:type="dxa" w:w="5213"/>
          </w:tcPr>
          <w:p>
            <w:r/>
            <w:r>
              <w:rPr>
                <w:b/>
                <w:sz w:val="18"/>
              </w:rPr>
              <w:t>Counterparty</w:t>
            </w:r>
          </w:p>
        </w:tc>
        <w:tc>
          <w:tcPr>
            <w:tcW w:type="dxa" w:w="5213"/>
          </w:tcPr>
          <w:p>
            <w:r/>
            <w:r>
              <w:rPr>
                <w:b w:val="0"/>
                <w:sz w:val="18"/>
              </w:rPr>
              <w:t>Test</w:t>
            </w:r>
          </w:p>
        </w:tc>
      </w:tr>
      <w:tr>
        <w:tc>
          <w:tcPr>
            <w:tcW w:type="dxa" w:w="5213"/>
          </w:tcPr>
          <w:p>
            <w:r/>
            <w:r>
              <w:rPr>
                <w:b/>
                <w:sz w:val="18"/>
              </w:rPr>
              <w:t>Playbook</w:t>
            </w:r>
          </w:p>
        </w:tc>
        <w:tc>
          <w:tcPr>
            <w:tcW w:type="dxa" w:w="5213"/>
          </w:tcPr>
          <w:p>
            <w:r/>
            <w:r>
              <w:rPr>
                <w:b w:val="0"/>
                <w:sz w:val="18"/>
              </w:rPr>
              <w:t>STERIS Vendor Playbook (starter)</w:t>
            </w:r>
          </w:p>
        </w:tc>
      </w:tr>
      <w:tr>
        <w:tc>
          <w:tcPr>
            <w:tcW w:type="dxa" w:w="5213"/>
          </w:tcPr>
          <w:p>
            <w:r/>
            <w:r>
              <w:rPr>
                <w:b/>
                <w:sz w:val="18"/>
              </w:rPr>
              <w:t>Reviewed</w:t>
            </w:r>
          </w:p>
        </w:tc>
        <w:tc>
          <w:tcPr>
            <w:tcW w:type="dxa" w:w="5213"/>
          </w:tcPr>
          <w:p>
            <w:r/>
            <w:r>
              <w:rPr>
                <w:b w:val="0"/>
                <w:sz w:val="18"/>
              </w:rPr>
              <w:t>2026-08-21 13:54</w:t>
            </w:r>
          </w:p>
        </w:tc>
      </w:tr>
      <w:tr>
        <w:tc>
          <w:tcPr>
            <w:tcW w:type="dxa" w:w="5213"/>
          </w:tcPr>
          <w:p>
            <w:r/>
            <w:r>
              <w:rPr>
                <w:b/>
                <w:sz w:val="18"/>
              </w:rPr>
              <w:t>Findings</w:t>
            </w:r>
          </w:p>
        </w:tc>
        <w:tc>
          <w:tcPr>
            <w:tcW w:type="dxa" w:w="5213"/>
          </w:tcPr>
          <w:p>
            <w:r/>
            <w:r>
              <w:rPr>
                <w:b w:val="0"/>
                <w:sz w:val="18"/>
              </w:rPr>
              <w:t>25</w:t>
            </w:r>
          </w:p>
        </w:tc>
      </w:tr>
    </w:tbl>
    <w:p/>
    <w:p>
      <w:pPr>
        <w:pStyle w:val="Heading2"/>
      </w:pPr>
      <w:r>
        <w:t>Summary</w:t>
      </w:r>
    </w:p>
    <w:tbl>
      <w:tblPr>
        <w:tblStyle w:val="TableGrid"/>
        <w:tblW w:type="auto" w:w="0"/>
        <w:tblLook w:firstColumn="1" w:firstRow="1" w:lastColumn="0" w:lastRow="0" w:noHBand="0" w:noVBand="1" w:val="04A0"/>
      </w:tblPr>
      <w:tblGrid>
        <w:gridCol w:w="2606"/>
        <w:gridCol w:w="2606"/>
        <w:gridCol w:w="2606"/>
        <w:gridCol w:w="2606"/>
      </w:tblGrid>
      <w:tr>
        <w:tc>
          <w:tcPr>
            <w:tcW w:type="dxa" w:w="2606"/>
            <w:shd w:val="clear" w:color="auto" w:fill="C00000"/>
          </w:tcPr>
          <w:p>
            <w:r/>
            <w:r>
              <w:rPr>
                <w:b/>
                <w:color w:val="FFFFFF"/>
                <w:sz w:val="18"/>
              </w:rPr>
              <w:t>Unacceptable</w:t>
              <w:br/>
              <w:t>11</w:t>
            </w:r>
          </w:p>
        </w:tc>
        <w:tc>
          <w:tcPr>
            <w:tcW w:type="dxa" w:w="2606"/>
            <w:shd w:val="clear" w:color="auto" w:fill="7030A0"/>
          </w:tcPr>
          <w:p>
            <w:r/>
            <w:r>
              <w:rPr>
                <w:b/>
                <w:color w:val="FFFFFF"/>
                <w:sz w:val="18"/>
              </w:rPr>
              <w:t>Missing Protection</w:t>
              <w:br/>
              <w:t>5</w:t>
            </w:r>
          </w:p>
        </w:tc>
        <w:tc>
          <w:tcPr>
            <w:tcW w:type="dxa" w:w="2606"/>
            <w:shd w:val="clear" w:color="auto" w:fill="ED7D31"/>
          </w:tcPr>
          <w:p>
            <w:r/>
            <w:r>
              <w:rPr>
                <w:b/>
                <w:color w:val="FFFFFF"/>
                <w:sz w:val="18"/>
              </w:rPr>
              <w:t>Negotiable</w:t>
              <w:br/>
              <w:t>9</w:t>
            </w:r>
          </w:p>
        </w:tc>
        <w:tc>
          <w:tcPr>
            <w:tcW w:type="dxa" w:w="2606"/>
            <w:shd w:val="clear" w:color="auto" w:fill="548235"/>
          </w:tcPr>
          <w:p>
            <w:r/>
            <w:r>
              <w:rPr>
                <w:b/>
                <w:color w:val="FFFFFF"/>
                <w:sz w:val="18"/>
              </w:rPr>
              <w:t>Acceptable</w:t>
              <w:br/>
              <w:t>0</w:t>
            </w:r>
          </w:p>
        </w:tc>
      </w:tr>
    </w:tbl>
    <w:p/>
    <w:p>
      <w:pPr>
        <w:pStyle w:val="Heading2"/>
      </w:pPr>
      <w:r>
        <w:t>Findings</w:t>
      </w:r>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454"/>
            <w:shd w:val="clear" w:color="auto" w:fill="1F4E79"/>
          </w:tcPr>
          <w:p>
            <w:r/>
            <w:r>
              <w:rPr>
                <w:b/>
                <w:color w:val="FFFFFF"/>
                <w:sz w:val="18"/>
              </w:rPr>
              <w:t>#</w:t>
            </w:r>
          </w:p>
        </w:tc>
        <w:tc>
          <w:tcPr>
            <w:tcW w:type="dxa" w:w="1474"/>
            <w:shd w:val="clear" w:color="auto" w:fill="1F4E79"/>
          </w:tcPr>
          <w:p>
            <w:r/>
            <w:r>
              <w:rPr>
                <w:b/>
                <w:color w:val="FFFFFF"/>
                <w:sz w:val="18"/>
              </w:rPr>
              <w:t>Clause</w:t>
            </w:r>
          </w:p>
        </w:tc>
        <w:tc>
          <w:tcPr>
            <w:tcW w:type="dxa" w:w="1474"/>
            <w:shd w:val="clear" w:color="auto" w:fill="1F4E79"/>
          </w:tcPr>
          <w:p>
            <w:r/>
            <w:r>
              <w:rPr>
                <w:b/>
                <w:color w:val="FFFFFF"/>
                <w:sz w:val="18"/>
              </w:rPr>
              <w:t>Type</w:t>
            </w:r>
          </w:p>
        </w:tc>
        <w:tc>
          <w:tcPr>
            <w:tcW w:type="dxa" w:w="1247"/>
            <w:shd w:val="clear" w:color="auto" w:fill="1F4E79"/>
          </w:tcPr>
          <w:p>
            <w:r/>
            <w:r>
              <w:rPr>
                <w:b/>
                <w:color w:val="FFFFFF"/>
                <w:sz w:val="18"/>
              </w:rPr>
              <w:t>Assessment</w:t>
            </w:r>
          </w:p>
        </w:tc>
        <w:tc>
          <w:tcPr>
            <w:tcW w:type="dxa" w:w="2948"/>
            <w:shd w:val="clear" w:color="auto" w:fill="1F4E79"/>
          </w:tcPr>
          <w:p>
            <w:r/>
            <w:r>
              <w:rPr>
                <w:b/>
                <w:color w:val="FFFFFF"/>
                <w:sz w:val="18"/>
              </w:rPr>
              <w:t>Issue / Rationale</w:t>
            </w:r>
          </w:p>
        </w:tc>
        <w:tc>
          <w:tcPr>
            <w:tcW w:type="dxa" w:w="3175"/>
            <w:shd w:val="clear" w:color="auto" w:fill="1F4E79"/>
          </w:tcPr>
          <w:p>
            <w:r/>
            <w:r>
              <w:rPr>
                <w:b/>
                <w:color w:val="FFFFFF"/>
                <w:sz w:val="18"/>
              </w:rPr>
              <w:t>Proposed Change</w:t>
            </w:r>
          </w:p>
        </w:tc>
        <w:tc>
          <w:tcPr>
            <w:tcW w:type="dxa" w:w="1361"/>
            <w:shd w:val="clear" w:color="auto" w:fill="1F4E79"/>
          </w:tcPr>
          <w:p>
            <w:r/>
            <w:r>
              <w:rPr>
                <w:b/>
                <w:color w:val="FFFFFF"/>
                <w:sz w:val="18"/>
              </w:rPr>
              <w:t>Status</w:t>
            </w:r>
          </w:p>
        </w:tc>
      </w:tr>
      <w:tr>
        <w:tc>
          <w:tcPr>
            <w:tcW w:type="dxa" w:w="454"/>
          </w:tcPr>
          <w:p>
            <w:r/>
            <w:r>
              <w:rPr>
                <w:b w:val="0"/>
                <w:sz w:val="16"/>
              </w:rPr>
              <w:t>1</w:t>
            </w:r>
          </w:p>
        </w:tc>
        <w:tc>
          <w:tcPr>
            <w:tcW w:type="dxa" w:w="1474"/>
          </w:tcPr>
          <w:p>
            <w:r/>
            <w:r>
              <w:rPr>
                <w:b w:val="0"/>
                <w:sz w:val="16"/>
              </w:rPr>
              <w:t>Section 1 Definitions (incorporated by URL)</w:t>
            </w:r>
          </w:p>
        </w:tc>
        <w:tc>
          <w:tcPr>
            <w:tcW w:type="dxa" w:w="1474"/>
          </w:tcPr>
          <w:p>
            <w:r/>
            <w:r>
              <w:rPr>
                <w:b w:val="0"/>
                <w:sz w:val="16"/>
              </w:rPr>
              <w:t>Incorporation by URL</w:t>
            </w:r>
          </w:p>
        </w:tc>
        <w:tc>
          <w:tcPr>
            <w:tcW w:type="dxa" w:w="1247"/>
            <w:shd w:val="clear" w:color="auto" w:fill="FFDCE1"/>
          </w:tcPr>
          <w:p>
            <w:r/>
            <w:r>
              <w:rPr>
                <w:b w:val="0"/>
                <w:sz w:val="16"/>
              </w:rPr>
              <w:t>Unacceptable</w:t>
            </w:r>
          </w:p>
        </w:tc>
        <w:tc>
          <w:tcPr>
            <w:tcW w:type="dxa" w:w="2948"/>
          </w:tcPr>
          <w:p>
            <w:r/>
            <w:r>
              <w:rPr>
                <w:b w:val="0"/>
                <w:sz w:val="16"/>
              </w:rPr>
              <w:t>This provision puts core definitions at a URL that Box can change unilaterally, which could alter the parties’ obligations after signature without Customer’s agreement. Definitions are operative terms and must be frozen as of the Effective Date in an attached exhibit so there is a clear, provable version. Any later materially adverse changes should require Customer’s written consent.</w:t>
            </w:r>
          </w:p>
        </w:tc>
        <w:tc>
          <w:tcPr>
            <w:tcW w:type="dxa" w:w="3175"/>
          </w:tcPr>
          <w:p>
            <w:r/>
            <w:r>
              <w:rPr>
                <w:b w:val="0"/>
                <w:sz w:val="16"/>
              </w:rPr>
              <w:t>Section 1.</w:t>
              <w:tab/>
              <w:t>Definitions</w:t>
              <w:br/>
              <w:t>Capitalized terms not otherwise defined elsewhere in this Agreement shall have the meaning set forth in the Box Product Terms located at http://www.box.com/legal/product-terms as of the Effective Date, a true and complete copy of which is attached to this Agreement as Exhibit 1 (Definitions/Product Terms) and incorporated herein by reference. Box may not modify Exhibit 1, or any definition or other term incorporated by reference, in a manner materially adverse to Customer without Customer’s prior written consent.</w:t>
            </w:r>
          </w:p>
        </w:tc>
        <w:tc>
          <w:tcPr>
            <w:tcW w:type="dxa" w:w="1361"/>
          </w:tcPr>
          <w:p>
            <w:r/>
            <w:r>
              <w:rPr>
                <w:b w:val="0"/>
                <w:sz w:val="16"/>
              </w:rPr>
              <w:t>Proposed</w:t>
            </w:r>
          </w:p>
        </w:tc>
      </w:tr>
      <w:tr>
        <w:tc>
          <w:tcPr>
            <w:tcW w:type="dxa" w:w="454"/>
          </w:tcPr>
          <w:p>
            <w:r/>
            <w:r>
              <w:rPr>
                <w:b w:val="0"/>
                <w:sz w:val="16"/>
              </w:rPr>
              <w:t>2</w:t>
            </w:r>
          </w:p>
        </w:tc>
        <w:tc>
          <w:tcPr>
            <w:tcW w:type="dxa" w:w="1474"/>
          </w:tcPr>
          <w:p>
            <w:r/>
            <w:r>
              <w:rPr>
                <w:b w:val="0"/>
                <w:sz w:val="16"/>
              </w:rPr>
              <w:t>2.3 Suspension of User Access to Service</w:t>
            </w:r>
          </w:p>
        </w:tc>
        <w:tc>
          <w:tcPr>
            <w:tcW w:type="dxa" w:w="1474"/>
          </w:tcPr>
          <w:p>
            <w:r/>
            <w:r>
              <w:rPr>
                <w:b w:val="0"/>
                <w:sz w:val="16"/>
              </w:rPr>
              <w:t>Suspension</w:t>
            </w:r>
          </w:p>
        </w:tc>
        <w:tc>
          <w:tcPr>
            <w:tcW w:type="dxa" w:w="1247"/>
            <w:shd w:val="clear" w:color="auto" w:fill="FFDCE1"/>
          </w:tcPr>
          <w:p>
            <w:r/>
            <w:r>
              <w:rPr>
                <w:b w:val="0"/>
                <w:sz w:val="16"/>
              </w:rPr>
              <w:t>Unacceptable</w:t>
            </w:r>
          </w:p>
        </w:tc>
        <w:tc>
          <w:tcPr>
            <w:tcW w:type="dxa" w:w="2948"/>
          </w:tcPr>
          <w:p>
            <w:r/>
            <w:r>
              <w:rPr>
                <w:b w:val="0"/>
                <w:sz w:val="16"/>
              </w:rPr>
              <w:t>As drafted, Box can suspend based on a perceived “violation” of the Agreement, which is effectively discretionary and not limited to non-payment, legal requirement, or genuine security emergencies. The notice obligation is only “reasonable” and can be bypassed in broad “imminent harm” scenarios without an express cure opportunity, creating avoidable service disruption risk for Customer. Suspension should be limited to objective triggers with advance notice and cure (except true emergencies), and kept as narrow and short as strictly necessary.</w:t>
            </w:r>
          </w:p>
        </w:tc>
        <w:tc>
          <w:tcPr>
            <w:tcW w:type="dxa" w:w="3175"/>
          </w:tcPr>
          <w:p>
            <w:r/>
            <w:r>
              <w:rPr>
                <w:b w:val="0"/>
                <w:sz w:val="16"/>
              </w:rPr>
              <w:t>2.3</w:t>
              <w:tab/>
              <w:t>Suspension of User Access to Service. Box may suspend access to the Box Service only (a) where Customer’s payment is more than thirty (30) days overdue and Box has provided Customer at least ten (10) days’ prior written notice and an opportunity to cure, (b) where required to comply with legal process, law, or regulation, or (c) where necessary to address a material security risk or to prevent imminent harm to the Box Service or any third party; provided that, except in the circumstances described in clauses (b) and (c), Box will provide advance notice and an opportunity to cure before any suspension. Any suspension will be limited in scope (including on a User-basis to the extent practicable), duration, and functionality affected to what is strictly necessary to address the applicable issue, and Box will restore access promptly after the issue is resolved.</w:t>
            </w:r>
          </w:p>
        </w:tc>
        <w:tc>
          <w:tcPr>
            <w:tcW w:type="dxa" w:w="1361"/>
          </w:tcPr>
          <w:p>
            <w:r/>
            <w:r>
              <w:rPr>
                <w:b w:val="0"/>
                <w:sz w:val="16"/>
              </w:rPr>
              <w:t>Proposed</w:t>
            </w:r>
          </w:p>
        </w:tc>
      </w:tr>
      <w:tr>
        <w:tc>
          <w:tcPr>
            <w:tcW w:type="dxa" w:w="454"/>
          </w:tcPr>
          <w:p>
            <w:r/>
            <w:r>
              <w:rPr>
                <w:b w:val="0"/>
                <w:sz w:val="16"/>
              </w:rPr>
              <w:t>3</w:t>
            </w:r>
          </w:p>
        </w:tc>
        <w:tc>
          <w:tcPr>
            <w:tcW w:type="dxa" w:w="1474"/>
          </w:tcPr>
          <w:p>
            <w:r/>
            <w:r>
              <w:rPr>
                <w:b w:val="0"/>
                <w:sz w:val="16"/>
              </w:rPr>
              <w:t>4.1 Security</w:t>
            </w:r>
          </w:p>
        </w:tc>
        <w:tc>
          <w:tcPr>
            <w:tcW w:type="dxa" w:w="1474"/>
          </w:tcPr>
          <w:p>
            <w:r/>
            <w:r>
              <w:rPr>
                <w:b w:val="0"/>
                <w:sz w:val="16"/>
              </w:rPr>
              <w:t>Data Security</w:t>
            </w:r>
          </w:p>
        </w:tc>
        <w:tc>
          <w:tcPr>
            <w:tcW w:type="dxa" w:w="1247"/>
            <w:shd w:val="clear" w:color="auto" w:fill="FFDCE1"/>
          </w:tcPr>
          <w:p>
            <w:r/>
            <w:r>
              <w:rPr>
                <w:b w:val="0"/>
                <w:sz w:val="16"/>
              </w:rPr>
              <w:t>Unacceptable</w:t>
            </w:r>
          </w:p>
        </w:tc>
        <w:tc>
          <w:tcPr>
            <w:tcW w:type="dxa" w:w="2948"/>
          </w:tcPr>
          <w:p>
            <w:r/>
            <w:r>
              <w:rPr>
                <w:b w:val="0"/>
                <w:sz w:val="16"/>
              </w:rPr>
              <w:t>The clause relies on “commercially reasonable” security and points to Box Security Practices at a URL, which can be changed unilaterally and leaves core obligations unpinned and hard to evidence. It also provides assurance reporting only by reference and does not require a named standard alignment (e.g., ISO 27001 or SOC 2 Type II) as the baseline for the security programme. Finally, while it offers annual audit reports, it should also include reasonable security questionnaire responses and a post-incident audit right to support due diligence and incident verification.</w:t>
            </w:r>
          </w:p>
        </w:tc>
        <w:tc>
          <w:tcPr>
            <w:tcW w:type="dxa" w:w="3175"/>
          </w:tcPr>
          <w:p>
            <w:r/>
            <w:r>
              <w:rPr>
                <w:b w:val="0"/>
                <w:sz w:val="16"/>
              </w:rPr>
              <w:t>Section 4. Content Security; Data Privacy</w:t>
              <w:br/>
              <w:t>4.1 Security. During the Term of this Agreement, Box will implement and maintain an information security programme aligned with ISO 27001 or SOC 2 Type II and will maintain appropriate administrative, physical and technical safeguards and measures designed to protect against unauthorized access to Production Data. Box's security programme and controls applicable to the Services are described in the Box Security Practices attached as Exhibit [__] (incorporated as of the Agreement Effective Date) and in Box's Service Organization Control 2 ("SOC2") Type II audit report(s) (or substantially similar industry-standard report(s)) (collectively referred to as "Audit Reports"). Box will maintain the Audit Reports during the Term and will provide a copy to Customer no more than once per year upon Customer's written request, and Box will also respond to Customer's reasonable security due-diligence enquiries, including completion of Customer's reasonable security questionnaires. Following any Security Incident, Customer may, upon reasonable notice and during normal business hours, conduct an audit of the controls relevant to such Security Incident, subject to Box's reasonable confidentiality and security requirements. During the Term, Box will not materially diminish the overall protection provided by the controls set forth in the Box Security Practices and the Audit Reports in effect as of the Agreement Effective Date.</w:t>
            </w:r>
          </w:p>
        </w:tc>
        <w:tc>
          <w:tcPr>
            <w:tcW w:type="dxa" w:w="1361"/>
          </w:tcPr>
          <w:p>
            <w:r/>
            <w:r>
              <w:rPr>
                <w:b w:val="0"/>
                <w:sz w:val="16"/>
              </w:rPr>
              <w:t>Proposed</w:t>
            </w:r>
          </w:p>
        </w:tc>
      </w:tr>
      <w:tr>
        <w:tc>
          <w:tcPr>
            <w:tcW w:type="dxa" w:w="454"/>
          </w:tcPr>
          <w:p>
            <w:r/>
            <w:r>
              <w:rPr>
                <w:b w:val="0"/>
                <w:sz w:val="16"/>
              </w:rPr>
              <w:t>4</w:t>
            </w:r>
          </w:p>
        </w:tc>
        <w:tc>
          <w:tcPr>
            <w:tcW w:type="dxa" w:w="1474"/>
          </w:tcPr>
          <w:p>
            <w:r/>
            <w:r>
              <w:rPr>
                <w:b w:val="0"/>
                <w:sz w:val="16"/>
              </w:rPr>
              <w:t>4.3 Data Protection and Onward Transfer of Data (processing instructions)</w:t>
            </w:r>
          </w:p>
        </w:tc>
        <w:tc>
          <w:tcPr>
            <w:tcW w:type="dxa" w:w="1474"/>
          </w:tcPr>
          <w:p>
            <w:r/>
            <w:r>
              <w:rPr>
                <w:b w:val="0"/>
                <w:sz w:val="16"/>
              </w:rPr>
              <w:t>DPA Personal Data</w:t>
            </w:r>
          </w:p>
        </w:tc>
        <w:tc>
          <w:tcPr>
            <w:tcW w:type="dxa" w:w="1247"/>
            <w:shd w:val="clear" w:color="auto" w:fill="FFDCE1"/>
          </w:tcPr>
          <w:p>
            <w:r/>
            <w:r>
              <w:rPr>
                <w:b w:val="0"/>
                <w:sz w:val="16"/>
              </w:rPr>
              <w:t>Unacceptable</w:t>
            </w:r>
          </w:p>
        </w:tc>
        <w:tc>
          <w:tcPr>
            <w:tcW w:type="dxa" w:w="2948"/>
          </w:tcPr>
          <w:p>
            <w:r/>
            <w:r>
              <w:rPr>
                <w:b w:val="0"/>
                <w:sz w:val="16"/>
              </w:rPr>
              <w:t>This clause contemplates Processing of Customer Personal Data but does not require a DPA, which leaves key processor obligations and transfer safeguards undocumented. We need a DPA executed alongside the Agreement, including the Standard Contractual Clauses where required, so cross-border transfers and data protection obligations are contractually covered and not left to a vague “method for onward transfer.”</w:t>
            </w:r>
          </w:p>
        </w:tc>
        <w:tc>
          <w:tcPr>
            <w:tcW w:type="dxa" w:w="3175"/>
          </w:tcPr>
          <w:p>
            <w:r/>
            <w:r>
              <w:rPr>
                <w:b w:val="0"/>
                <w:sz w:val="16"/>
              </w:rPr>
              <w:t>4.3</w:t>
              <w:tab/>
              <w:t>Data Protection and Onward Transfer of Data. In the course of providing the Box Service, Box may Process Personal Data that is in Content ("Customer Personal Data") on behalf of Customer and, in such event, Customer instructs Box to Process Customer Personal Data: (a) to provide the Box Service (in accordance with the features and functionality of the Box Service); (b) to enable User initiated actions on the Box Service; (c) as set forth in the Agreement or applicable Order; and (d) as further documented by a mutually agreed upon written instruction given by Customer and accepted by Box. To the extent Box Processes Customer Personal Data on behalf of Customer, the Parties shall execute Box's data processing addendum ("DPA") attached to this Agreement, which DPA shall apply to such Processing and shall incorporate the Standard Contractual Clauses where required by applicable law. The Parties agree to comply with the applicable Data Protection Legislation for onward transfer of Customer Personal Data, and Box will maintain, during the Subscription Period, a legally recognized method for onward transfer of Customer Personal Data in accordance with the DPA and applicable law.</w:t>
            </w:r>
          </w:p>
        </w:tc>
        <w:tc>
          <w:tcPr>
            <w:tcW w:type="dxa" w:w="1361"/>
          </w:tcPr>
          <w:p>
            <w:r/>
            <w:r>
              <w:rPr>
                <w:b w:val="0"/>
                <w:sz w:val="16"/>
              </w:rPr>
              <w:t>Proposed</w:t>
            </w:r>
          </w:p>
        </w:tc>
      </w:tr>
      <w:tr>
        <w:tc>
          <w:tcPr>
            <w:tcW w:type="dxa" w:w="454"/>
          </w:tcPr>
          <w:p>
            <w:r/>
            <w:r>
              <w:rPr>
                <w:b w:val="0"/>
                <w:sz w:val="16"/>
              </w:rPr>
              <w:t>5</w:t>
            </w:r>
          </w:p>
        </w:tc>
        <w:tc>
          <w:tcPr>
            <w:tcW w:type="dxa" w:w="1474"/>
          </w:tcPr>
          <w:p>
            <w:r/>
            <w:r>
              <w:rPr>
                <w:b w:val="0"/>
                <w:sz w:val="16"/>
              </w:rPr>
              <w:t>5.4 Additional Product Specific Terms (incorporated by URL)</w:t>
            </w:r>
          </w:p>
        </w:tc>
        <w:tc>
          <w:tcPr>
            <w:tcW w:type="dxa" w:w="1474"/>
          </w:tcPr>
          <w:p>
            <w:r/>
            <w:r>
              <w:rPr>
                <w:b w:val="0"/>
                <w:sz w:val="16"/>
              </w:rPr>
              <w:t>Incorporation by URL</w:t>
            </w:r>
          </w:p>
        </w:tc>
        <w:tc>
          <w:tcPr>
            <w:tcW w:type="dxa" w:w="1247"/>
            <w:shd w:val="clear" w:color="auto" w:fill="FFDCE1"/>
          </w:tcPr>
          <w:p>
            <w:r/>
            <w:r>
              <w:rPr>
                <w:b w:val="0"/>
                <w:sz w:val="16"/>
              </w:rPr>
              <w:t>Unacceptable</w:t>
            </w:r>
          </w:p>
        </w:tc>
        <w:tc>
          <w:tcPr>
            <w:tcW w:type="dxa" w:w="2948"/>
          </w:tcPr>
          <w:p>
            <w:r/>
            <w:r>
              <w:rPr>
                <w:b w:val="0"/>
                <w:sz w:val="16"/>
              </w:rPr>
              <w:t>This clause incorporates operative product terms via a live URL that Box may change unilaterally, which can alter definitions and core obligations after signature. Those terms need to be frozen to a dated version attached to the Agreement so both parties can prove what applies. Any materially adverse changes should require Customer’s written consent rather than being imposed by updating a webpage.</w:t>
            </w:r>
          </w:p>
        </w:tc>
        <w:tc>
          <w:tcPr>
            <w:tcW w:type="dxa" w:w="3175"/>
          </w:tcPr>
          <w:p>
            <w:r/>
            <w:r>
              <w:rPr>
                <w:b w:val="0"/>
                <w:sz w:val="16"/>
              </w:rPr>
              <w:t>5.4</w:t>
              <w:tab/>
              <w:t>Additional Product Specific Terms.  If Customer utilizes additional features and functionality beyond the core Box Service as purchased under an Order (e.g. Box Sign, Box AI, Box Platform, etc.), the relevant Product specific terms shall apply only as incorporated by reference as of the Effective Date in the form attached hereto as Exhibit [__] (Product Terms). Box may not modify the Product Terms in a manner materially adverse to Customer without Customer's prior written consent.</w:t>
            </w:r>
          </w:p>
        </w:tc>
        <w:tc>
          <w:tcPr>
            <w:tcW w:type="dxa" w:w="1361"/>
          </w:tcPr>
          <w:p>
            <w:r/>
            <w:r>
              <w:rPr>
                <w:b w:val="0"/>
                <w:sz w:val="16"/>
              </w:rPr>
              <w:t>Proposed</w:t>
            </w:r>
          </w:p>
        </w:tc>
      </w:tr>
      <w:tr>
        <w:tc>
          <w:tcPr>
            <w:tcW w:type="dxa" w:w="454"/>
          </w:tcPr>
          <w:p>
            <w:r/>
            <w:r>
              <w:rPr>
                <w:b w:val="0"/>
                <w:sz w:val="16"/>
              </w:rPr>
              <w:t>6</w:t>
            </w:r>
          </w:p>
        </w:tc>
        <w:tc>
          <w:tcPr>
            <w:tcW w:type="dxa" w:w="1474"/>
          </w:tcPr>
          <w:p>
            <w:r/>
            <w:r>
              <w:rPr>
                <w:b w:val="0"/>
                <w:sz w:val="16"/>
              </w:rPr>
              <w:t>Section 6 Support and Service Level Commitments (by Order/product terms)</w:t>
            </w:r>
          </w:p>
        </w:tc>
        <w:tc>
          <w:tcPr>
            <w:tcW w:type="dxa" w:w="1474"/>
          </w:tcPr>
          <w:p>
            <w:r/>
            <w:r>
              <w:rPr>
                <w:b w:val="0"/>
                <w:sz w:val="16"/>
              </w:rPr>
              <w:t>SLA Credits</w:t>
            </w:r>
          </w:p>
        </w:tc>
        <w:tc>
          <w:tcPr>
            <w:tcW w:type="dxa" w:w="1247"/>
            <w:shd w:val="clear" w:color="auto" w:fill="FFDCE1"/>
          </w:tcPr>
          <w:p>
            <w:r/>
            <w:r>
              <w:rPr>
                <w:b w:val="0"/>
                <w:sz w:val="16"/>
              </w:rPr>
              <w:t>Unacceptable</w:t>
            </w:r>
          </w:p>
        </w:tc>
        <w:tc>
          <w:tcPr>
            <w:tcW w:type="dxa" w:w="2948"/>
          </w:tcPr>
          <w:p>
            <w:r/>
            <w:r>
              <w:rPr>
                <w:b w:val="0"/>
                <w:sz w:val="16"/>
              </w:rPr>
              <w:t>This section makes the operative support and SLA terms depend on a URL that Box can change, which leaves core obligations (including uptime and remedies) unpinned and materially increases Customer risk. It also does not include any uptime commitment, credit structure, or termination right for persistent failures, and could allow Box to argue that whatever credits exist are the only remedy. The replacement fixes the SLA at signature (or in the Order/exhibit), sets a 99.9% monthly Availability commitment with credits, and preserves a termination right and pro-rata refund for chronic failure.</w:t>
            </w:r>
          </w:p>
        </w:tc>
        <w:tc>
          <w:tcPr>
            <w:tcW w:type="dxa" w:w="3175"/>
          </w:tcPr>
          <w:p>
            <w:r/>
            <w:r>
              <w:rPr>
                <w:b w:val="0"/>
                <w:sz w:val="16"/>
              </w:rPr>
              <w:t>Section 6.</w:t>
              <w:tab/>
              <w:t>Support and Service Level Commitments. During the Subscription Period, Box shall provide the Support Services and meet the Service Level Commitments for the Box Service as set forth in the applicable Order and/or the support and service level terms attached to this Agreement as an exhibit (the "SLA"). To the extent any Support Services or Service Level Commitments are referenced by hyperlink (including http://www.box.com/legal/product-terms), such terms are incorporated only as of the Effective Date in the form attached to this Agreement as an exhibit, and Box shall not modify them in a manner materially adverse to Customer without Customer's prior written consent.</w:t>
              <w:br/>
              <w:br/>
              <w:t>Box shall maintain at least 99.9% Availability per calendar month. If Availability falls below 99.9% in any calendar month, Customer will be eligible for service credits as set forth in the SLA. If Availability falls below 99.9% in three (3) consecutive calendar months, Customer may terminate the affected Order and/or this Agreement (as applicable) upon written notice without penalty and receive a pro-rata refund of prepaid, unused fees for the terminated period. Service credits are not Customer's sole and exclusive remedy for failure to meet the Service Level Commitments.</w:t>
              <w:br/>
              <w:br/>
              <w:t>Customer will be responsible for supporting any Platform Application that Customer chooses to deploy and shall provide such support directly to Platform Application Users; Box will not provide Support Services to Platform Application Users. Box is not responsible for any Downtime, Issues or other performance issues to the extent directly attributable to a Platform Application.</w:t>
            </w:r>
          </w:p>
        </w:tc>
        <w:tc>
          <w:tcPr>
            <w:tcW w:type="dxa" w:w="1361"/>
          </w:tcPr>
          <w:p>
            <w:r/>
            <w:r>
              <w:rPr>
                <w:b w:val="0"/>
                <w:sz w:val="16"/>
              </w:rPr>
              <w:t>Proposed</w:t>
            </w:r>
          </w:p>
        </w:tc>
      </w:tr>
      <w:tr>
        <w:tc>
          <w:tcPr>
            <w:tcW w:type="dxa" w:w="454"/>
          </w:tcPr>
          <w:p>
            <w:r/>
            <w:r>
              <w:rPr>
                <w:b w:val="0"/>
                <w:sz w:val="16"/>
              </w:rPr>
              <w:t>7</w:t>
            </w:r>
          </w:p>
        </w:tc>
        <w:tc>
          <w:tcPr>
            <w:tcW w:type="dxa" w:w="1474"/>
          </w:tcPr>
          <w:p>
            <w:r/>
            <w:r>
              <w:rPr>
                <w:b w:val="0"/>
                <w:sz w:val="16"/>
              </w:rPr>
              <w:t>7.1 Box Service Warranty (sole and exclusive remedy; refund/termination)</w:t>
            </w:r>
          </w:p>
        </w:tc>
        <w:tc>
          <w:tcPr>
            <w:tcW w:type="dxa" w:w="1474"/>
          </w:tcPr>
          <w:p>
            <w:r/>
            <w:r>
              <w:rPr>
                <w:b w:val="0"/>
                <w:sz w:val="16"/>
              </w:rPr>
              <w:t>Warranty Remedy</w:t>
            </w:r>
          </w:p>
        </w:tc>
        <w:tc>
          <w:tcPr>
            <w:tcW w:type="dxa" w:w="1247"/>
            <w:shd w:val="clear" w:color="auto" w:fill="FCE4D6"/>
          </w:tcPr>
          <w:p>
            <w:r/>
            <w:r>
              <w:rPr>
                <w:b w:val="0"/>
                <w:sz w:val="16"/>
              </w:rPr>
              <w:t>Negotiable</w:t>
            </w:r>
          </w:p>
        </w:tc>
        <w:tc>
          <w:tcPr>
            <w:tcW w:type="dxa" w:w="2948"/>
          </w:tcPr>
          <w:p>
            <w:r/>
            <w:r>
              <w:rPr>
                <w:b w:val="0"/>
                <w:sz w:val="16"/>
              </w:rPr>
              <w:t>The clause includes “sole and exclusive remedy” language, which improperly limits Customer’s rights and can operate like a de facto limitation of liability. The cure commitment should be framed as a correction obligation with a defined timeframe, and if not cured within that period Customer should have the right to terminate and receive a pro-rated refund for the unused portion of the term. This preserves a meaningful warranty remedy for the full Subscription Period without restricting other remedies beyond what is necessary for the service warranty.</w:t>
            </w:r>
          </w:p>
        </w:tc>
        <w:tc>
          <w:tcPr>
            <w:tcW w:type="dxa" w:w="3175"/>
          </w:tcPr>
          <w:p>
            <w:r/>
            <w:r>
              <w:rPr>
                <w:b w:val="0"/>
                <w:sz w:val="16"/>
              </w:rPr>
              <w:t xml:space="preserve">7.1 </w:t>
              <w:tab/>
              <w:t>Box Service Warranty. Box warrants that, during the Subscription Period, the Box Service purchased under the applicable Order will perform substantially in accordance with the functions specified in the User Guide when used in a manner that conforms to the terms and conditions of this Agreement and the User Guide. Subject to the notice and cure provisions of Section 11.3 (Termination for Cause), if the Box Service fails to so conform, Box shall use commercially reasonable efforts to correct the non-conformity. If Box is unable to correct the non-conformity within thirty (30) days after receipt of Customer’s notice, then Customer may terminate the applicable Order and receive a pro-rated refund of the fees pre-paid by Customer for the corresponding unused portion of the Subscription Period. The warranties set forth herein are made to and for the benefit of Customer only.</w:t>
            </w:r>
          </w:p>
        </w:tc>
        <w:tc>
          <w:tcPr>
            <w:tcW w:type="dxa" w:w="1361"/>
          </w:tcPr>
          <w:p>
            <w:r/>
            <w:r>
              <w:rPr>
                <w:b w:val="0"/>
                <w:sz w:val="16"/>
              </w:rPr>
              <w:t>Proposed</w:t>
            </w:r>
          </w:p>
        </w:tc>
      </w:tr>
      <w:tr>
        <w:tc>
          <w:tcPr>
            <w:tcW w:type="dxa" w:w="454"/>
          </w:tcPr>
          <w:p>
            <w:r/>
            <w:r>
              <w:rPr>
                <w:b w:val="0"/>
                <w:sz w:val="16"/>
              </w:rPr>
              <w:t>8</w:t>
            </w:r>
          </w:p>
        </w:tc>
        <w:tc>
          <w:tcPr>
            <w:tcW w:type="dxa" w:w="1474"/>
          </w:tcPr>
          <w:p>
            <w:r/>
            <w:r>
              <w:rPr>
                <w:b w:val="0"/>
                <w:sz w:val="16"/>
              </w:rPr>
              <w:t>10.5 Non-Payment Suspension</w:t>
            </w:r>
          </w:p>
        </w:tc>
        <w:tc>
          <w:tcPr>
            <w:tcW w:type="dxa" w:w="1474"/>
          </w:tcPr>
          <w:p>
            <w:r/>
            <w:r>
              <w:rPr>
                <w:b w:val="0"/>
                <w:sz w:val="16"/>
              </w:rPr>
              <w:t>Suspension</w:t>
            </w:r>
          </w:p>
        </w:tc>
        <w:tc>
          <w:tcPr>
            <w:tcW w:type="dxa" w:w="1247"/>
            <w:shd w:val="clear" w:color="auto" w:fill="FCE4D6"/>
          </w:tcPr>
          <w:p>
            <w:r/>
            <w:r>
              <w:rPr>
                <w:b w:val="0"/>
                <w:sz w:val="16"/>
              </w:rPr>
              <w:t>Negotiable</w:t>
            </w:r>
          </w:p>
        </w:tc>
        <w:tc>
          <w:tcPr>
            <w:tcW w:type="dxa" w:w="2948"/>
          </w:tcPr>
          <w:p>
            <w:r/>
            <w:r>
              <w:rPr>
                <w:b w:val="0"/>
                <w:sz w:val="16"/>
              </w:rPr>
              <w:t>This allows suspension for non-payment but does not provide a cure period and could be applied broadly to all users even where a narrower suspension would address the issue. Adding advance written notice with a cure period and limiting suspension to what is strictly necessary keeps the remedy proportionate and avoids operational disruption from overbroad suspension.</w:t>
            </w:r>
          </w:p>
        </w:tc>
        <w:tc>
          <w:tcPr>
            <w:tcW w:type="dxa" w:w="3175"/>
          </w:tcPr>
          <w:p>
            <w:r/>
            <w:r>
              <w:rPr>
                <w:b w:val="0"/>
                <w:sz w:val="16"/>
              </w:rPr>
              <w:t>10.5</w:t>
              <w:tab/>
              <w:t>Non-Payment Suspension. If any invoices are more than thirty (30) days past due (except with respect to charges subject to a reasonable and good faith dispute as set forth in Section 10.3 (Invoicing and Payment Terms)), in addition to any other rights or remedies it may have under this Agreement or by applicable law, Box may suspend Customer's access to the Box Service only after providing ten (10) days' prior written notice and an opportunity to cure by paying the undisputed past due amounts. Any suspension shall be limited in scope, duration and affected users to what is strictly necessary, and Box shall promptly restore access following cure.</w:t>
            </w:r>
          </w:p>
        </w:tc>
        <w:tc>
          <w:tcPr>
            <w:tcW w:type="dxa" w:w="1361"/>
          </w:tcPr>
          <w:p>
            <w:r/>
            <w:r>
              <w:rPr>
                <w:b w:val="0"/>
                <w:sz w:val="16"/>
              </w:rPr>
              <w:t>Proposed</w:t>
            </w:r>
          </w:p>
        </w:tc>
      </w:tr>
      <w:tr>
        <w:tc>
          <w:tcPr>
            <w:tcW w:type="dxa" w:w="454"/>
          </w:tcPr>
          <w:p>
            <w:r/>
            <w:r>
              <w:rPr>
                <w:b w:val="0"/>
                <w:sz w:val="16"/>
              </w:rPr>
              <w:t>9</w:t>
            </w:r>
          </w:p>
        </w:tc>
        <w:tc>
          <w:tcPr>
            <w:tcW w:type="dxa" w:w="1474"/>
          </w:tcPr>
          <w:p>
            <w:r/>
            <w:r>
              <w:rPr>
                <w:b w:val="0"/>
                <w:sz w:val="16"/>
              </w:rPr>
              <w:t>11.2 Term of Order and Renewal (automatic renewal)</w:t>
            </w:r>
          </w:p>
        </w:tc>
        <w:tc>
          <w:tcPr>
            <w:tcW w:type="dxa" w:w="1474"/>
          </w:tcPr>
          <w:p>
            <w:r/>
            <w:r>
              <w:rPr>
                <w:b w:val="0"/>
                <w:sz w:val="16"/>
              </w:rPr>
              <w:t>Auto Renewal</w:t>
            </w:r>
          </w:p>
        </w:tc>
        <w:tc>
          <w:tcPr>
            <w:tcW w:type="dxa" w:w="1247"/>
            <w:shd w:val="clear" w:color="auto" w:fill="FCE4D6"/>
          </w:tcPr>
          <w:p>
            <w:r/>
            <w:r>
              <w:rPr>
                <w:b w:val="0"/>
                <w:sz w:val="16"/>
              </w:rPr>
              <w:t>Negotiable</w:t>
            </w:r>
          </w:p>
        </w:tc>
        <w:tc>
          <w:tcPr>
            <w:tcW w:type="dxa" w:w="2948"/>
          </w:tcPr>
          <w:p>
            <w:r/>
            <w:r>
              <w:rPr>
                <w:b w:val="0"/>
                <w:sz w:val="16"/>
              </w:rPr>
              <w:t>As drafted, the Orders renew automatically unless either party gives notice, which keeps Customer “on the hook” by default. Customer requires renewal by mutual written agreement, with advance notice of the expiration/renewal date so we can make an informed decision in time. The replacement keeps the existing term structure but removes auto-renewal and adds a simple notice obligation.</w:t>
            </w:r>
          </w:p>
        </w:tc>
        <w:tc>
          <w:tcPr>
            <w:tcW w:type="dxa" w:w="3175"/>
          </w:tcPr>
          <w:p>
            <w:r/>
            <w:r>
              <w:rPr>
                <w:b w:val="0"/>
                <w:sz w:val="16"/>
              </w:rPr>
              <w:t>11.2</w:t>
              <w:tab/>
              <w:t>Term of Order and Renewal. Each Order placed under this Agreement will be in effect for a period of one (1) year from the service start date unless otherwise specified in the Order. Thereafter, the Order(s) shall not renew automatically. Any renewal shall be by mutual written agreement of the parties. Supplier will provide Customer with written notice of the upcoming expiration date of the then-current Subscription Period at least thirty (30) days prior to such expiration. Unless otherwise agreed in a renewal Order signed by both Parties, any renewal will be on the same subscription period time length, usage limits and pricing as the expiring Subscription Period, and will incorporate the then-current Product Feature Matrix and any expansion orders by Customer during the service term.</w:t>
            </w:r>
          </w:p>
        </w:tc>
        <w:tc>
          <w:tcPr>
            <w:tcW w:type="dxa" w:w="1361"/>
          </w:tcPr>
          <w:p>
            <w:r/>
            <w:r>
              <w:rPr>
                <w:b w:val="0"/>
                <w:sz w:val="16"/>
              </w:rPr>
              <w:t>Proposed</w:t>
            </w:r>
          </w:p>
        </w:tc>
      </w:tr>
      <w:tr>
        <w:tc>
          <w:tcPr>
            <w:tcW w:type="dxa" w:w="454"/>
          </w:tcPr>
          <w:p>
            <w:r/>
            <w:r>
              <w:rPr>
                <w:b w:val="0"/>
                <w:sz w:val="16"/>
              </w:rPr>
              <w:t>10</w:t>
            </w:r>
          </w:p>
        </w:tc>
        <w:tc>
          <w:tcPr>
            <w:tcW w:type="dxa" w:w="1474"/>
          </w:tcPr>
          <w:p>
            <w:r/>
            <w:r>
              <w:rPr>
                <w:b w:val="0"/>
                <w:sz w:val="16"/>
              </w:rPr>
              <w:t>11.3 Termination for Cause (30-day notice and cure)</w:t>
            </w:r>
          </w:p>
        </w:tc>
        <w:tc>
          <w:tcPr>
            <w:tcW w:type="dxa" w:w="1474"/>
          </w:tcPr>
          <w:p>
            <w:r/>
            <w:r>
              <w:rPr>
                <w:b w:val="0"/>
                <w:sz w:val="16"/>
              </w:rPr>
              <w:t>Termination Cure</w:t>
            </w:r>
          </w:p>
        </w:tc>
        <w:tc>
          <w:tcPr>
            <w:tcW w:type="dxa" w:w="1247"/>
            <w:shd w:val="clear" w:color="auto" w:fill="FFDCE1"/>
          </w:tcPr>
          <w:p>
            <w:r/>
            <w:r>
              <w:rPr>
                <w:b w:val="0"/>
                <w:sz w:val="16"/>
              </w:rPr>
              <w:t>Unacceptable</w:t>
            </w:r>
          </w:p>
        </w:tc>
        <w:tc>
          <w:tcPr>
            <w:tcW w:type="dxa" w:w="2948"/>
          </w:tcPr>
          <w:p>
            <w:r/>
            <w:r>
              <w:rPr>
                <w:b w:val="0"/>
                <w:sz w:val="16"/>
              </w:rPr>
              <w:t>This clause provides a cure period but omits the required pro-rata refund of prepaid, unused fees if Customer terminates due to Supplier’s breach, which would leave Customer paying for services it will not receive. It also should clarify that a refund is not Customer’s sole remedy, so Customer does not waive other rights (including indemnification) by accepting the refund.</w:t>
            </w:r>
          </w:p>
        </w:tc>
        <w:tc>
          <w:tcPr>
            <w:tcW w:type="dxa" w:w="3175"/>
          </w:tcPr>
          <w:p>
            <w:r/>
            <w:r>
              <w:rPr>
                <w:b w:val="0"/>
                <w:sz w:val="16"/>
              </w:rPr>
              <w:t>11.3</w:t>
              <w:tab/>
              <w:t>Termination for Cause.  Either Party may terminate this Agreement for cause: upon thirty (30) days' written notice to the other Party of a material breach of this Agreement if such breach remains uncured after the expiration of such period. Where Customer terminates this Agreement for Supplier's breach, Supplier shall refund Customer all prepaid fees for the unused portion of the Term. Any such refund will not limit Customer's other rights or remedies, including any indemnification rights, arising from Supplier's breach.</w:t>
            </w:r>
          </w:p>
        </w:tc>
        <w:tc>
          <w:tcPr>
            <w:tcW w:type="dxa" w:w="1361"/>
          </w:tcPr>
          <w:p>
            <w:r/>
            <w:r>
              <w:rPr>
                <w:b w:val="0"/>
                <w:sz w:val="16"/>
              </w:rPr>
              <w:t>Proposed</w:t>
            </w:r>
          </w:p>
        </w:tc>
      </w:tr>
      <w:tr>
        <w:tc>
          <w:tcPr>
            <w:tcW w:type="dxa" w:w="454"/>
          </w:tcPr>
          <w:p>
            <w:r/>
            <w:r>
              <w:rPr>
                <w:b w:val="0"/>
                <w:sz w:val="16"/>
              </w:rPr>
              <w:t>11</w:t>
            </w:r>
          </w:p>
        </w:tc>
        <w:tc>
          <w:tcPr>
            <w:tcW w:type="dxa" w:w="1474"/>
          </w:tcPr>
          <w:p>
            <w:r/>
            <w:r>
              <w:rPr>
                <w:b w:val="0"/>
                <w:sz w:val="16"/>
              </w:rPr>
              <w:t>11.5 Post-Termination Obligations (30-day content retrieval)</w:t>
            </w:r>
          </w:p>
        </w:tc>
        <w:tc>
          <w:tcPr>
            <w:tcW w:type="dxa" w:w="1474"/>
          </w:tcPr>
          <w:p>
            <w:r/>
            <w:r>
              <w:rPr>
                <w:b w:val="0"/>
                <w:sz w:val="16"/>
              </w:rPr>
              <w:t>Data Return Deletion</w:t>
            </w:r>
          </w:p>
        </w:tc>
        <w:tc>
          <w:tcPr>
            <w:tcW w:type="dxa" w:w="1247"/>
            <w:shd w:val="clear" w:color="auto" w:fill="FCE4D6"/>
          </w:tcPr>
          <w:p>
            <w:r/>
            <w:r>
              <w:rPr>
                <w:b w:val="0"/>
                <w:sz w:val="16"/>
              </w:rPr>
              <w:t>Negotiable</w:t>
            </w:r>
          </w:p>
        </w:tc>
        <w:tc>
          <w:tcPr>
            <w:tcW w:type="dxa" w:w="2948"/>
          </w:tcPr>
          <w:p>
            <w:r/>
            <w:r>
              <w:rPr>
                <w:b w:val="0"/>
                <w:sz w:val="16"/>
              </w:rPr>
              <w:t>The clause only provides a 30-day retrieval period and conditions it on a prior written request, which risks a loss of access and an ineffective export right. It also limits retrieval to browser-only access and excludes API/Platform tools, which can be commercially impractical for full data export. Finally, it does not address deletion and certification, leaving Customer’s data retention and sanitisation obligations unclear after the export window.</w:t>
            </w:r>
          </w:p>
        </w:tc>
        <w:tc>
          <w:tcPr>
            <w:tcW w:type="dxa" w:w="3175"/>
          </w:tcPr>
          <w:p>
            <w:r/>
            <w:r>
              <w:rPr>
                <w:b w:val="0"/>
                <w:sz w:val="16"/>
              </w:rPr>
              <w:t>11.5</w:t>
              <w:tab/>
              <w:t>Post-Termination Obligations.  Upon the termination or expiration of this Agreement for any reason, Customer will have no further rights to access the Box Service hereunder except as set forth in this Section 11.5. For sixty (60) days following the expiration or the termination of the Agreement or applicable Order, Box will make available to Customer the Content remaining on the Box Service for export by Customer using the Box Service’s standard export functionality (including via browser-based service and any Platform or other API-based tools then generally available). Thereafter Box shall delete Customer’s Content from the Box Service in accordance with Box’s standard deletion processes and, upon Customer’s written request, certify such deletion in writing. At any time prior to deletion, Box shall delete Customer’s Content upon Customer’s written request, provided that Customer acknowledges such deletion may limit Customer’s ability to export such Content thereafter.</w:t>
            </w:r>
          </w:p>
        </w:tc>
        <w:tc>
          <w:tcPr>
            <w:tcW w:type="dxa" w:w="1361"/>
          </w:tcPr>
          <w:p>
            <w:r/>
            <w:r>
              <w:rPr>
                <w:b w:val="0"/>
                <w:sz w:val="16"/>
              </w:rPr>
              <w:t>Proposed</w:t>
            </w:r>
          </w:p>
        </w:tc>
      </w:tr>
      <w:tr>
        <w:tc>
          <w:tcPr>
            <w:tcW w:type="dxa" w:w="454"/>
          </w:tcPr>
          <w:p>
            <w:r/>
            <w:r>
              <w:rPr>
                <w:b w:val="0"/>
                <w:sz w:val="16"/>
              </w:rPr>
              <w:t>12</w:t>
            </w:r>
          </w:p>
        </w:tc>
        <w:tc>
          <w:tcPr>
            <w:tcW w:type="dxa" w:w="1474"/>
          </w:tcPr>
          <w:p>
            <w:r/>
            <w:r>
              <w:rPr>
                <w:b w:val="0"/>
                <w:sz w:val="16"/>
              </w:rPr>
              <w:t>12.1 Indemnification by Box</w:t>
            </w:r>
          </w:p>
        </w:tc>
        <w:tc>
          <w:tcPr>
            <w:tcW w:type="dxa" w:w="1474"/>
          </w:tcPr>
          <w:p>
            <w:r/>
            <w:r>
              <w:rPr>
                <w:b w:val="0"/>
                <w:sz w:val="16"/>
              </w:rPr>
              <w:t>Vendor IP Indemnity</w:t>
            </w:r>
          </w:p>
        </w:tc>
        <w:tc>
          <w:tcPr>
            <w:tcW w:type="dxa" w:w="1247"/>
            <w:shd w:val="clear" w:color="auto" w:fill="FCE4D6"/>
          </w:tcPr>
          <w:p>
            <w:r/>
            <w:r>
              <w:rPr>
                <w:b w:val="0"/>
                <w:sz w:val="16"/>
              </w:rPr>
              <w:t>Negotiable</w:t>
            </w:r>
          </w:p>
        </w:tc>
        <w:tc>
          <w:tcPr>
            <w:tcW w:type="dxa" w:w="2948"/>
          </w:tcPr>
          <w:p>
            <w:r/>
            <w:r>
              <w:rPr>
                <w:b w:val="0"/>
                <w:sz w:val="16"/>
              </w:rPr>
              <w:t>The indemnity is generally in place, but it is narrower than required (limited to registered patents/trademarks and does not cover all IP rights) and it does not address control of defense/settlement protections. It also needs to be expressly outside the Agreement’s general limitation of liability to avoid being inadvertently capped. The standard carve-outs for unauthorized use, unsupported combinations, and unauthorized modifications are acceptable as written.</w:t>
            </w:r>
          </w:p>
        </w:tc>
        <w:tc>
          <w:tcPr>
            <w:tcW w:type="dxa" w:w="3175"/>
          </w:tcPr>
          <w:p>
            <w:r/>
            <w:r>
              <w:rPr>
                <w:b w:val="0"/>
                <w:sz w:val="16"/>
              </w:rPr>
              <w:t>12.1</w:t>
              <w:tab/>
              <w:t>Indemnification by Box. Box will defend Customer against any third-party claim that the Box Service infringes or misappropriates any patent, copyright, trademark, trade secret or other intellectual property right of a third party ("Claim Against Customer"), and will indemnify Customer for the resulting costs and damages finally awarded against Customer to such third party by a court of competent jurisdiction or agreed to in settlement. Box will have no liability to Customer under this Section 12.1 for any Claim Against Customer that arises out of: (a) any unauthorized use, reproduction, or distribution of the Box Service by Customer; (b) use of the Box Service in combination with any other products, technology, process, software or equipment not supplied by Box nor explicitly supported in the User Guide if such Claim Against Customer would have been avoided without such combination; or (c) any modification or alteration of the Box Service by anyone other than Box or Box's agents without the written approval of Box.</w:t>
              <w:br/>
              <w:br/>
              <w:t>In the event of a Claim Against Customer pursuant to this Section 12.1, Box will (at Box's option and expense): (i) obtain for Customer the right to continue using the Box Service; (ii) modify the Box Service to make it non-infringing; or (iii) if subsections (i) and (ii) are not commercially viable (as determined by Box in its sole discretion), terminate this Agreement, in which case Customer will be entitled to a pro-rated refund of any fees pre-paid by Customer for the corresponding unused period of the applicable Subscription Period.</w:t>
              <w:br/>
              <w:br/>
              <w:t>Box will control the defense and settlement of any Claim Against Customer; provided that Box may not settle any Claim Against Customer in any manner that admits fault on behalf of, or imposes any obligation on, Customer without Customer's prior written consent, and any settlement must include a full release of Customer from all liability with respect to such Claim Against Customer. The obligations in this Section 12.1 shall not be subject to the limitation of liability set out in this Agreement.</w:t>
            </w:r>
          </w:p>
        </w:tc>
        <w:tc>
          <w:tcPr>
            <w:tcW w:type="dxa" w:w="1361"/>
          </w:tcPr>
          <w:p>
            <w:r/>
            <w:r>
              <w:rPr>
                <w:b w:val="0"/>
                <w:sz w:val="16"/>
              </w:rPr>
              <w:t>Proposed</w:t>
            </w:r>
          </w:p>
        </w:tc>
      </w:tr>
      <w:tr>
        <w:tc>
          <w:tcPr>
            <w:tcW w:type="dxa" w:w="454"/>
          </w:tcPr>
          <w:p>
            <w:r/>
            <w:r>
              <w:rPr>
                <w:b w:val="0"/>
                <w:sz w:val="16"/>
              </w:rPr>
              <w:t>13</w:t>
            </w:r>
          </w:p>
        </w:tc>
        <w:tc>
          <w:tcPr>
            <w:tcW w:type="dxa" w:w="1474"/>
          </w:tcPr>
          <w:p>
            <w:r/>
            <w:r>
              <w:rPr>
                <w:b w:val="0"/>
                <w:sz w:val="16"/>
              </w:rPr>
              <w:t>12.2 Indemnification by Customer</w:t>
            </w:r>
          </w:p>
        </w:tc>
        <w:tc>
          <w:tcPr>
            <w:tcW w:type="dxa" w:w="1474"/>
          </w:tcPr>
          <w:p>
            <w:r/>
            <w:r>
              <w:rPr>
                <w:b w:val="0"/>
                <w:sz w:val="16"/>
              </w:rPr>
              <w:t>Customer Indemnity</w:t>
            </w:r>
          </w:p>
        </w:tc>
        <w:tc>
          <w:tcPr>
            <w:tcW w:type="dxa" w:w="1247"/>
            <w:shd w:val="clear" w:color="auto" w:fill="FCE4D6"/>
          </w:tcPr>
          <w:p>
            <w:r/>
            <w:r>
              <w:rPr>
                <w:b w:val="0"/>
                <w:sz w:val="16"/>
              </w:rPr>
              <w:t>Negotiable</w:t>
            </w:r>
          </w:p>
        </w:tc>
        <w:tc>
          <w:tcPr>
            <w:tcW w:type="dxa" w:w="2948"/>
          </w:tcPr>
          <w:p>
            <w:r/>
            <w:r>
              <w:rPr>
                <w:b w:val="0"/>
                <w:sz w:val="16"/>
              </w:rPr>
              <w:t>As drafted, the indemnity extends beyond Customer Content to cover Customer’s “use of the Box Service” and Acceptable Use breaches, which is broader than necessary and can operate as an open-ended backdoor allocation of risk. Customer can reasonably indemnify for third-party IP claims arising from Customer Content, but the obligation should be capped consistent with the Limitation of Liability for symmetry and predictability. The carve-out for Box’s actions is retained so Customer is not responsible for Box-caused infringement.</w:t>
            </w:r>
          </w:p>
        </w:tc>
        <w:tc>
          <w:tcPr>
            <w:tcW w:type="dxa" w:w="3175"/>
          </w:tcPr>
          <w:p>
            <w:r/>
            <w:r>
              <w:rPr>
                <w:b w:val="0"/>
                <w:sz w:val="16"/>
              </w:rPr>
              <w:t>12.2</w:t>
              <w:tab/>
              <w:t>Indemnification by Customer. Customer will defend Box against any third-party claim to the extent arising from Customer's Content that infringes such third party's intellectual property rights, provided that such infringement is not the result of Box's actions. Customer will, with respect to any claim against Box that is subject to this Section 12.2, indemnify Box for the resulting costs and damages finally awarded against Box to such third party by a court of competent jurisdiction or agreed to in settlement; provided that Customer's total liability under this Section 12.2 shall not exceed the cap set out in the Limitation of Liability section.</w:t>
            </w:r>
          </w:p>
        </w:tc>
        <w:tc>
          <w:tcPr>
            <w:tcW w:type="dxa" w:w="1361"/>
          </w:tcPr>
          <w:p>
            <w:r/>
            <w:r>
              <w:rPr>
                <w:b w:val="0"/>
                <w:sz w:val="16"/>
              </w:rPr>
              <w:t>Proposed</w:t>
            </w:r>
          </w:p>
        </w:tc>
      </w:tr>
      <w:tr>
        <w:tc>
          <w:tcPr>
            <w:tcW w:type="dxa" w:w="454"/>
          </w:tcPr>
          <w:p>
            <w:r/>
            <w:r>
              <w:rPr>
                <w:b w:val="0"/>
                <w:sz w:val="16"/>
              </w:rPr>
              <w:t>14</w:t>
            </w:r>
          </w:p>
        </w:tc>
        <w:tc>
          <w:tcPr>
            <w:tcW w:type="dxa" w:w="1474"/>
          </w:tcPr>
          <w:p>
            <w:r/>
            <w:r>
              <w:rPr>
                <w:b w:val="0"/>
                <w:sz w:val="16"/>
              </w:rPr>
              <w:t>13.1 Limitation of Liability</w:t>
            </w:r>
          </w:p>
        </w:tc>
        <w:tc>
          <w:tcPr>
            <w:tcW w:type="dxa" w:w="1474"/>
          </w:tcPr>
          <w:p>
            <w:r/>
            <w:r>
              <w:rPr>
                <w:b w:val="0"/>
                <w:sz w:val="16"/>
              </w:rPr>
              <w:t>Liability Carveouts</w:t>
            </w:r>
          </w:p>
        </w:tc>
        <w:tc>
          <w:tcPr>
            <w:tcW w:type="dxa" w:w="1247"/>
            <w:shd w:val="clear" w:color="auto" w:fill="FFDCE1"/>
          </w:tcPr>
          <w:p>
            <w:r/>
            <w:r>
              <w:rPr>
                <w:b w:val="0"/>
                <w:sz w:val="16"/>
              </w:rPr>
              <w:t>Unacceptable</w:t>
            </w:r>
          </w:p>
        </w:tc>
        <w:tc>
          <w:tcPr>
            <w:tcW w:type="dxa" w:w="2948"/>
          </w:tcPr>
          <w:p>
            <w:r/>
            <w:r>
              <w:rPr>
                <w:b w:val="0"/>
                <w:sz w:val="16"/>
              </w:rPr>
              <w:t>As drafted, the cap applies to nearly all claims and only carves out death/personal injury, which would leave key risks like confidentiality breaches, privacy/data security incidents, and indemnity claims inappropriately capped. Those exposures can significantly exceed one year of fees and are better addressed outside the cap (or with a higher, specific cap) so the allocation of risk matches each party’s control over the harm. We also need to ensure Customer’s payment obligations are not unintentionally limited by the liability cap.</w:t>
            </w:r>
          </w:p>
        </w:tc>
        <w:tc>
          <w:tcPr>
            <w:tcW w:type="dxa" w:w="3175"/>
          </w:tcPr>
          <w:p>
            <w:r/>
            <w:r>
              <w:rPr>
                <w:b w:val="0"/>
                <w:sz w:val="16"/>
              </w:rPr>
              <w:t>13.1</w:t>
              <w:tab/>
              <w:t>Limitation of Liability.  TO THE EXTENT NOT PROHIBITED BY LAW, EXCEPT FOR THE EXCLUDED CLAIMS SET OUT BELOW, IN NO EVENT WILL BOX'S AND ITS AFFILIATES' TOTAL AND CUMULATIVE LIABILITY, FOR ALL CLAIMS OF ANY NATURE ARISING OUT OF OR RELATED TO THIS AGREEMENT EXCEED THE TOTAL FEES PAID BY CUSTOMER TO BOX (OR TO A BOX DISTRIBUTOR OR BOX RESELLER, IF APPLICABLE) FOR THE BOX SERVICE IN THE TWELVE (12) MONTHS PRECEDING THE DATE OF THE FIRST EVENT WHICH GIVES RISE TO LIABILITY UNDER THIS AGREEMENT. THE FOREGOING LIMITATION DOES NOT LIMIT OR EXCLUDE ANY LIABILITY: (A) FOR DEATH OR PERSONAL INJURY CAUSED BY NEGLIGENCE; (B) ARISING FROM EITHER PARTY'S INDEMNIFICATION OBLIGATIONS; (C) ARISING FROM A PARTY'S BREACH OF ITS CONFIDENTIALITY OBLIGATIONS; (D) ARISING FROM BOX'S BREACH OF ITS DATA SECURITY OR DATA PROTECTION OBLIGATIONS OR APPLICABLE PRIVACY LAWS; (E) ARISING FROM EITHER PARTY'S FRAUD, GROSS NEGLIGENCE OR WILFUL MISCONDUCT; OR (F) FOR CUSTOMER'S PAYMENT OBLIGATIONS.</w:t>
            </w:r>
          </w:p>
        </w:tc>
        <w:tc>
          <w:tcPr>
            <w:tcW w:type="dxa" w:w="1361"/>
          </w:tcPr>
          <w:p>
            <w:r/>
            <w:r>
              <w:rPr>
                <w:b w:val="0"/>
                <w:sz w:val="16"/>
              </w:rPr>
              <w:t>Proposed</w:t>
            </w:r>
          </w:p>
        </w:tc>
      </w:tr>
      <w:tr>
        <w:tc>
          <w:tcPr>
            <w:tcW w:type="dxa" w:w="454"/>
          </w:tcPr>
          <w:p>
            <w:r/>
            <w:r>
              <w:rPr>
                <w:b w:val="0"/>
                <w:sz w:val="16"/>
              </w:rPr>
              <w:t>15</w:t>
            </w:r>
          </w:p>
        </w:tc>
        <w:tc>
          <w:tcPr>
            <w:tcW w:type="dxa" w:w="1474"/>
          </w:tcPr>
          <w:p>
            <w:r/>
            <w:r>
              <w:rPr>
                <w:b w:val="0"/>
                <w:sz w:val="16"/>
              </w:rPr>
              <w:t>Disclaimer of Consequential and Related Damages</w:t>
            </w:r>
          </w:p>
        </w:tc>
        <w:tc>
          <w:tcPr>
            <w:tcW w:type="dxa" w:w="1474"/>
          </w:tcPr>
          <w:p>
            <w:r/>
            <w:r>
              <w:rPr>
                <w:b w:val="0"/>
                <w:sz w:val="16"/>
              </w:rPr>
              <w:t>Consequential Damages</w:t>
            </w:r>
          </w:p>
        </w:tc>
        <w:tc>
          <w:tcPr>
            <w:tcW w:type="dxa" w:w="1247"/>
            <w:shd w:val="clear" w:color="auto" w:fill="FCE4D6"/>
          </w:tcPr>
          <w:p>
            <w:r/>
            <w:r>
              <w:rPr>
                <w:b w:val="0"/>
                <w:sz w:val="16"/>
              </w:rPr>
              <w:t>Negotiable</w:t>
            </w:r>
          </w:p>
        </w:tc>
        <w:tc>
          <w:tcPr>
            <w:tcW w:type="dxa" w:w="2948"/>
          </w:tcPr>
          <w:p>
            <w:r/>
            <w:r>
              <w:rPr>
                <w:b w:val="0"/>
                <w:sz w:val="16"/>
              </w:rPr>
              <w:t>The waiver is mutual, but as drafted it would also waive the damages that typically make up the bulk of exposure for confidentiality or data security breaches (e.g., loss of use of data, remediation and notification impacts), effectively leaving the non-breaching party without a meaningful remedy. Adding a narrow carve-out for breaches of confidentiality and data security preserves the commercial allocation of risk while keeping the general mutual consequential damages waiver intact.</w:t>
            </w:r>
          </w:p>
        </w:tc>
        <w:tc>
          <w:tcPr>
            <w:tcW w:type="dxa" w:w="3175"/>
          </w:tcPr>
          <w:p>
            <w:r/>
            <w:r>
              <w:rPr>
                <w:b w:val="0"/>
                <w:sz w:val="16"/>
              </w:rPr>
              <w:t>Disclaimer of Consequential and Related Damages.  IN NO EVENT WILL EITHER PARTY BE LIABLE FOR ANY INDIRECT, INCIDENTAL, SPECIAL, PUNITIVE, COVER, LOSS OF PROFITS OR REVENUE, OR CONSEQUENTIAL DAMAGES (INCLUDING, WITHOUT LIMITATION, LOSS OF GOODWILL OR LOSS OF USE OF DATA) HOWEVER CAUSED, WHETHER BASED IN CONTRACT, TORT, WARRANTY, NEGLIGENCE OR ANY OTHER THEORY OF LIABILITY, EVEN IF SUCH PARTY HAS BEEN ADVISED AS TO THE POSSIBILITY OF SUCH DAMAGES; PROVIDED THAT THIS DISCLAIMER SHALL NOT APPLY TO DAMAGES ARISING FROM A PARTY’S BREACH OF ITS CONFIDENTIALITY OR DATA SECURITY OBLIGATIONS.  SOME JURISDICTIONS DO NOT ALLOW THE EXCLUSION OF INCIDENTAL, CONSEQUENTIAL OR OTHER DAMAGES. IN SUCH AN EVENT THIS EXCLUSION WILL NOT APPLY TO THE EXTENT THE EXCLUSION IS PROHIBITED BY LAW.</w:t>
            </w:r>
          </w:p>
        </w:tc>
        <w:tc>
          <w:tcPr>
            <w:tcW w:type="dxa" w:w="1361"/>
          </w:tcPr>
          <w:p>
            <w:r/>
            <w:r>
              <w:rPr>
                <w:b w:val="0"/>
                <w:sz w:val="16"/>
              </w:rPr>
              <w:t>Proposed</w:t>
            </w:r>
          </w:p>
        </w:tc>
      </w:tr>
      <w:tr>
        <w:tc>
          <w:tcPr>
            <w:tcW w:type="dxa" w:w="454"/>
          </w:tcPr>
          <w:p>
            <w:r/>
            <w:r>
              <w:rPr>
                <w:b w:val="0"/>
                <w:sz w:val="16"/>
              </w:rPr>
              <w:t>16</w:t>
            </w:r>
          </w:p>
        </w:tc>
        <w:tc>
          <w:tcPr>
            <w:tcW w:type="dxa" w:w="1474"/>
          </w:tcPr>
          <w:p>
            <w:r/>
            <w:r>
              <w:rPr>
                <w:b w:val="0"/>
                <w:sz w:val="16"/>
              </w:rPr>
              <w:t>15.3 References</w:t>
            </w:r>
          </w:p>
        </w:tc>
        <w:tc>
          <w:tcPr>
            <w:tcW w:type="dxa" w:w="1474"/>
          </w:tcPr>
          <w:p>
            <w:r/>
            <w:r>
              <w:rPr>
                <w:b w:val="0"/>
                <w:sz w:val="16"/>
              </w:rPr>
              <w:t>Publicity</w:t>
            </w:r>
          </w:p>
        </w:tc>
        <w:tc>
          <w:tcPr>
            <w:tcW w:type="dxa" w:w="1247"/>
            <w:shd w:val="clear" w:color="auto" w:fill="FFDCE1"/>
          </w:tcPr>
          <w:p>
            <w:r/>
            <w:r>
              <w:rPr>
                <w:b w:val="0"/>
                <w:sz w:val="16"/>
              </w:rPr>
              <w:t>Unacceptable</w:t>
            </w:r>
          </w:p>
        </w:tc>
        <w:tc>
          <w:tcPr>
            <w:tcW w:type="dxa" w:w="2948"/>
          </w:tcPr>
          <w:p>
            <w:r/>
            <w:r>
              <w:rPr>
                <w:b w:val="0"/>
                <w:sz w:val="16"/>
              </w:rPr>
              <w:t>As written, Box has a default right to use Customer as a reference in marketing materials and public statements, with only an opt-out mechanism, which effectively permits unrestricted publicity use. Customer needs prior written consent for each use of its name, logo and marks, with at most a limited exception to be listed on a customer page. This avoids reputational risk and ensures Customer controls public references and brand use.</w:t>
            </w:r>
          </w:p>
        </w:tc>
        <w:tc>
          <w:tcPr>
            <w:tcW w:type="dxa" w:w="3175"/>
          </w:tcPr>
          <w:p>
            <w:r/>
            <w:r>
              <w:rPr>
                <w:b w:val="0"/>
                <w:sz w:val="16"/>
              </w:rPr>
              <w:t>15.3</w:t>
              <w:tab/>
              <w:t>References. Box shall not use Customer’s name, logo or other trademarks in any advertising, press release, case study, public statement, sales or marketing materials, or customer list, without Customer’s prior written consent in each instance. Notwithstanding the foregoing, Box may list Customer’s name (but not Customer’s logo or other trademarks) on Box’s customer page or in a non-promotional customer list, provided such use complies with Customer’s trademark and logo usage guidelines as provided to Box and Customer has not opted out by written notice to Box. Customer may withdraw consent or opt out at any time by sending written notice to stories@box.com, and Box shall promptly cease such use and, to the extent practicable, remove or update the applicable materials.</w:t>
            </w:r>
          </w:p>
        </w:tc>
        <w:tc>
          <w:tcPr>
            <w:tcW w:type="dxa" w:w="1361"/>
          </w:tcPr>
          <w:p>
            <w:r/>
            <w:r>
              <w:rPr>
                <w:b w:val="0"/>
                <w:sz w:val="16"/>
              </w:rPr>
              <w:t>Proposed</w:t>
            </w:r>
          </w:p>
        </w:tc>
      </w:tr>
      <w:tr>
        <w:tc>
          <w:tcPr>
            <w:tcW w:type="dxa" w:w="454"/>
          </w:tcPr>
          <w:p>
            <w:r/>
            <w:r>
              <w:rPr>
                <w:b w:val="0"/>
                <w:sz w:val="16"/>
              </w:rPr>
              <w:t>17</w:t>
            </w:r>
          </w:p>
        </w:tc>
        <w:tc>
          <w:tcPr>
            <w:tcW w:type="dxa" w:w="1474"/>
          </w:tcPr>
          <w:p>
            <w:r/>
            <w:r>
              <w:rPr>
                <w:b w:val="0"/>
                <w:sz w:val="16"/>
              </w:rPr>
              <w:t>15.7 Assignment</w:t>
            </w:r>
          </w:p>
        </w:tc>
        <w:tc>
          <w:tcPr>
            <w:tcW w:type="dxa" w:w="1474"/>
          </w:tcPr>
          <w:p>
            <w:r/>
            <w:r>
              <w:rPr>
                <w:b w:val="0"/>
                <w:sz w:val="16"/>
              </w:rPr>
              <w:t>Assignment Change Control</w:t>
            </w:r>
          </w:p>
        </w:tc>
        <w:tc>
          <w:tcPr>
            <w:tcW w:type="dxa" w:w="1247"/>
            <w:shd w:val="clear" w:color="auto" w:fill="FCE4D6"/>
          </w:tcPr>
          <w:p>
            <w:r/>
            <w:r>
              <w:rPr>
                <w:b w:val="0"/>
                <w:sz w:val="16"/>
              </w:rPr>
              <w:t>Negotiable</w:t>
            </w:r>
          </w:p>
        </w:tc>
        <w:tc>
          <w:tcPr>
            <w:tcW w:type="dxa" w:w="2948"/>
          </w:tcPr>
          <w:p>
            <w:r/>
            <w:r>
              <w:rPr>
                <w:b w:val="0"/>
                <w:sz w:val="16"/>
              </w:rPr>
              <w:t>As drafted, the opening sentence creates an unnecessary one-way restriction on Customer (and a voiding remedy) before later granting a mutual assignment right, which can be read to create ambiguity and makes Customer’s ability to reorganize or integrate acquisitions less certain. This replacement makes the change-of-control and Affiliate assignments clearly mutual and ensures any other assignment requires consent that cannot be unreasonably withheld, conditioned, or delayed.</w:t>
            </w:r>
          </w:p>
        </w:tc>
        <w:tc>
          <w:tcPr>
            <w:tcW w:type="dxa" w:w="3175"/>
          </w:tcPr>
          <w:p>
            <w:r/>
            <w:r>
              <w:rPr>
                <w:b w:val="0"/>
                <w:sz w:val="16"/>
              </w:rPr>
              <w:t>15.7</w:t>
              <w:tab/>
              <w:t>Assignment.  Either Party may assign this Agreement (or any Order) without obtaining the other Party's consent: (a) to an Affiliate; or (b) in connection with a successor in interest in a merger, reorganization or a sale of all or substantially all of the assets of the Party. Except as set forth in the preceding sentence, neither Party will, directly, indirectly, by operation of law or otherwise, assign or transfer all or any part of this Agreement or its rights hereunder without the prior written consent of the other Party, such consent not to be unreasonably withheld, conditioned or delayed. Any attempted assignment or transfer in violation of this Section 15.7 shall be void and of no effect. Subject to the foregoing restrictions, this Agreement will be fully binding upon, inure to the benefit of and be enforceable by the Parties and their respective permitted successors and assigns.</w:t>
            </w:r>
          </w:p>
        </w:tc>
        <w:tc>
          <w:tcPr>
            <w:tcW w:type="dxa" w:w="1361"/>
          </w:tcPr>
          <w:p>
            <w:r/>
            <w:r>
              <w:rPr>
                <w:b w:val="0"/>
                <w:sz w:val="16"/>
              </w:rPr>
              <w:t>Proposed</w:t>
            </w:r>
          </w:p>
        </w:tc>
      </w:tr>
      <w:tr>
        <w:tc>
          <w:tcPr>
            <w:tcW w:type="dxa" w:w="454"/>
          </w:tcPr>
          <w:p>
            <w:r/>
            <w:r>
              <w:rPr>
                <w:b w:val="0"/>
                <w:sz w:val="16"/>
              </w:rPr>
              <w:t>18</w:t>
            </w:r>
          </w:p>
        </w:tc>
        <w:tc>
          <w:tcPr>
            <w:tcW w:type="dxa" w:w="1474"/>
          </w:tcPr>
          <w:p>
            <w:r/>
            <w:r>
              <w:rPr>
                <w:b w:val="0"/>
                <w:sz w:val="16"/>
              </w:rPr>
              <w:t>15.8 Integration; Order of Precedence</w:t>
            </w:r>
          </w:p>
        </w:tc>
        <w:tc>
          <w:tcPr>
            <w:tcW w:type="dxa" w:w="1474"/>
          </w:tcPr>
          <w:p>
            <w:r/>
            <w:r>
              <w:rPr>
                <w:b w:val="0"/>
                <w:sz w:val="16"/>
              </w:rPr>
              <w:t>Order of Precedence</w:t>
            </w:r>
          </w:p>
        </w:tc>
        <w:tc>
          <w:tcPr>
            <w:tcW w:type="dxa" w:w="1247"/>
            <w:shd w:val="clear" w:color="auto" w:fill="FFDCE1"/>
          </w:tcPr>
          <w:p>
            <w:r/>
            <w:r>
              <w:rPr>
                <w:b w:val="0"/>
                <w:sz w:val="16"/>
              </w:rPr>
              <w:t>Unacceptable</w:t>
            </w:r>
          </w:p>
        </w:tc>
        <w:tc>
          <w:tcPr>
            <w:tcW w:type="dxa" w:w="2948"/>
          </w:tcPr>
          <w:p>
            <w:r/>
            <w:r>
              <w:rPr>
                <w:b w:val="0"/>
                <w:sz w:val="16"/>
              </w:rPr>
              <w:t>As written, the clause allows operative terms to be “incorporated by a link,” which lets Supplier change contract terms unilaterally by updating a web page. It also gives the Order blanket precedence over the Agreement, rather than limiting Order precedence to commercial terms, which can unintentionally override negotiated legal protections. The replacement freezes any incorporated terms as of signature and puts online/incorporated terms last in precedence.</w:t>
            </w:r>
          </w:p>
        </w:tc>
        <w:tc>
          <w:tcPr>
            <w:tcW w:type="dxa" w:w="3175"/>
          </w:tcPr>
          <w:p>
            <w:r/>
            <w:r>
              <w:rPr>
                <w:b w:val="0"/>
                <w:sz w:val="16"/>
              </w:rPr>
              <w:t>15.8</w:t>
              <w:tab/>
              <w:t>Integration; Order of Precedence.  This Agreement and any exhibits or addenda attached hereto constitute the entire agreement between the Parties and supersedes any and all prior agreements or communications between the Parties with regard to the subject matter hereof. Any terms, policies or documents incorporated by reference (including by hyperlink) (collectively, “Incorporated Terms”) are incorporated only as in effect on the Effective Date and only in the form attached to this Agreement as an exhibit (or otherwise provided to Customer in PDF form and identified in the applicable Order). Supplier shall not modify any Incorporated Terms in a manner materially adverse to Customer without Customer’s prior written consent.</w:t>
              <w:br/>
              <w:br/>
              <w:t>This Agreement may not be amended or modified except by (i) the mutual signed agreement of the Parties hereto, or (ii) a signed Order, but solely with respect to commercial terms (e.g., fees, quantities, ordering details, and the applicable subscription term) and not to amend any other terms of this Agreement unless the Order expressly states it amends this Agreement and specifically identifies the section(s) amended.</w:t>
              <w:br/>
              <w:br/>
              <w:t>The terms of this Agreement shall supersede and control over any conflicting or additional terms and conditions of any purchase order, acknowledgement, confirmation or other document issued by Customer.</w:t>
              <w:br/>
              <w:br/>
              <w:t>In the event of any conflict, the following order of precedence shall apply: (a) this Agreement and its exhibits; (b) the applicable Order, solely as to commercial terms; and (c) any Incorporated Terms.</w:t>
            </w:r>
          </w:p>
        </w:tc>
        <w:tc>
          <w:tcPr>
            <w:tcW w:type="dxa" w:w="1361"/>
          </w:tcPr>
          <w:p>
            <w:r/>
            <w:r>
              <w:rPr>
                <w:b w:val="0"/>
                <w:sz w:val="16"/>
              </w:rPr>
              <w:t>Proposed</w:t>
            </w:r>
          </w:p>
        </w:tc>
      </w:tr>
      <w:tr>
        <w:tc>
          <w:tcPr>
            <w:tcW w:type="dxa" w:w="454"/>
          </w:tcPr>
          <w:p>
            <w:r/>
            <w:r>
              <w:rPr>
                <w:b w:val="0"/>
                <w:sz w:val="16"/>
              </w:rPr>
              <w:t>19</w:t>
            </w:r>
          </w:p>
        </w:tc>
        <w:tc>
          <w:tcPr>
            <w:tcW w:type="dxa" w:w="1474"/>
          </w:tcPr>
          <w:p>
            <w:r/>
            <w:r>
              <w:rPr>
                <w:b w:val="0"/>
                <w:sz w:val="16"/>
              </w:rPr>
              <w:t>15.10 Applicable Law; Dispute Resolution</w:t>
            </w:r>
          </w:p>
        </w:tc>
        <w:tc>
          <w:tcPr>
            <w:tcW w:type="dxa" w:w="1474"/>
          </w:tcPr>
          <w:p>
            <w:r/>
            <w:r>
              <w:rPr>
                <w:b w:val="0"/>
                <w:sz w:val="16"/>
              </w:rPr>
              <w:t>Arbitration Class Waiver</w:t>
            </w:r>
          </w:p>
        </w:tc>
        <w:tc>
          <w:tcPr>
            <w:tcW w:type="dxa" w:w="1247"/>
            <w:shd w:val="clear" w:color="auto" w:fill="FFDCE1"/>
          </w:tcPr>
          <w:p>
            <w:r/>
            <w:r>
              <w:rPr>
                <w:b w:val="0"/>
                <w:sz w:val="16"/>
              </w:rPr>
              <w:t>Unacceptable</w:t>
            </w:r>
          </w:p>
        </w:tc>
        <w:tc>
          <w:tcPr>
            <w:tcW w:type="dxa" w:w="2948"/>
          </w:tcPr>
          <w:p>
            <w:r/>
            <w:r>
              <w:rPr>
                <w:b w:val="0"/>
                <w:sz w:val="16"/>
              </w:rPr>
              <w:t>California governing law and Santa Clara venue are not acceptable because they are tied to Supplier’s home forum and create unnecessary burden and risk for Customer. The clause also requires mandatory binding arbitration under ICC rules, which pre-commits the Parties to arbitration rather than allowing litigation in court and is inconsistent with Customer’s position that arbitration should be only by mutual agreement at the time of a dispute. Adding a short executive escalation step preserves a practical path to resolution without restricting either Party’s ability to go to court or seek equitable relief.</w:t>
            </w:r>
          </w:p>
        </w:tc>
        <w:tc>
          <w:tcPr>
            <w:tcW w:type="dxa" w:w="3175"/>
          </w:tcPr>
          <w:p>
            <w:r/>
            <w:r>
              <w:rPr>
                <w:b w:val="0"/>
                <w:sz w:val="16"/>
              </w:rPr>
              <w:t>15.10</w:t>
              <w:tab/>
              <w:t>Applicable Law; Dispute Resolution.  This Agreement will be construed and enforced in all respects in accordance with the laws of the State of Ohio, U.S.A., without reference to its choice of law rules.  The Parties shall first attempt to resolve any dispute, controversy or claim arising under, out of or relating to this Agreement through good-faith negotiation between senior executives of the Parties.  If the Parties do not resolve the dispute within thirty (30) days after a written request for such executive negotiations, either Party may pursue its remedies in a court of competent jurisdiction.  The Parties submit to the exclusive jurisdiction of the state and federal courts located in Ohio for any such action, and each Party waives any objection based on venue or forum non conveniens.  The foregoing does not limit or restrict either Party from seeking injunctive or other equitable relief from a court of competent jurisdiction.</w:t>
            </w:r>
          </w:p>
        </w:tc>
        <w:tc>
          <w:tcPr>
            <w:tcW w:type="dxa" w:w="1361"/>
          </w:tcPr>
          <w:p>
            <w:r/>
            <w:r>
              <w:rPr>
                <w:b w:val="0"/>
                <w:sz w:val="16"/>
              </w:rPr>
              <w:t>Proposed</w:t>
            </w:r>
          </w:p>
        </w:tc>
      </w:tr>
      <w:tr>
        <w:tc>
          <w:tcPr>
            <w:tcW w:type="dxa" w:w="454"/>
          </w:tcPr>
          <w:p>
            <w:r/>
            <w:r>
              <w:rPr>
                <w:b w:val="0"/>
                <w:sz w:val="16"/>
              </w:rPr>
              <w:t>20</w:t>
            </w:r>
          </w:p>
        </w:tc>
        <w:tc>
          <w:tcPr>
            <w:tcW w:type="dxa" w:w="1474"/>
          </w:tcPr>
          <w:p>
            <w:r/>
            <w:r>
              <w:rPr>
                <w:b w:val="0"/>
                <w:sz w:val="16"/>
              </w:rPr>
              <w:t>15.14 Updates</w:t>
            </w:r>
          </w:p>
        </w:tc>
        <w:tc>
          <w:tcPr>
            <w:tcW w:type="dxa" w:w="1474"/>
          </w:tcPr>
          <w:p>
            <w:r/>
            <w:r>
              <w:rPr>
                <w:b w:val="0"/>
                <w:sz w:val="16"/>
              </w:rPr>
              <w:t>Unilateral Change</w:t>
            </w:r>
          </w:p>
        </w:tc>
        <w:tc>
          <w:tcPr>
            <w:tcW w:type="dxa" w:w="1247"/>
            <w:shd w:val="clear" w:color="auto" w:fill="FCE4D6"/>
          </w:tcPr>
          <w:p>
            <w:r/>
            <w:r>
              <w:rPr>
                <w:b w:val="0"/>
                <w:sz w:val="16"/>
              </w:rPr>
              <w:t>Negotiable</w:t>
            </w:r>
          </w:p>
        </w:tc>
        <w:tc>
          <w:tcPr>
            <w:tcW w:type="dxa" w:w="2948"/>
          </w:tcPr>
          <w:p>
            <w:r/>
            <w:r>
              <w:rPr>
                <w:b w:val="0"/>
                <w:sz w:val="16"/>
              </w:rPr>
              <w:t>As drafted, Box can push non-main-body changes mid-term on notice and, in certain cases, can terminate the Agreement if the parties can't agree—this creates an effective unilateral change right during the subscription term. We need a clear prohibition on any material decrease in core functionality (measured against the Effective Date Documentation) and a defined notice/termination remedy if a material change is adverse. Legal-change updates should be limited to what is required and should not allow Box to terminate mid-term; instead, Customer should have a termination/refund right and Box should only limit the minimum necessary functionality. New features with additional terms should be optional and not used to diminish the subscribed service.</w:t>
            </w:r>
          </w:p>
        </w:tc>
        <w:tc>
          <w:tcPr>
            <w:tcW w:type="dxa" w:w="3175"/>
          </w:tcPr>
          <w:p>
            <w:r/>
            <w:r>
              <w:rPr>
                <w:b w:val="0"/>
                <w:sz w:val="16"/>
              </w:rPr>
              <w:t>15.14</w:t>
              <w:tab/>
              <w:t>Updates. Box may update the main body of this Agreement or any exhibits or documents incorporated herein; provided that (a) any updates to the main body of this Agreement shall take effect upon Customer's next renewal or purchase of an additional Box Service Subscription, and (b) any other updates shall take effect only as notified to Customer by Box. For the avoidance of doubt, Box shall not materially decrease the core functionality of the Box Service during the then-current subscription period, as measured against the Documentation in effect as of the Effective Date.</w:t>
              <w:br/>
              <w:br/>
              <w:t>Box shall provide Customer at least ninety (90) days' prior notice of any material change to the Box Service or this Agreement, and if any such change is materially adverse to Customer, Customer may terminate the affected Box Service Subscription without penalty by providing notice to Box prior to the effective date of the change, and Box shall refund Customer a pro-rata portion of any prepaid fees for the terminated portion of the Subscription Term.</w:t>
              <w:br/>
              <w:br/>
              <w:t>Notwithstanding the foregoing, where a change of law applicable to the provisioning of the Box Service (including regulatory and policy changes, standards and/or caselaw) requires an update to this Agreement or the Box Service, Box may implement such update with the minimum changes necessary to comply with such law upon at least thirty (30) days' prior notice delivered by e-mail or via the Admin Console (or, if legally required sooner, as soon as practicable). If Customer reasonably objects to such update, the Parties will negotiate in good faith to amend this Agreement to permit them to continue their contractual relationship in compliance with applicable law. If the Parties are unable, after negotiating in good faith, to reach agreement on a required amendment, then (i) Customer may terminate the affected Box Service Subscription without penalty and receive a pro-rata refund of prepaid fees for the terminated portion of the Subscription Term, and (ii) Box may suspend or limit only the portion of the Box Service necessary to comply with the applicable law during the remainder of the then-current subscription period; provided that Box shall not terminate the Agreement or any Box Service Subscription for Customer's objection to such update except as part of Customer's election to terminate under this Section 15.14.</w:t>
              <w:br/>
              <w:br/>
              <w:t>If Box introduces a new feature or offering that is provided subject to additional terms, Customer's use of such new feature or offering shall be optional and subject to Customer's acceptance of such additional terms, and Customer's non-acceptance shall not reduce the core functionality of the Box Service included in Customer's then-current Box Service Subscription.</w:t>
            </w:r>
          </w:p>
        </w:tc>
        <w:tc>
          <w:tcPr>
            <w:tcW w:type="dxa" w:w="1361"/>
          </w:tcPr>
          <w:p>
            <w:r/>
            <w:r>
              <w:rPr>
                <w:b w:val="0"/>
                <w:sz w:val="16"/>
              </w:rPr>
              <w:t>Proposed</w:t>
            </w:r>
          </w:p>
        </w:tc>
      </w:tr>
      <w:tr>
        <w:tc>
          <w:tcPr>
            <w:tcW w:type="dxa" w:w="454"/>
          </w:tcPr>
          <w:p>
            <w:r/>
            <w:r>
              <w:rPr>
                <w:b w:val="0"/>
                <w:sz w:val="16"/>
              </w:rPr>
              <w:t>21</w:t>
            </w:r>
          </w:p>
        </w:tc>
        <w:tc>
          <w:tcPr>
            <w:tcW w:type="dxa" w:w="1474"/>
          </w:tcPr>
          <w:p>
            <w:r/>
            <w:r>
              <w:rPr>
                <w:b w:val="0"/>
                <w:sz w:val="16"/>
              </w:rPr>
              <w:t>No training of AI models on customer data</w:t>
            </w:r>
          </w:p>
        </w:tc>
        <w:tc>
          <w:tcPr>
            <w:tcW w:type="dxa" w:w="1474"/>
          </w:tcPr>
          <w:p>
            <w:r/>
            <w:r>
              <w:rPr>
                <w:b w:val="0"/>
                <w:sz w:val="16"/>
              </w:rPr>
              <w:t>AI Training Data</w:t>
            </w:r>
          </w:p>
        </w:tc>
        <w:tc>
          <w:tcPr>
            <w:tcW w:type="dxa" w:w="1247"/>
            <w:shd w:val="clear" w:color="auto" w:fill="EDE1F5"/>
          </w:tcPr>
          <w:p>
            <w:r/>
            <w:r>
              <w:rPr>
                <w:b w:val="0"/>
                <w:sz w:val="16"/>
              </w:rPr>
              <w:t>Missing Protection</w:t>
            </w:r>
          </w:p>
        </w:tc>
        <w:tc>
          <w:tcPr>
            <w:tcW w:type="dxa" w:w="2948"/>
          </w:tcPr>
          <w:p>
            <w:r/>
            <w:r>
              <w:rPr>
                <w:b w:val="0"/>
                <w:sz w:val="16"/>
              </w:rPr>
              <w:t>The contract contains no no training of ai models on customer data clause. The winnable ask is the flow-down to third-party model providers. A vendor promising not to train its own models says nothing about the foundation model sitting behind its feature.</w:t>
            </w:r>
          </w:p>
        </w:tc>
        <w:tc>
          <w:tcPr>
            <w:tcW w:type="dxa" w:w="3175"/>
          </w:tcPr>
          <w:p>
            <w:r/>
            <w:r>
              <w:rPr>
                <w:b w:val="0"/>
                <w:sz w:val="16"/>
              </w:rPr>
              <w:t>ADD: Vendor shall not, and shall ensure that its subprocessors and any third-party model providers do not, use Customer Data, Inputs or Outputs to train, fine-tune, test, validate or otherwise improve any artificial intelligence or machine learning model, without Customer's prior written consent.</w:t>
            </w:r>
          </w:p>
        </w:tc>
        <w:tc>
          <w:tcPr>
            <w:tcW w:type="dxa" w:w="1361"/>
          </w:tcPr>
          <w:p>
            <w:r/>
            <w:r>
              <w:rPr>
                <w:b w:val="0"/>
                <w:sz w:val="16"/>
              </w:rPr>
              <w:t>Proposed</w:t>
            </w:r>
          </w:p>
        </w:tc>
      </w:tr>
      <w:tr>
        <w:tc>
          <w:tcPr>
            <w:tcW w:type="dxa" w:w="454"/>
          </w:tcPr>
          <w:p>
            <w:r/>
            <w:r>
              <w:rPr>
                <w:b w:val="0"/>
                <w:sz w:val="16"/>
              </w:rPr>
              <w:t>22</w:t>
            </w:r>
          </w:p>
        </w:tc>
        <w:tc>
          <w:tcPr>
            <w:tcW w:type="dxa" w:w="1474"/>
          </w:tcPr>
          <w:p>
            <w:r/>
            <w:r>
              <w:rPr>
                <w:b w:val="0"/>
                <w:sz w:val="16"/>
              </w:rPr>
              <w:t>Advance notice of AI use in providing the services</w:t>
            </w:r>
          </w:p>
        </w:tc>
        <w:tc>
          <w:tcPr>
            <w:tcW w:type="dxa" w:w="1474"/>
          </w:tcPr>
          <w:p>
            <w:r/>
            <w:r>
              <w:rPr>
                <w:b w:val="0"/>
                <w:sz w:val="16"/>
              </w:rPr>
              <w:t>AI Disclosure</w:t>
            </w:r>
          </w:p>
        </w:tc>
        <w:tc>
          <w:tcPr>
            <w:tcW w:type="dxa" w:w="1247"/>
            <w:shd w:val="clear" w:color="auto" w:fill="EDE1F5"/>
          </w:tcPr>
          <w:p>
            <w:r/>
            <w:r>
              <w:rPr>
                <w:b w:val="0"/>
                <w:sz w:val="16"/>
              </w:rPr>
              <w:t>Missing Protection</w:t>
            </w:r>
          </w:p>
        </w:tc>
        <w:tc>
          <w:tcPr>
            <w:tcW w:type="dxa" w:w="2948"/>
          </w:tcPr>
          <w:p>
            <w:r/>
            <w:r>
              <w:rPr>
                <w:b w:val="0"/>
                <w:sz w:val="16"/>
              </w:rPr>
              <w:t>The contract contains no advance notice of ai use in providing the services clause. STERIS's own template treats this as a baseline requirement. Vimeo offers a weaker but workable version: AI features are opt-out via team settings with reasonable efforts to notify before launch.</w:t>
            </w:r>
          </w:p>
        </w:tc>
        <w:tc>
          <w:tcPr>
            <w:tcW w:type="dxa" w:w="3175"/>
          </w:tcPr>
          <w:p>
            <w:r/>
            <w:r>
              <w:rPr>
                <w:b w:val="0"/>
                <w:sz w:val="16"/>
              </w:rPr>
              <w:t>ADD: Vendor shall provide advance written notification to Customer of any use of artificial intelligence, in whole or in part, to provide the Services, including any such use by a subcontractor, prior to any such use.</w:t>
            </w:r>
          </w:p>
        </w:tc>
        <w:tc>
          <w:tcPr>
            <w:tcW w:type="dxa" w:w="1361"/>
          </w:tcPr>
          <w:p>
            <w:r/>
            <w:r>
              <w:rPr>
                <w:b w:val="0"/>
                <w:sz w:val="16"/>
              </w:rPr>
              <w:t>Proposed</w:t>
            </w:r>
          </w:p>
        </w:tc>
      </w:tr>
      <w:tr>
        <w:tc>
          <w:tcPr>
            <w:tcW w:type="dxa" w:w="454"/>
          </w:tcPr>
          <w:p>
            <w:r/>
            <w:r>
              <w:rPr>
                <w:b w:val="0"/>
                <w:sz w:val="16"/>
              </w:rPr>
              <w:t>23</w:t>
            </w:r>
          </w:p>
        </w:tc>
        <w:tc>
          <w:tcPr>
            <w:tcW w:type="dxa" w:w="1474"/>
          </w:tcPr>
          <w:p>
            <w:r/>
            <w:r>
              <w:rPr>
                <w:b w:val="0"/>
                <w:sz w:val="16"/>
              </w:rPr>
              <w:t>AI output indemnity and its exclusions</w:t>
            </w:r>
          </w:p>
        </w:tc>
        <w:tc>
          <w:tcPr>
            <w:tcW w:type="dxa" w:w="1474"/>
          </w:tcPr>
          <w:p>
            <w:r/>
            <w:r>
              <w:rPr>
                <w:b w:val="0"/>
                <w:sz w:val="16"/>
              </w:rPr>
              <w:t>AI Indemnity</w:t>
            </w:r>
          </w:p>
        </w:tc>
        <w:tc>
          <w:tcPr>
            <w:tcW w:type="dxa" w:w="1247"/>
            <w:shd w:val="clear" w:color="auto" w:fill="EDE1F5"/>
          </w:tcPr>
          <w:p>
            <w:r/>
            <w:r>
              <w:rPr>
                <w:b w:val="0"/>
                <w:sz w:val="16"/>
              </w:rPr>
              <w:t>Missing Protection</w:t>
            </w:r>
          </w:p>
        </w:tc>
        <w:tc>
          <w:tcPr>
            <w:tcW w:type="dxa" w:w="2948"/>
          </w:tcPr>
          <w:p>
            <w:r/>
            <w:r>
              <w:rPr>
                <w:b w:val="0"/>
                <w:sz w:val="16"/>
              </w:rPr>
              <w:t>The contract contains no ai output indemnity and its exclusions clause. Expect the counterparty to argue shared responsibility, and expect that argument to have real force where the customer's staff write the prompts and publish the outputs. Decide in advance whether mutuality plus a meaningful cap is an acceptable landing point - it is where the one negotiation in the sample set ended up.</w:t>
            </w:r>
          </w:p>
        </w:tc>
        <w:tc>
          <w:tcPr>
            <w:tcW w:type="dxa" w:w="3175"/>
          </w:tcPr>
          <w:p>
            <w:r/>
            <w:r>
              <w:rPr>
                <w:b w:val="0"/>
                <w:sz w:val="16"/>
              </w:rPr>
              <w:t>ADD: Vendor shall defend and indemnify Customer against any third-party claim alleging that Output generated by the Vendor AI Products infringes or misappropriates such third party's intellectual property rights. This obligation shall not be subject to the limitation of liability set out in this Agreement.</w:t>
            </w:r>
          </w:p>
        </w:tc>
        <w:tc>
          <w:tcPr>
            <w:tcW w:type="dxa" w:w="1361"/>
          </w:tcPr>
          <w:p>
            <w:r/>
            <w:r>
              <w:rPr>
                <w:b w:val="0"/>
                <w:sz w:val="16"/>
              </w:rPr>
              <w:t>Proposed</w:t>
            </w:r>
          </w:p>
        </w:tc>
      </w:tr>
      <w:tr>
        <w:tc>
          <w:tcPr>
            <w:tcW w:type="dxa" w:w="454"/>
          </w:tcPr>
          <w:p>
            <w:r/>
            <w:r>
              <w:rPr>
                <w:b w:val="0"/>
                <w:sz w:val="16"/>
              </w:rPr>
              <w:t>24</w:t>
            </w:r>
          </w:p>
        </w:tc>
        <w:tc>
          <w:tcPr>
            <w:tcW w:type="dxa" w:w="1474"/>
          </w:tcPr>
          <w:p>
            <w:r/>
            <w:r>
              <w:rPr>
                <w:b w:val="0"/>
                <w:sz w:val="16"/>
              </w:rPr>
              <w:t>Security incident notification</w:t>
            </w:r>
          </w:p>
        </w:tc>
        <w:tc>
          <w:tcPr>
            <w:tcW w:type="dxa" w:w="1474"/>
          </w:tcPr>
          <w:p>
            <w:r/>
            <w:r>
              <w:rPr>
                <w:b w:val="0"/>
                <w:sz w:val="16"/>
              </w:rPr>
              <w:t>Breach Notification</w:t>
            </w:r>
          </w:p>
        </w:tc>
        <w:tc>
          <w:tcPr>
            <w:tcW w:type="dxa" w:w="1247"/>
            <w:shd w:val="clear" w:color="auto" w:fill="EDE1F5"/>
          </w:tcPr>
          <w:p>
            <w:r/>
            <w:r>
              <w:rPr>
                <w:b w:val="0"/>
                <w:sz w:val="16"/>
              </w:rPr>
              <w:t>Missing Protection</w:t>
            </w:r>
          </w:p>
        </w:tc>
        <w:tc>
          <w:tcPr>
            <w:tcW w:type="dxa" w:w="2948"/>
          </w:tcPr>
          <w:p>
            <w:r/>
            <w:r>
              <w:rPr>
                <w:b w:val="0"/>
                <w:sz w:val="16"/>
              </w:rPr>
              <w:t>The contract contains no security incident notification clause. Very often absent from the main agreement and present only in the DPA, and then only for personal data - which leaves confidential business data uncovered. Check both documents.</w:t>
            </w:r>
          </w:p>
        </w:tc>
        <w:tc>
          <w:tcPr>
            <w:tcW w:type="dxa" w:w="3175"/>
          </w:tcPr>
          <w:p>
            <w:r/>
            <w:r>
              <w:rPr>
                <w:b w:val="0"/>
                <w:sz w:val="16"/>
              </w:rPr>
              <w:t>ADD: Vendor shall notify Customer without undue delay and in any event within forty-eight (48) hours after becoming aware of any Security Incident affecting Customer Data, and shall provide Customer with all information reasonably required to meet its own regulatory notification obligations.</w:t>
            </w:r>
          </w:p>
        </w:tc>
        <w:tc>
          <w:tcPr>
            <w:tcW w:type="dxa" w:w="1361"/>
          </w:tcPr>
          <w:p>
            <w:r/>
            <w:r>
              <w:rPr>
                <w:b w:val="0"/>
                <w:sz w:val="16"/>
              </w:rPr>
              <w:t>Proposed</w:t>
            </w:r>
          </w:p>
        </w:tc>
      </w:tr>
      <w:tr>
        <w:tc>
          <w:tcPr>
            <w:tcW w:type="dxa" w:w="454"/>
          </w:tcPr>
          <w:p>
            <w:r/>
            <w:r>
              <w:rPr>
                <w:b w:val="0"/>
                <w:sz w:val="16"/>
              </w:rPr>
              <w:t>25</w:t>
            </w:r>
          </w:p>
        </w:tc>
        <w:tc>
          <w:tcPr>
            <w:tcW w:type="dxa" w:w="1474"/>
          </w:tcPr>
          <w:p>
            <w:r/>
            <w:r>
              <w:rPr>
                <w:b w:val="0"/>
                <w:sz w:val="16"/>
              </w:rPr>
              <w:t>Insurance requirements</w:t>
            </w:r>
          </w:p>
        </w:tc>
        <w:tc>
          <w:tcPr>
            <w:tcW w:type="dxa" w:w="1474"/>
          </w:tcPr>
          <w:p>
            <w:r/>
            <w:r>
              <w:rPr>
                <w:b w:val="0"/>
                <w:sz w:val="16"/>
              </w:rPr>
              <w:t>Insurance</w:t>
            </w:r>
          </w:p>
        </w:tc>
        <w:tc>
          <w:tcPr>
            <w:tcW w:type="dxa" w:w="1247"/>
            <w:shd w:val="clear" w:color="auto" w:fill="EDE1F5"/>
          </w:tcPr>
          <w:p>
            <w:r/>
            <w:r>
              <w:rPr>
                <w:b w:val="0"/>
                <w:sz w:val="16"/>
              </w:rPr>
              <w:t>Missing Protection</w:t>
            </w:r>
          </w:p>
        </w:tc>
        <w:tc>
          <w:tcPr>
            <w:tcW w:type="dxa" w:w="2948"/>
          </w:tcPr>
          <w:p>
            <w:r/>
            <w:r>
              <w:rPr>
                <w:b w:val="0"/>
                <w:sz w:val="16"/>
              </w:rPr>
              <w:t>The contract contains no insurance requirements clause. CONFIRM WITH LEGAL - the USD 5m figure is a placeholder. Insurance is one of the four items to confirm with the business team, since limits are usually set by risk management rather than by legal.</w:t>
            </w:r>
          </w:p>
        </w:tc>
        <w:tc>
          <w:tcPr>
            <w:tcW w:type="dxa" w:w="3175"/>
          </w:tcPr>
          <w:p>
            <w:r/>
            <w:r>
              <w:rPr>
                <w:b w:val="0"/>
                <w:sz w:val="16"/>
              </w:rPr>
              <w:t>ADD: Vendor shall maintain, at its own expense, commercial general liability, professional liability (errors and omissions) and cyber liability insurance with limits of not less than USD 5,000,000 per occurrence, and shall provide certificates of insurance upon request.</w:t>
            </w:r>
          </w:p>
        </w:tc>
        <w:tc>
          <w:tcPr>
            <w:tcW w:type="dxa" w:w="1361"/>
          </w:tcPr>
          <w:p>
            <w:r/>
            <w:r>
              <w:rPr>
                <w:b w:val="0"/>
                <w:sz w:val="16"/>
              </w:rPr>
              <w:t>Proposed</w:t>
            </w:r>
          </w:p>
        </w:tc>
      </w:tr>
    </w:tbl>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