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LearnPath Evidence Driven Adaptive Learning with Knowledge Graph Constraints and Machine Learning</w:t>
      </w:r>
    </w:p>
    <w:p>
      <w:pPr>
        <w:spacing w:after="20"/>
        <w:ind w:firstLine="0"/>
        <w:jc w:val="center"/>
      </w:pPr>
      <w:r>
        <w:rPr>
          <w:rFonts w:ascii="Times New Roman" w:hAnsi="Times New Roman" w:eastAsia="Times New Roman"/>
          <w:color w:val="000000"/>
          <w:sz w:val="22"/>
        </w:rPr>
        <w:t>LearnPath Project Team</w:t>
      </w:r>
    </w:p>
    <w:p>
      <w:pPr>
        <w:spacing w:after="140"/>
        <w:ind w:firstLine="0"/>
        <w:jc w:val="center"/>
      </w:pPr>
      <w:r>
        <w:rPr>
          <w:rFonts w:ascii="Times New Roman" w:hAnsi="Times New Roman" w:eastAsia="Times New Roman"/>
          <w:i/>
          <w:color w:val="000000"/>
          <w:sz w:val="18"/>
        </w:rPr>
        <w:t>Project manuscript for academic review</w:t>
      </w:r>
    </w:p>
    <w:p>
      <w:pPr>
        <w:spacing w:after="60"/>
        <w:ind w:firstLine="0" w:left="360" w:right="360"/>
        <w:jc w:val="both"/>
      </w:pPr>
      <w:r>
        <w:rPr>
          <w:rFonts w:ascii="Times New Roman" w:hAnsi="Times New Roman" w:eastAsia="Times New Roman"/>
          <w:b/>
          <w:i/>
          <w:color w:val="000000"/>
          <w:sz w:val="18"/>
        </w:rPr>
        <w:t xml:space="preserve">Abstract  </w:t>
      </w:r>
      <w:r>
        <w:rPr>
          <w:rFonts w:ascii="Times New Roman" w:hAnsi="Times New Roman" w:eastAsia="Times New Roman"/>
          <w:color w:val="000000"/>
          <w:sz w:val="18"/>
        </w:rPr>
        <w:t>Learning-path recommenders must estimate what a learner knows, respect prerequisite dependencies, select useful next skills, and revise the decision after new evidence. This paper presents LearnPath, a working adaptive-learning prototype that combines an append-only evidence ledger, a global learner-skill model, an evidence-driven diagnostic assessment, a confidence-aware prerequisite graph, retention projection, and a checked Random Forest inference service. PostgreSQL and a TypeScript engine remain authoritative for required prerequisite gates; NetworkX contributes read-only structural analytics, while machine learning ranks only prerequisite-eligible candidates. The resulting course path distinguishes recognized, current, recommended, upcoming, and locked skills and stores the evidence and model versions that produced each decision. A deterministic synthetic study with 1,000 simulated learners and 20,000 interactions was used because longitudinal production data was unavailable. On the learner-disjoint held-out set, the selected Random Forest reached 0.801 ROC-AUC and 0.525 Precision at 5, while NDCG at 5 was 0.578 compared with 0.581 for the strongest skill-gap baseline. These results support the engineering feasibility of the pipeline but do not establish real-world learning effectiveness. The main contribution is therefore an auditable architecture that combines conservative educational constraints with data-driven ranking and visible path adaptation.</w:t>
      </w:r>
    </w:p>
    <w:p>
      <w:pPr>
        <w:spacing w:after="100"/>
        <w:ind w:firstLine="0" w:left="360" w:right="360"/>
        <w:jc w:val="both"/>
      </w:pPr>
      <w:r>
        <w:rPr>
          <w:rFonts w:ascii="Times New Roman" w:hAnsi="Times New Roman" w:eastAsia="Times New Roman"/>
          <w:b/>
          <w:i/>
          <w:color w:val="000000"/>
          <w:sz w:val="18"/>
        </w:rPr>
        <w:t xml:space="preserve">Index Terms  </w:t>
      </w:r>
      <w:r>
        <w:rPr>
          <w:rFonts w:ascii="Times New Roman" w:hAnsi="Times New Roman" w:eastAsia="Times New Roman"/>
          <w:color w:val="000000"/>
          <w:sz w:val="18"/>
        </w:rPr>
        <w:t>adaptive learning, educational knowledge graph, computerized diagnostic assessment, mastery estimation, retention, learning-path recommendation, Random Forest, explainable decision support</w:t>
      </w:r>
    </w:p>
    <w:p>
      <w:pPr>
        <w:keepNext/>
        <w:spacing w:before="60" w:after="20"/>
        <w:ind w:firstLine="0"/>
        <w:jc w:val="center"/>
      </w:pPr>
      <w:r>
        <w:drawing>
          <wp:inline xmlns:a="http://schemas.openxmlformats.org/drawingml/2006/main" xmlns:pic="http://schemas.openxmlformats.org/drawingml/2006/picture">
            <wp:extent cx="6400800" cy="2311400"/>
            <wp:docPr id="1" name="Picture 1" descr="Fig. 1. LearnPath closes the loop from observed learner knowledge to a regenerated personalized path." title="Fig. 1. LearnPath closes the loop from observed learner knowledge to a regenerated personalized path."/>
            <wp:cNvGraphicFramePr>
              <a:graphicFrameLocks noChangeAspect="1"/>
            </wp:cNvGraphicFramePr>
            <a:graphic>
              <a:graphicData uri="http://schemas.openxmlformats.org/drawingml/2006/picture">
                <pic:pic>
                  <pic:nvPicPr>
                    <pic:cNvPr id="0" name="adaptive-loop.png"/>
                    <pic:cNvPicPr/>
                  </pic:nvPicPr>
                  <pic:blipFill>
                    <a:blip r:embed="rId9"/>
                    <a:stretch>
                      <a:fillRect/>
                    </a:stretch>
                  </pic:blipFill>
                  <pic:spPr>
                    <a:xfrm>
                      <a:off x="0" y="0"/>
                      <a:ext cx="6400800" cy="2311400"/>
                    </a:xfrm>
                    <a:prstGeom prst="rect"/>
                  </pic:spPr>
                </pic:pic>
              </a:graphicData>
            </a:graphic>
          </wp:inline>
        </w:drawing>
      </w:r>
    </w:p>
    <w:p>
      <w:pPr>
        <w:pStyle w:val="Caption"/>
      </w:pPr>
      <w:r>
        <w:rPr>
          <w:rFonts w:ascii="Times New Roman" w:hAnsi="Times New Roman" w:eastAsia="Times New Roman"/>
          <w:color w:val="000000"/>
          <w:sz w:val="16"/>
        </w:rPr>
        <w:t>Fig. 1. LearnPath closes the loop from observed learner knowledge to a regenerated personalized path.</w:t>
      </w:r>
    </w:p>
    <w:p>
      <w:pPr>
        <w:sectPr>
          <w:pgSz w:w="12240" w:h="15840"/>
          <w:pgMar w:top="893" w:right="965" w:bottom="965" w:left="965" w:header="288" w:footer="360" w:gutter="0"/>
          <w:cols w:space="300" w:num="1" w:equalWidth="1"/>
          <w:docGrid w:linePitch="360"/>
        </w:sectPr>
      </w:pPr>
    </w:p>
    <w:p>
      <w:pPr>
        <w:pStyle w:val="Heading1"/>
        <w:keepNext/>
        <w:ind w:firstLine="0"/>
      </w:pPr>
      <w:r>
        <w:rPr>
          <w:rFonts w:ascii="Times New Roman" w:hAnsi="Times New Roman" w:eastAsia="Times New Roman"/>
          <w:i w:val="0"/>
          <w:caps/>
          <w:color w:val="000000"/>
          <w:sz w:val="20"/>
        </w:rPr>
        <w:t>I INTRODUCTION</w:t>
      </w:r>
    </w:p>
    <w:p>
      <w:pPr>
        <w:keepLines w:val="0"/>
        <w:spacing w:line="240" w:lineRule="auto" w:after="44"/>
        <w:ind w:firstLine="216"/>
        <w:jc w:val="both"/>
      </w:pPr>
      <w:r>
        <w:rPr>
          <w:rFonts w:ascii="Times New Roman" w:hAnsi="Times New Roman" w:eastAsia="Times New Roman"/>
          <w:color w:val="000000"/>
          <w:sz w:val="19"/>
        </w:rPr>
        <w:t>Online learning platforms often organize content as a fixed module sequence. That sequence is simple to administer, but it does not answer the learner's immediate question: what should I learn next, given what I already know, what I have forgotten, and what later topics depend on? A useful answer requires more than a course recommender. It requires a maintained learner model, evidence-aware diagnosis, prerequisite reasoning, candidate generation, benefit estimation, and a mechanism that revises the path after learning.</w:t>
      </w:r>
    </w:p>
    <w:p>
      <w:pPr>
        <w:keepLines w:val="0"/>
        <w:spacing w:line="240" w:lineRule="auto" w:after="44"/>
        <w:ind w:firstLine="216"/>
        <w:jc w:val="both"/>
      </w:pPr>
      <w:r>
        <w:rPr>
          <w:rFonts w:ascii="Times New Roman" w:hAnsi="Times New Roman" w:eastAsia="Times New Roman"/>
          <w:color w:val="000000"/>
          <w:sz w:val="19"/>
        </w:rPr>
        <w:t>Knowledge tracing research models how proficiency changes through interaction. Bayesian Knowledge Tracing introduced a compact probabilistic account of latent skill acquisition [1], Performance Factors Analysis used prior successes and failures as predictors [2], and Deep Knowledge Tracing showed that recurrent networks can learn more complex interaction patterns [3]. These approaches motivate stateful learner modeling, but a final-year prototype with limited real learner history cannot credibly claim a calibrated latent-state model. LearnPath therefore uses conservative, inspectable mastery and confidence updates while preserving the event history needed for future calibration.</w:t>
      </w:r>
    </w:p>
    <w:p>
      <w:pPr>
        <w:keepLines w:val="0"/>
        <w:spacing w:line="240" w:lineRule="auto" w:after="44"/>
        <w:ind w:firstLine="216"/>
        <w:jc w:val="both"/>
      </w:pPr>
      <w:r>
        <w:rPr>
          <w:rFonts w:ascii="Times New Roman" w:hAnsi="Times New Roman" w:eastAsia="Times New Roman"/>
          <w:color w:val="000000"/>
          <w:sz w:val="19"/>
        </w:rPr>
        <w:t>Adaptive testing research also shows that question choice should depend on information value and uncertainty rather than a fixed questionnaire [4]. LearnPath adopts this principle as an engineering policy: it samples course regions, confirms uncertain evidence, and spends extra questions on gateway skills or contradictions. Its coefficients are declared policy priors, not validated psychometric constants. This distinction matters because a short diagnostic can inform placement without certifying mastery.</w:t>
      </w:r>
    </w:p>
    <w:p>
      <w:pPr>
        <w:keepLines w:val="0"/>
        <w:spacing w:line="240" w:lineRule="auto" w:after="44"/>
        <w:ind w:firstLine="216"/>
        <w:jc w:val="both"/>
      </w:pPr>
      <w:r>
        <w:rPr>
          <w:rFonts w:ascii="Times New Roman" w:hAnsi="Times New Roman" w:eastAsia="Times New Roman"/>
          <w:color w:val="000000"/>
          <w:sz w:val="19"/>
        </w:rPr>
        <w:t>The system separates educational safety from prediction. Required prerequisite edges are enforced deterministically before any candidate reaches the Random Forest. NetworkX supplies structural measures such as topological layers, descendants, betweenness centrality, and counterfactual unlocks [5]. The model then estimates learning benefit only within the safe candidate set. This ordering prevents a high probability from recommending a skill whose foundations are missing.</w:t>
      </w:r>
    </w:p>
    <w:p>
      <w:pPr>
        <w:spacing w:line="240" w:lineRule="auto" w:after="44"/>
        <w:ind w:firstLine="0"/>
        <w:jc w:val="both"/>
      </w:pPr>
      <w:r>
        <w:rPr>
          <w:rFonts w:ascii="Times New Roman" w:hAnsi="Times New Roman" w:eastAsia="Times New Roman"/>
          <w:b/>
          <w:color w:val="000000"/>
          <w:sz w:val="19"/>
        </w:rPr>
        <w:t xml:space="preserve">Contributions  </w:t>
      </w:r>
      <w:r>
        <w:rPr>
          <w:rFonts w:ascii="Times New Roman" w:hAnsi="Times New Roman" w:eastAsia="Times New Roman"/>
          <w:color w:val="000000"/>
          <w:sz w:val="19"/>
        </w:rPr>
        <w:t>The implemented work makes four practical contributions:</w:t>
      </w:r>
    </w:p>
    <w:p>
      <w:pPr>
        <w:pStyle w:val="ListBullet"/>
        <w:spacing w:after="28" w:line="240" w:lineRule="auto"/>
        <w:ind w:left="245" w:hanging="173"/>
      </w:pPr>
      <w:r>
        <w:rPr>
          <w:rFonts w:ascii="Times New Roman" w:hAnsi="Times New Roman" w:eastAsia="Times New Roman"/>
          <w:color w:val="000000"/>
          <w:sz w:val="18"/>
        </w:rPr>
        <w:t>a global learner-skill state that is reused across independent course enrollments while course progress remains separate from demonstrated knowledge</w:t>
      </w:r>
    </w:p>
    <w:p>
      <w:pPr>
        <w:pStyle w:val="ListBullet"/>
        <w:spacing w:after="28" w:line="240" w:lineRule="auto"/>
        <w:ind w:left="245" w:hanging="173"/>
      </w:pPr>
      <w:r>
        <w:rPr>
          <w:rFonts w:ascii="Times New Roman" w:hAnsi="Times New Roman" w:eastAsia="Times New Roman"/>
          <w:color w:val="000000"/>
          <w:sz w:val="18"/>
        </w:rPr>
        <w:t>an evidence-driven diagnostic with explicit uncertainty, misconception evidence, decision-specific stopping, and a rule that one answer cannot establish mastery</w:t>
      </w:r>
    </w:p>
    <w:p>
      <w:pPr>
        <w:pStyle w:val="ListBullet"/>
        <w:spacing w:after="28" w:line="240" w:lineRule="auto"/>
        <w:ind w:left="245" w:hanging="173"/>
      </w:pPr>
      <w:r>
        <w:rPr>
          <w:rFonts w:ascii="Times New Roman" w:hAnsi="Times New Roman" w:eastAsia="Times New Roman"/>
          <w:color w:val="000000"/>
          <w:sz w:val="18"/>
        </w:rPr>
        <w:t>a hybrid knowledge-graph layer in which PostgreSQL and TypeScript enforce prerequisite safety while NetworkX adds bounded structural intelligence</w:t>
      </w:r>
    </w:p>
    <w:p>
      <w:pPr>
        <w:pStyle w:val="ListBullet"/>
        <w:spacing w:after="28" w:line="240" w:lineRule="auto"/>
        <w:ind w:left="245" w:hanging="173"/>
      </w:pPr>
      <w:r>
        <w:rPr>
          <w:rFonts w:ascii="Times New Roman" w:hAnsi="Times New Roman" w:eastAsia="Times New Roman"/>
          <w:color w:val="000000"/>
          <w:sz w:val="18"/>
        </w:rPr>
        <w:t>a versioned candidate-ranking and path-regeneration pipeline that records why a skill was recommended and how later assessed evidence changed the decision</w:t>
      </w:r>
    </w:p>
    <w:p>
      <w:pPr>
        <w:keepLines w:val="0"/>
        <w:spacing w:line="240" w:lineRule="auto" w:after="44"/>
        <w:ind w:firstLine="216"/>
        <w:jc w:val="both"/>
      </w:pPr>
      <w:r>
        <w:rPr>
          <w:rFonts w:ascii="Times New Roman" w:hAnsi="Times New Roman" w:eastAsia="Times New Roman"/>
          <w:color w:val="000000"/>
          <w:sz w:val="19"/>
        </w:rPr>
        <w:t>The paper evaluates the system as a software and decision prototype. Model metrics come from reproducible synthetic interactions and learner-disjoint splits. Functional claims come from automated tests and seeded end-to-end demonstrations. No claim is made that the current model improves real learner outcomes; that requires a prospective study with representative learners.</w:t>
      </w:r>
    </w:p>
    <w:p>
      <w:pPr>
        <w:pStyle w:val="Heading1"/>
        <w:keepNext/>
        <w:ind w:firstLine="0"/>
      </w:pPr>
      <w:r>
        <w:rPr>
          <w:rFonts w:ascii="Times New Roman" w:hAnsi="Times New Roman" w:eastAsia="Times New Roman"/>
          <w:i w:val="0"/>
          <w:caps/>
          <w:color w:val="000000"/>
          <w:sz w:val="20"/>
        </w:rPr>
        <w:t>II RELATED WORK</w:t>
      </w:r>
    </w:p>
    <w:p>
      <w:pPr>
        <w:pStyle w:val="Heading2"/>
        <w:keepNext/>
        <w:ind w:firstLine="0"/>
      </w:pPr>
      <w:r>
        <w:rPr>
          <w:rFonts w:ascii="Times New Roman" w:hAnsi="Times New Roman" w:eastAsia="Times New Roman"/>
          <w:i/>
          <w:color w:val="000000"/>
          <w:sz w:val="19"/>
        </w:rPr>
        <w:t>A Learner Knowledge Modeling</w:t>
      </w:r>
    </w:p>
    <w:p>
      <w:pPr>
        <w:keepLines w:val="0"/>
        <w:spacing w:line="240" w:lineRule="auto" w:after="44"/>
        <w:ind w:firstLine="216"/>
        <w:jc w:val="both"/>
      </w:pPr>
      <w:r>
        <w:rPr>
          <w:rFonts w:ascii="Times New Roman" w:hAnsi="Times New Roman" w:eastAsia="Times New Roman"/>
          <w:color w:val="000000"/>
          <w:sz w:val="19"/>
        </w:rPr>
        <w:t>Bayesian Knowledge Tracing represents a knowledge component with interpretable probabilities for initial knowledge, learning, guessing, and slipping [1]. Performance Factors Analysis provides an alternative logistic formulation based on prior opportunities, successes, and failures [2]. Deep Knowledge Tracing replaces the hand-specified state transition with a recurrent neural network and demonstrated improved next-response prediction on several datasets [3]. LearnPath differs in purpose and evidence conditions. It does not estimate a single hidden ability from a long historical sequence; it maintains a global state per learner and skill with an explicit confidence and evidence-state label. The design sacrifices statistical sophistication for auditability until real longitudinal data is available.</w:t>
      </w:r>
    </w:p>
    <w:p>
      <w:pPr>
        <w:pStyle w:val="Heading2"/>
        <w:keepNext/>
        <w:ind w:firstLine="0"/>
      </w:pPr>
      <w:r>
        <w:rPr>
          <w:rFonts w:ascii="Times New Roman" w:hAnsi="Times New Roman" w:eastAsia="Times New Roman"/>
          <w:i/>
          <w:color w:val="000000"/>
          <w:sz w:val="19"/>
        </w:rPr>
        <w:t>B Adaptive Assessment</w:t>
      </w:r>
    </w:p>
    <w:p>
      <w:pPr>
        <w:keepLines w:val="0"/>
        <w:spacing w:line="240" w:lineRule="auto" w:after="44"/>
        <w:ind w:firstLine="216"/>
        <w:jc w:val="both"/>
      </w:pPr>
      <w:r>
        <w:rPr>
          <w:rFonts w:ascii="Times New Roman" w:hAnsi="Times New Roman" w:eastAsia="Times New Roman"/>
          <w:color w:val="000000"/>
          <w:sz w:val="19"/>
        </w:rPr>
        <w:t>Computerized adaptive testing commonly selects items using information measures. Chang and Ying showed that global information can improve early-stage selection when the current ability estimate is unreliable [4]. LearnPath uses a related intuition but does not implement item-response-theory calibration. Its diagnostic selector combines item discrimination, guessing probability, knowledge uncertainty, prerequisite impact, retention risk, and cognitive diversity. The stopping decision is tied to downstream path decisions rather than a single population-comparable score.</w:t>
      </w:r>
    </w:p>
    <w:p>
      <w:pPr>
        <w:pStyle w:val="Heading2"/>
        <w:keepNext/>
        <w:ind w:firstLine="0"/>
      </w:pPr>
      <w:r>
        <w:rPr>
          <w:rFonts w:ascii="Times New Roman" w:hAnsi="Times New Roman" w:eastAsia="Times New Roman"/>
          <w:i/>
          <w:color w:val="000000"/>
          <w:sz w:val="19"/>
        </w:rPr>
        <w:t>C Educational Graphs and Learning Paths</w:t>
      </w:r>
    </w:p>
    <w:p>
      <w:pPr>
        <w:keepLines w:val="0"/>
        <w:spacing w:line="240" w:lineRule="auto" w:after="44"/>
        <w:ind w:firstLine="216"/>
        <w:jc w:val="both"/>
      </w:pPr>
      <w:r>
        <w:rPr>
          <w:rFonts w:ascii="Times New Roman" w:hAnsi="Times New Roman" w:eastAsia="Times New Roman"/>
          <w:color w:val="000000"/>
          <w:sz w:val="19"/>
        </w:rPr>
        <w:t>Prerequisite relations support curriculum planning and intelligent tutoring. Liang et al. recovered concept prerequisites from university course dependencies and emphasized that prerequisite discovery is an important educational-data-mining problem [6]. Recent learning-path recommenders also combine graph representations with collaborative, sequential, or reinforcement-learning methods [7]. LearnPath focuses on a different systems question: how to prevent a statistical ranker from violating required dependencies while still using graph structure to explain leverage. The graph is expert-authored and database constrained; automatic edge discovery is left for future work.</w:t>
      </w:r>
    </w:p>
    <w:p>
      <w:pPr>
        <w:pStyle w:val="Heading2"/>
        <w:keepNext/>
        <w:ind w:firstLine="0"/>
      </w:pPr>
      <w:r>
        <w:rPr>
          <w:rFonts w:ascii="Times New Roman" w:hAnsi="Times New Roman" w:eastAsia="Times New Roman"/>
          <w:i/>
          <w:color w:val="000000"/>
          <w:sz w:val="19"/>
        </w:rPr>
        <w:t>D Retention and Ranking</w:t>
      </w:r>
    </w:p>
    <w:p>
      <w:pPr>
        <w:keepLines w:val="0"/>
        <w:spacing w:line="240" w:lineRule="auto" w:after="44"/>
        <w:ind w:firstLine="216"/>
        <w:jc w:val="both"/>
      </w:pPr>
      <w:r>
        <w:rPr>
          <w:rFonts w:ascii="Times New Roman" w:hAnsi="Times New Roman" w:eastAsia="Times New Roman"/>
          <w:color w:val="000000"/>
          <w:sz w:val="19"/>
        </w:rPr>
        <w:t>Spaced-repetition research models recall as a function of elapsed time and prior practice. Half-life regression demonstrated that trainable forgetting models can outperform several recall-prediction baselines [8]. LearnPath uses a simpler configurable exponential projection because its dataset is too small to fit learner- or skill-specific decay parameters. For ranking, Random Forests offer nonlinear interactions and noise tolerance [9]. Ranking quality is measured with Precision at k and normalized discounted cumulative gain, which rewards relevant candidates near the top [10].</w:t>
      </w:r>
    </w:p>
    <w:p>
      <w:pPr>
        <w:pStyle w:val="Heading1"/>
        <w:keepNext/>
        <w:ind w:firstLine="0"/>
      </w:pPr>
      <w:r>
        <w:rPr>
          <w:rFonts w:ascii="Times New Roman" w:hAnsi="Times New Roman" w:eastAsia="Times New Roman"/>
          <w:i w:val="0"/>
          <w:caps/>
          <w:color w:val="000000"/>
          <w:sz w:val="20"/>
        </w:rPr>
        <w:t>III SYSTEM MODEL AND ARCHITECTURE</w:t>
      </w:r>
    </w:p>
    <w:p>
      <w:pPr>
        <w:pStyle w:val="Heading2"/>
        <w:keepNext/>
        <w:ind w:firstLine="0"/>
      </w:pPr>
      <w:r>
        <w:rPr>
          <w:rFonts w:ascii="Times New Roman" w:hAnsi="Times New Roman" w:eastAsia="Times New Roman"/>
          <w:i/>
          <w:color w:val="000000"/>
          <w:sz w:val="19"/>
        </w:rPr>
        <w:t>A Core Entities</w:t>
      </w:r>
    </w:p>
    <w:p>
      <w:pPr>
        <w:keepLines w:val="0"/>
        <w:spacing w:line="240" w:lineRule="auto" w:after="44"/>
        <w:ind w:firstLine="216"/>
        <w:jc w:val="both"/>
      </w:pPr>
      <w:r>
        <w:rPr>
          <w:rFonts w:ascii="Times New Roman" w:hAnsi="Times New Roman" w:eastAsia="Times New Roman"/>
          <w:color w:val="000000"/>
          <w:sz w:val="19"/>
        </w:rPr>
        <w:t>Let L be the set of learners, S the global skill set, C the course set, and E the directed prerequisite edges. LearnPath stores one learner-skill row for each observed pair in L by S. A course enrollment supplies context and module progress but does not own another mastery value. This rule enables cross-course reuse: if recursion is evidenced in one course, another course that references recursion reads the same mastery, confidence, and retention state.</w:t>
      </w:r>
    </w:p>
    <w:p>
      <w:pPr>
        <w:keepLines w:val="0"/>
        <w:spacing w:line="240" w:lineRule="auto" w:after="44"/>
        <w:ind w:firstLine="216"/>
        <w:jc w:val="both"/>
      </w:pPr>
      <w:r>
        <w:rPr>
          <w:rFonts w:ascii="Times New Roman" w:hAnsi="Times New Roman" w:eastAsia="Times New Roman"/>
          <w:color w:val="000000"/>
          <w:sz w:val="19"/>
        </w:rPr>
        <w:t>Performance evidence is append-only. Each diagnostic answer, practice attempt, post-lesson assessment, quiz, or retention check stores source, score, correctness, difficulty, timing, attempt number, and state before and after the update. Resource completion is activity evidence, not knowledge evidence, and cannot change mastery. This prevents the common error of treating a watched lesson as proof that the learner can apply the skill.</w:t>
      </w:r>
    </w:p>
    <w:p>
      <w:pPr>
        <w:pStyle w:val="Caption"/>
        <w:keepNext/>
      </w:pPr>
      <w:r>
        <w:rPr>
          <w:rFonts w:ascii="Times New Roman" w:hAnsi="Times New Roman" w:eastAsia="Times New Roman"/>
          <w:b/>
          <w:color w:val="000000"/>
          <w:sz w:val="16"/>
        </w:rPr>
        <w:t>TABLE I  IMPLEMENTATION BOUNDARIES</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080"/>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Layer</w:t>
            </w:r>
          </w:p>
        </w:tc>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Responsibility</w:t>
            </w:r>
          </w:p>
        </w:tc>
        <w:tc>
          <w:tcPr>
            <w:tcW w:type="dxa" w:w="1512"/>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Technology</w:t>
            </w:r>
          </w:p>
        </w:tc>
      </w:tr>
      <w:tr>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Learner interface</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Render decisions and collect actions</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React TypeScript Vite</w:t>
            </w:r>
          </w:p>
        </w:tc>
      </w:tr>
      <w:tr>
        <w:tc>
          <w:tcPr>
            <w:tcW w:type="dxa" w:w="1080"/>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Application API</w:t>
            </w:r>
          </w:p>
        </w:tc>
        <w:tc>
          <w:tcPr>
            <w:tcW w:type="dxa" w:w="2088"/>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Auth evidence mastery gates paths</w:t>
            </w:r>
          </w:p>
        </w:tc>
        <w:tc>
          <w:tcPr>
            <w:tcW w:type="dxa" w:w="1512"/>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Express TypeScript</w:t>
            </w:r>
          </w:p>
        </w:tc>
      </w:tr>
      <w:tr>
        <w:tc>
          <w:tcPr>
            <w:tcW w:type="dxa" w:w="1080"/>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Authoritative store</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Curriculum state evidence versions</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PostgreSQL</w:t>
            </w:r>
          </w:p>
        </w:tc>
      </w:tr>
      <w:tr>
        <w:tc>
          <w:tcPr>
            <w:tcW w:type="dxa" w:w="1080"/>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Advisory intelligence</w:t>
            </w:r>
          </w:p>
        </w:tc>
        <w:tc>
          <w:tcPr>
            <w:tcW w:type="dxa" w:w="2088"/>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Graph analytics and benefit inference</w:t>
            </w:r>
          </w:p>
        </w:tc>
        <w:tc>
          <w:tcPr>
            <w:tcW w:type="dxa" w:w="1512"/>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FastAPI NetworkX scikit learn</w:t>
            </w:r>
          </w:p>
        </w:tc>
      </w:tr>
    </w:tbl>
    <w:p>
      <w:pPr>
        <w:spacing w:after="20"/>
        <w:ind w:firstLine="0"/>
      </w:pPr>
    </w:p>
    <w:p>
      <w:pPr>
        <w:pStyle w:val="Heading2"/>
        <w:keepNext/>
        <w:ind w:firstLine="0"/>
      </w:pPr>
      <w:r>
        <w:rPr>
          <w:rFonts w:ascii="Times New Roman" w:hAnsi="Times New Roman" w:eastAsia="Times New Roman"/>
          <w:i/>
          <w:color w:val="000000"/>
          <w:sz w:val="19"/>
        </w:rPr>
        <w:t>B Decision Authority</w:t>
      </w:r>
    </w:p>
    <w:p>
      <w:pPr>
        <w:keepLines w:val="0"/>
        <w:spacing w:line="240" w:lineRule="auto" w:after="44"/>
        <w:ind w:firstLine="216"/>
        <w:jc w:val="both"/>
      </w:pPr>
      <w:r>
        <w:rPr>
          <w:rFonts w:ascii="Times New Roman" w:hAnsi="Times New Roman" w:eastAsia="Times New Roman"/>
          <w:color w:val="000000"/>
          <w:sz w:val="19"/>
        </w:rPr>
        <w:t>The browser never calculates mastery, confidence, eligibility, or ranking. The Express API validates context, updates state, enforces required prerequisites, creates candidate vectors, invokes the inference service, and persists path versions. PostgreSQL is authoritative for graph edges, learner knowledge, evidence, enrollments, and decisions. The Python service is stateless and read-only with respect to application data. It verifies the model checksum and 55-feature contract before serving probabilities.</w:t>
      </w:r>
    </w:p>
    <w:p>
      <w:pPr>
        <w:keepLines w:val="0"/>
        <w:spacing w:line="240" w:lineRule="auto" w:after="44"/>
        <w:ind w:firstLine="216"/>
        <w:jc w:val="both"/>
      </w:pPr>
      <w:r>
        <w:rPr>
          <w:rFonts w:ascii="Times New Roman" w:hAnsi="Times New Roman" w:eastAsia="Times New Roman"/>
          <w:color w:val="000000"/>
          <w:sz w:val="19"/>
        </w:rPr>
        <w:t>This boundary produces a fail-closed system. If NetworkX is unavailable, the TypeScript prerequisite gate still returns a complete safety decision and omits only the structural bonus. If the model artifact or feature schema is incompatible, path generation fails explicitly rather than substituting an unversioned heuristic.</w:t>
      </w:r>
    </w:p>
    <w:p>
      <w:pPr>
        <w:pStyle w:val="Heading1"/>
        <w:keepNext/>
        <w:ind w:firstLine="0"/>
      </w:pPr>
      <w:r>
        <w:rPr>
          <w:rFonts w:ascii="Times New Roman" w:hAnsi="Times New Roman" w:eastAsia="Times New Roman"/>
          <w:i w:val="0"/>
          <w:caps/>
          <w:color w:val="000000"/>
          <w:sz w:val="20"/>
        </w:rPr>
        <w:t>IV EVIDENCE DRIVEN DIAGNOSTIC</w:t>
      </w:r>
    </w:p>
    <w:p>
      <w:pPr>
        <w:keepNext/>
        <w:spacing w:before="60" w:after="20"/>
        <w:ind w:firstLine="0"/>
        <w:jc w:val="center"/>
      </w:pPr>
      <w:r>
        <w:drawing>
          <wp:inline xmlns:a="http://schemas.openxmlformats.org/drawingml/2006/main" xmlns:pic="http://schemas.openxmlformats.org/drawingml/2006/picture">
            <wp:extent cx="2852928" cy="3668050"/>
            <wp:docPr id="2" name="Picture 2" descr="Fig. 2. Diagnostic v5 gathers only the evidence needed for a path decision and preserves uncertainty." title="Fig. 2. Diagnostic v5 gathers only the evidence needed for a path decision and preserves uncertainty."/>
            <wp:cNvGraphicFramePr>
              <a:graphicFrameLocks noChangeAspect="1"/>
            </wp:cNvGraphicFramePr>
            <a:graphic>
              <a:graphicData uri="http://schemas.openxmlformats.org/drawingml/2006/picture">
                <pic:pic>
                  <pic:nvPicPr>
                    <pic:cNvPr id="0" name="diagnostic-v5.png"/>
                    <pic:cNvPicPr/>
                  </pic:nvPicPr>
                  <pic:blipFill>
                    <a:blip r:embed="rId10"/>
                    <a:stretch>
                      <a:fillRect/>
                    </a:stretch>
                  </pic:blipFill>
                  <pic:spPr>
                    <a:xfrm>
                      <a:off x="0" y="0"/>
                      <a:ext cx="2852928" cy="3668050"/>
                    </a:xfrm>
                    <a:prstGeom prst="rect"/>
                  </pic:spPr>
                </pic:pic>
              </a:graphicData>
            </a:graphic>
          </wp:inline>
        </w:drawing>
      </w:r>
    </w:p>
    <w:p>
      <w:pPr>
        <w:pStyle w:val="Caption"/>
      </w:pPr>
      <w:r>
        <w:rPr>
          <w:rFonts w:ascii="Times New Roman" w:hAnsi="Times New Roman" w:eastAsia="Times New Roman"/>
          <w:color w:val="000000"/>
          <w:sz w:val="16"/>
        </w:rPr>
        <w:t>Fig. 2. Diagnostic v5 gathers only the evidence needed for a path decision and preserves uncertainty.</w:t>
      </w:r>
    </w:p>
    <w:p>
      <w:pPr>
        <w:pStyle w:val="Heading2"/>
        <w:keepNext/>
        <w:ind w:firstLine="0"/>
      </w:pPr>
      <w:r>
        <w:rPr>
          <w:rFonts w:ascii="Times New Roman" w:hAnsi="Times New Roman" w:eastAsia="Times New Roman"/>
          <w:i/>
          <w:color w:val="000000"/>
          <w:sz w:val="19"/>
        </w:rPr>
        <w:t>A Question Selection</w:t>
      </w:r>
    </w:p>
    <w:p>
      <w:pPr>
        <w:keepLines w:val="0"/>
        <w:spacing w:line="240" w:lineRule="auto" w:after="44"/>
        <w:ind w:firstLine="216"/>
        <w:jc w:val="both"/>
      </w:pPr>
      <w:r>
        <w:rPr>
          <w:rFonts w:ascii="Times New Roman" w:hAnsi="Times New Roman" w:eastAsia="Times New Roman"/>
          <w:color w:val="000000"/>
          <w:sz w:val="19"/>
        </w:rPr>
        <w:t>Diagnostic v5 begins with anchor questions across high-impact course regions. After each response, the server recomputes a value for every unasked item. The value uses eight bounded components: information gain, current uncertainty, prerequisite-gateway importance, decision impact near a mastery threshold, course relevance, retention risk, evidence diversity, and misconception value. Exposure and topic-switch penalties control repetition. A verification boost is applied only when mixed evidence on an important skill must be resolved.</w:t>
      </w:r>
    </w:p>
    <w:p>
      <w:pPr>
        <w:keepNext/>
        <w:spacing w:before="40" w:after="0"/>
        <w:ind w:firstLine="0"/>
        <w:jc w:val="center"/>
      </w:pPr>
      <w:r>
        <w:drawing>
          <wp:inline xmlns:a="http://schemas.openxmlformats.org/drawingml/2006/main" xmlns:pic="http://schemas.openxmlformats.org/drawingml/2006/picture">
            <wp:extent cx="2788920" cy="604205"/>
            <wp:docPr id="3" name="Picture 3" descr="Equation 1 Diagnostic question value" title="Equation 1 Diagnostic question value"/>
            <wp:cNvGraphicFramePr>
              <a:graphicFrameLocks noChangeAspect="1"/>
            </wp:cNvGraphicFramePr>
            <a:graphic>
              <a:graphicData uri="http://schemas.openxmlformats.org/drawingml/2006/picture">
                <pic:pic>
                  <pic:nvPicPr>
                    <pic:cNvPr id="0" name="question-value.png"/>
                    <pic:cNvPicPr/>
                  </pic:nvPicPr>
                  <pic:blipFill>
                    <a:blip r:embed="rId11"/>
                    <a:stretch>
                      <a:fillRect/>
                    </a:stretch>
                  </pic:blipFill>
                  <pic:spPr>
                    <a:xfrm>
                      <a:off x="0" y="0"/>
                      <a:ext cx="2788920" cy="604205"/>
                    </a:xfrm>
                    <a:prstGeom prst="rect"/>
                  </pic:spPr>
                </pic:pic>
              </a:graphicData>
            </a:graphic>
          </wp:inline>
        </w:drawing>
      </w:r>
    </w:p>
    <w:p>
      <w:pPr>
        <w:spacing w:before="0" w:after="40"/>
        <w:ind w:firstLine="0"/>
        <w:jc w:val="right"/>
      </w:pPr>
      <w:r>
        <w:rPr>
          <w:rFonts w:ascii="Times New Roman" w:hAnsi="Times New Roman" w:eastAsia="Times New Roman"/>
          <w:color w:val="000000"/>
          <w:sz w:val="17"/>
        </w:rPr>
        <w:t>(1)</w:t>
      </w:r>
    </w:p>
    <w:p>
      <w:pPr>
        <w:keepLines w:val="0"/>
        <w:spacing w:line="240" w:lineRule="auto" w:after="44"/>
        <w:ind w:firstLine="216"/>
        <w:jc w:val="both"/>
      </w:pPr>
      <w:r>
        <w:rPr>
          <w:rFonts w:ascii="Times New Roman" w:hAnsi="Times New Roman" w:eastAsia="Times New Roman"/>
          <w:color w:val="000000"/>
          <w:sz w:val="19"/>
        </w:rPr>
        <w:t>In (1), x sub k is a bounded component and alpha sub k is its declared weight. The current weights are 0.25 for information gain, 0.15 each for uncertainty, gateway importance, and decision impact, 0.10 for course relevance, 0.08 for retention risk, 0.07 for evidence diversity, and 0.05 for misconception value. These values make the policy inspectable. They should later be calibrated against diagnostic efficiency and downstream error on real learners.</w:t>
      </w:r>
    </w:p>
    <w:p>
      <w:pPr>
        <w:keepLines w:val="0"/>
        <w:spacing w:line="240" w:lineRule="auto" w:after="44"/>
        <w:ind w:firstLine="216"/>
        <w:jc w:val="both"/>
      </w:pPr>
      <w:r>
        <w:rPr>
          <w:rFonts w:ascii="Times New Roman" w:hAnsi="Times New Roman" w:eastAsia="Times New Roman"/>
          <w:color w:val="000000"/>
          <w:sz w:val="19"/>
        </w:rPr>
        <w:t>Item information is approximated from discrimination and guessing metadata. Difficulty is matched to the current estimate, while cognitive diversity rewards a question that adds REMEMBER, UNDERSTAND, APPLY, or ANALYZE evidence not yet observed. The initial eight regions receive coverage priority. Later selections prefer confirmation or verification, so the diagnostic can detect the rare but important case in which a learner answers an advanced item correctly while failing a required foundation.</w:t>
      </w:r>
    </w:p>
    <w:p>
      <w:pPr>
        <w:pStyle w:val="Heading2"/>
        <w:keepNext/>
        <w:ind w:firstLine="0"/>
      </w:pPr>
      <w:r>
        <w:rPr>
          <w:rFonts w:ascii="Times New Roman" w:hAnsi="Times New Roman" w:eastAsia="Times New Roman"/>
          <w:i/>
          <w:color w:val="000000"/>
          <w:sz w:val="19"/>
        </w:rPr>
        <w:t>B Evidence Strength and Per Skill Decisions</w:t>
      </w:r>
    </w:p>
    <w:p>
      <w:pPr>
        <w:keepLines w:val="0"/>
        <w:spacing w:line="240" w:lineRule="auto" w:after="44"/>
        <w:ind w:firstLine="216"/>
        <w:jc w:val="both"/>
      </w:pPr>
      <w:r>
        <w:rPr>
          <w:rFonts w:ascii="Times New Roman" w:hAnsi="Times New Roman" w:eastAsia="Times New Roman"/>
          <w:color w:val="000000"/>
          <w:sz w:val="19"/>
        </w:rPr>
        <w:t>Every answer receives an evidence-strength value rather than a uniform vote. A correct hard application item with high discrimination is stronger than an easy recall item with a high guessing probability. Selecting I am not sure reduces certainty without treating the answer as missing.</w:t>
      </w:r>
    </w:p>
    <w:p>
      <w:pPr>
        <w:keepNext/>
        <w:spacing w:before="40" w:after="0"/>
        <w:ind w:firstLine="0"/>
        <w:jc w:val="center"/>
      </w:pPr>
      <w:r>
        <w:drawing>
          <wp:inline xmlns:a="http://schemas.openxmlformats.org/drawingml/2006/main" xmlns:pic="http://schemas.openxmlformats.org/drawingml/2006/picture">
            <wp:extent cx="2788920" cy="533702"/>
            <wp:docPr id="4" name="Picture 4" descr="Equation 2 Answer evidence strength" title="Equation 2 Answer evidence strength"/>
            <wp:cNvGraphicFramePr>
              <a:graphicFrameLocks noChangeAspect="1"/>
            </wp:cNvGraphicFramePr>
            <a:graphic>
              <a:graphicData uri="http://schemas.openxmlformats.org/drawingml/2006/picture">
                <pic:pic>
                  <pic:nvPicPr>
                    <pic:cNvPr id="0" name="evidence-strength.png"/>
                    <pic:cNvPicPr/>
                  </pic:nvPicPr>
                  <pic:blipFill>
                    <a:blip r:embed="rId12"/>
                    <a:stretch>
                      <a:fillRect/>
                    </a:stretch>
                  </pic:blipFill>
                  <pic:spPr>
                    <a:xfrm>
                      <a:off x="0" y="0"/>
                      <a:ext cx="2788920" cy="533702"/>
                    </a:xfrm>
                    <a:prstGeom prst="rect"/>
                  </pic:spPr>
                </pic:pic>
              </a:graphicData>
            </a:graphic>
          </wp:inline>
        </w:drawing>
      </w:r>
    </w:p>
    <w:p>
      <w:pPr>
        <w:spacing w:before="0" w:after="40"/>
        <w:ind w:firstLine="0"/>
        <w:jc w:val="right"/>
      </w:pPr>
      <w:r>
        <w:rPr>
          <w:rFonts w:ascii="Times New Roman" w:hAnsi="Times New Roman" w:eastAsia="Times New Roman"/>
          <w:color w:val="000000"/>
          <w:sz w:val="17"/>
        </w:rPr>
        <w:t>(2)</w:t>
      </w:r>
    </w:p>
    <w:p>
      <w:pPr>
        <w:keepLines w:val="0"/>
        <w:spacing w:line="240" w:lineRule="auto" w:after="44"/>
        <w:ind w:firstLine="216"/>
        <w:jc w:val="both"/>
      </w:pPr>
      <w:r>
        <w:rPr>
          <w:rFonts w:ascii="Times New Roman" w:hAnsi="Times New Roman" w:eastAsia="Times New Roman"/>
          <w:color w:val="000000"/>
          <w:sz w:val="19"/>
        </w:rPr>
        <w:t>The weighted diagnostic performance for a skill averages response values using at least 0.1 evidence weight per observation. A single observation is classified PROBED regardless of its score. MASTERED requires at least three observations, at least two cognitive levels, a correct APPLY or ANALYZE item, mastery of at least 0.80 or the course target if higher, and confidence of at least 0.70. READY requires two correct observations with mastery at least 0.65 and confidence at least 0.50. GAP requires two consistent negative observations and mastery below 0.50. Mixed evidence remains NEEDS CONFIRMATION.</w:t>
      </w:r>
    </w:p>
    <w:p>
      <w:pPr>
        <w:pStyle w:val="Caption"/>
        <w:keepNext/>
      </w:pPr>
      <w:r>
        <w:rPr>
          <w:rFonts w:ascii="Times New Roman" w:hAnsi="Times New Roman" w:eastAsia="Times New Roman"/>
          <w:b/>
          <w:color w:val="000000"/>
          <w:sz w:val="16"/>
        </w:rPr>
        <w:t>TABLE II  DIAGNOSTIC CLASSIFICATION POLICY</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195"/>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2"/>
              </w:rPr>
              <w:t>Class</w:t>
            </w:r>
          </w:p>
        </w:tc>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2"/>
              </w:rPr>
              <w:t>Minimum evidence</w:t>
            </w:r>
          </w:p>
        </w:tc>
        <w:tc>
          <w:tcPr>
            <w:tcW w:type="dxa" w:w="1411"/>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2"/>
              </w:rPr>
              <w:t>Interpretation</w:t>
            </w:r>
          </w:p>
        </w:tc>
      </w:tr>
      <w:tr>
        <w:tc>
          <w:tcPr>
            <w:tcW w:type="dxa" w:w="1195"/>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2"/>
              </w:rPr>
              <w:t>PROBED</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1 observation</w:t>
            </w:r>
          </w:p>
        </w:tc>
        <w:tc>
          <w:tcPr>
            <w:tcW w:type="dxa" w:w="1411"/>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Initial signal only</w:t>
            </w:r>
          </w:p>
        </w:tc>
      </w:tr>
      <w:tr>
        <w:tc>
          <w:tcPr>
            <w:tcW w:type="dxa" w:w="1195"/>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2"/>
              </w:rPr>
              <w:t>READY</w:t>
            </w:r>
          </w:p>
        </w:tc>
        <w:tc>
          <w:tcPr>
            <w:tcW w:type="dxa" w:w="2088"/>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2 correct  M at least 0.65  C at least 0.50</w:t>
            </w:r>
          </w:p>
        </w:tc>
        <w:tc>
          <w:tcPr>
            <w:tcW w:type="dxa" w:w="1411"/>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Can continue with caution</w:t>
            </w:r>
          </w:p>
        </w:tc>
      </w:tr>
      <w:tr>
        <w:tc>
          <w:tcPr>
            <w:tcW w:type="dxa" w:w="1195"/>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2"/>
              </w:rPr>
              <w:t>MASTERED</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3 varied with applied success  M at least 0.80  C at least 0.70</w:t>
            </w:r>
          </w:p>
        </w:tc>
        <w:tc>
          <w:tcPr>
            <w:tcW w:type="dxa" w:w="1411"/>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Strong diagnostic placement</w:t>
            </w:r>
          </w:p>
        </w:tc>
      </w:tr>
      <w:tr>
        <w:tc>
          <w:tcPr>
            <w:tcW w:type="dxa" w:w="1195"/>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2"/>
              </w:rPr>
              <w:t>GAP</w:t>
            </w:r>
          </w:p>
        </w:tc>
        <w:tc>
          <w:tcPr>
            <w:tcW w:type="dxa" w:w="2088"/>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2 negative  M below 0.50</w:t>
            </w:r>
          </w:p>
        </w:tc>
        <w:tc>
          <w:tcPr>
            <w:tcW w:type="dxa" w:w="1411"/>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Repeated foundation weakness</w:t>
            </w:r>
          </w:p>
        </w:tc>
      </w:tr>
      <w:tr>
        <w:tc>
          <w:tcPr>
            <w:tcW w:type="dxa" w:w="1195"/>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2"/>
              </w:rPr>
              <w:t>NEEDS CONFIRMATION</w:t>
            </w:r>
          </w:p>
        </w:tc>
        <w:tc>
          <w:tcPr>
            <w:tcW w:type="dxa" w:w="208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Limited or mixed evidence</w:t>
            </w:r>
          </w:p>
        </w:tc>
        <w:tc>
          <w:tcPr>
            <w:tcW w:type="dxa" w:w="1411"/>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2"/>
              </w:rPr>
              <w:t>No forced decision</w:t>
            </w:r>
          </w:p>
        </w:tc>
      </w:tr>
    </w:tbl>
    <w:p>
      <w:pPr>
        <w:spacing w:after="20"/>
        <w:ind w:firstLine="0"/>
      </w:pPr>
    </w:p>
    <w:p>
      <w:pPr>
        <w:pStyle w:val="Heading2"/>
        <w:keepNext/>
        <w:ind w:firstLine="0"/>
      </w:pPr>
      <w:r>
        <w:rPr>
          <w:rFonts w:ascii="Times New Roman" w:hAnsi="Times New Roman" w:eastAsia="Times New Roman"/>
          <w:i/>
          <w:color w:val="000000"/>
          <w:sz w:val="19"/>
        </w:rPr>
        <w:t>C Evidence Sufficiency Stopping</w:t>
      </w:r>
    </w:p>
    <w:p>
      <w:pPr>
        <w:keepLines w:val="0"/>
        <w:spacing w:line="240" w:lineRule="auto" w:after="44"/>
        <w:ind w:firstLine="216"/>
        <w:jc w:val="both"/>
      </w:pPr>
      <w:r>
        <w:rPr>
          <w:rFonts w:ascii="Times New Roman" w:hAnsi="Times New Roman" w:eastAsia="Times New Roman"/>
          <w:color w:val="000000"/>
          <w:sz w:val="19"/>
        </w:rPr>
        <w:t>The assessment asks at least 12 questions when the bank permits. It normally stops between 16 and 22, and never exceeds 28. After each saved answer, the server checks whether at least 75 percent of course skill regions, and at least eight regions where available, have been sampled; whether the three gateways with the most dependents are resolved; and whether a high-impact contradiction remains. Positive gateway evidence must include an application or analysis observation before it can unlock a dependent skill. Two independent negative observations are sufficient to preserve a lock.</w:t>
      </w:r>
    </w:p>
    <w:p>
      <w:pPr>
        <w:keepLines w:val="0"/>
        <w:spacing w:line="240" w:lineRule="auto" w:after="44"/>
        <w:ind w:firstLine="216"/>
        <w:jc w:val="both"/>
      </w:pPr>
      <w:r>
        <w:rPr>
          <w:rFonts w:ascii="Times New Roman" w:hAnsi="Times New Roman" w:eastAsia="Times New Roman"/>
          <w:color w:val="000000"/>
          <w:sz w:val="19"/>
        </w:rPr>
        <w:t>This stopping rule does not claim that 12 to 28 questions measure all knowledge. It claims only that the collected evidence is sufficient for the current path decision. Untested skills remain explicit. Confidence intervals widen when confidence is low or observations are sparse, and the learner can later strengthen the state through practice and assessment.</w:t>
      </w:r>
    </w:p>
    <w:p>
      <w:pPr>
        <w:pStyle w:val="Heading2"/>
        <w:keepNext/>
        <w:ind w:firstLine="0"/>
      </w:pPr>
      <w:r>
        <w:rPr>
          <w:rFonts w:ascii="Times New Roman" w:hAnsi="Times New Roman" w:eastAsia="Times New Roman"/>
          <w:i/>
          <w:color w:val="000000"/>
          <w:sz w:val="19"/>
        </w:rPr>
        <w:t>D Misconception Evidence</w:t>
      </w:r>
    </w:p>
    <w:p>
      <w:pPr>
        <w:keepLines w:val="0"/>
        <w:spacing w:line="240" w:lineRule="auto" w:after="44"/>
        <w:ind w:firstLine="216"/>
        <w:jc w:val="both"/>
      </w:pPr>
      <w:r>
        <w:rPr>
          <w:rFonts w:ascii="Times New Roman" w:hAnsi="Times New Roman" w:eastAsia="Times New Roman"/>
          <w:color w:val="000000"/>
          <w:sz w:val="19"/>
        </w:rPr>
        <w:t>Incorrect distractors can map to misconception codes. The system appends a misconception-evidence event and updates a bounded learner-skill misconception state. The selector can then choose a follow-up item that discriminates the suspected pattern. The result page reports the pattern, its evidence count, and confidence instead of flattening every error into a low percentage.</w:t>
      </w:r>
    </w:p>
    <w:p>
      <w:pPr>
        <w:pStyle w:val="Heading1"/>
        <w:keepNext/>
        <w:ind w:firstLine="0"/>
      </w:pPr>
      <w:r>
        <w:rPr>
          <w:rFonts w:ascii="Times New Roman" w:hAnsi="Times New Roman" w:eastAsia="Times New Roman"/>
          <w:i w:val="0"/>
          <w:caps/>
          <w:color w:val="000000"/>
          <w:sz w:val="20"/>
        </w:rPr>
        <w:t>V GLOBAL MASTERY CONFIDENCE AND RETENTION</w:t>
      </w:r>
    </w:p>
    <w:p>
      <w:pPr>
        <w:pStyle w:val="Heading2"/>
        <w:keepNext/>
        <w:ind w:firstLine="0"/>
      </w:pPr>
      <w:r>
        <w:rPr>
          <w:rFonts w:ascii="Times New Roman" w:hAnsi="Times New Roman" w:eastAsia="Times New Roman"/>
          <w:i/>
          <w:color w:val="000000"/>
          <w:sz w:val="19"/>
        </w:rPr>
        <w:t>A Central Mastery Update</w:t>
      </w:r>
    </w:p>
    <w:p>
      <w:pPr>
        <w:keepLines w:val="0"/>
        <w:spacing w:line="240" w:lineRule="auto" w:after="44"/>
        <w:ind w:firstLine="216"/>
        <w:jc w:val="both"/>
      </w:pPr>
      <w:r>
        <w:rPr>
          <w:rFonts w:ascii="Times New Roman" w:hAnsi="Times New Roman" w:eastAsia="Times New Roman"/>
          <w:color w:val="000000"/>
          <w:sz w:val="19"/>
        </w:rPr>
        <w:t>All assessed sources use one mastery service. For an existing state, the source weight is 0.40 for diagnostic, assessment, or module assessment; 0.30 for quiz; 0.25 for practice; and 0.35 for a retention check. Reliability scales that weight. A new skill starts directly from the bounded performance estimate because no earlier mastery exists.</w:t>
      </w:r>
    </w:p>
    <w:p>
      <w:pPr>
        <w:keepNext/>
        <w:spacing w:before="40" w:after="0"/>
        <w:ind w:firstLine="0"/>
        <w:jc w:val="center"/>
      </w:pPr>
      <w:r>
        <w:drawing>
          <wp:inline xmlns:a="http://schemas.openxmlformats.org/drawingml/2006/main" xmlns:pic="http://schemas.openxmlformats.org/drawingml/2006/picture">
            <wp:extent cx="2788920" cy="490754"/>
            <wp:docPr id="5" name="Picture 5" descr="Equation 3 Evidence weighted mastery update" title="Equation 3 Evidence weighted mastery update"/>
            <wp:cNvGraphicFramePr>
              <a:graphicFrameLocks noChangeAspect="1"/>
            </wp:cNvGraphicFramePr>
            <a:graphic>
              <a:graphicData uri="http://schemas.openxmlformats.org/drawingml/2006/picture">
                <pic:pic>
                  <pic:nvPicPr>
                    <pic:cNvPr id="0" name="mastery-update.png"/>
                    <pic:cNvPicPr/>
                  </pic:nvPicPr>
                  <pic:blipFill>
                    <a:blip r:embed="rId13"/>
                    <a:stretch>
                      <a:fillRect/>
                    </a:stretch>
                  </pic:blipFill>
                  <pic:spPr>
                    <a:xfrm>
                      <a:off x="0" y="0"/>
                      <a:ext cx="2788920" cy="490754"/>
                    </a:xfrm>
                    <a:prstGeom prst="rect"/>
                  </pic:spPr>
                </pic:pic>
              </a:graphicData>
            </a:graphic>
          </wp:inline>
        </w:drawing>
      </w:r>
    </w:p>
    <w:p>
      <w:pPr>
        <w:spacing w:before="0" w:after="40"/>
        <w:ind w:firstLine="0"/>
        <w:jc w:val="right"/>
      </w:pPr>
      <w:r>
        <w:rPr>
          <w:rFonts w:ascii="Times New Roman" w:hAnsi="Times New Roman" w:eastAsia="Times New Roman"/>
          <w:color w:val="000000"/>
          <w:sz w:val="17"/>
        </w:rPr>
        <w:t>(3)</w:t>
      </w:r>
    </w:p>
    <w:p>
      <w:pPr>
        <w:keepLines w:val="0"/>
        <w:spacing w:line="240" w:lineRule="auto" w:after="44"/>
        <w:ind w:firstLine="216"/>
        <w:jc w:val="both"/>
      </w:pPr>
      <w:r>
        <w:rPr>
          <w:rFonts w:ascii="Times New Roman" w:hAnsi="Times New Roman" w:eastAsia="Times New Roman"/>
          <w:color w:val="000000"/>
          <w:sz w:val="19"/>
        </w:rPr>
        <w:t>Equation (3) is an exponential moving update, not a psychometrically calibrated posterior. It has two useful engineering properties: each event has a bounded effect, and the stored before-and-after state explains the change. A row lock limits concurrent updates to the affected learner-skill pair.</w:t>
      </w:r>
    </w:p>
    <w:p>
      <w:pPr>
        <w:pStyle w:val="Heading2"/>
        <w:keepNext/>
        <w:ind w:firstLine="0"/>
      </w:pPr>
      <w:r>
        <w:rPr>
          <w:rFonts w:ascii="Times New Roman" w:hAnsi="Times New Roman" w:eastAsia="Times New Roman"/>
          <w:i/>
          <w:color w:val="000000"/>
          <w:sz w:val="19"/>
        </w:rPr>
        <w:t>B Confidence and Evidence State</w:t>
      </w:r>
    </w:p>
    <w:p>
      <w:pPr>
        <w:keepLines w:val="0"/>
        <w:spacing w:line="240" w:lineRule="auto" w:after="44"/>
        <w:ind w:firstLine="216"/>
        <w:jc w:val="both"/>
      </w:pPr>
      <w:r>
        <w:rPr>
          <w:rFonts w:ascii="Times New Roman" w:hAnsi="Times New Roman" w:eastAsia="Times New Roman"/>
          <w:color w:val="000000"/>
          <w:sz w:val="19"/>
        </w:rPr>
        <w:t>Confidence is separate from mastery. It grows with evidence count, source diversity, independent sessions, average difficulty, consistency, and retention evidence. Diagnostic-only confidence is capped at 0.45 in the central evidence policy, even though the diagnostic result also reports its own within-session classification confidence. This prevents a one-session placement test from becoming VERIFIED knowledge.</w:t>
      </w:r>
    </w:p>
    <w:p>
      <w:pPr>
        <w:keepLines w:val="0"/>
        <w:spacing w:line="240" w:lineRule="auto" w:after="44"/>
        <w:ind w:firstLine="216"/>
        <w:jc w:val="both"/>
      </w:pPr>
      <w:r>
        <w:rPr>
          <w:rFonts w:ascii="Times New Roman" w:hAnsi="Times New Roman" w:eastAsia="Times New Roman"/>
          <w:color w:val="000000"/>
          <w:sz w:val="19"/>
        </w:rPr>
        <w:t>Evidence states summarize defensibility. UNKNOWN means no performance evidence. ESTIMATED means evidence exists but remains sparse. ASSESSED requires at least five observations over two sessions with confidence of at least 0.45. VERIFIED requires at least 12 observations over four sessions, consistency of at least 0.70, confidence of at least 0.78, and either retention evidence or broad source and session diversity.</w:t>
      </w:r>
    </w:p>
    <w:p>
      <w:pPr>
        <w:pStyle w:val="Heading2"/>
        <w:keepNext/>
        <w:ind w:firstLine="0"/>
      </w:pPr>
      <w:r>
        <w:rPr>
          <w:rFonts w:ascii="Times New Roman" w:hAnsi="Times New Roman" w:eastAsia="Times New Roman"/>
          <w:i/>
          <w:color w:val="000000"/>
          <w:sz w:val="19"/>
        </w:rPr>
        <w:t>C Retention Projection</w:t>
      </w:r>
    </w:p>
    <w:p>
      <w:pPr>
        <w:keepLines w:val="0"/>
        <w:spacing w:line="240" w:lineRule="auto" w:after="44"/>
        <w:ind w:firstLine="216"/>
        <w:jc w:val="both"/>
      </w:pPr>
      <w:r>
        <w:rPr>
          <w:rFonts w:ascii="Times New Roman" w:hAnsi="Times New Roman" w:eastAsia="Times New Roman"/>
          <w:color w:val="000000"/>
          <w:sz w:val="19"/>
        </w:rPr>
        <w:t>Mastery records demonstrated knowledge; retention projects its present accessibility. The latest immutable performance event anchors the elapsed time. Confidence and repeated evidence slow the decay rate. Passive lesson completion cannot move the anchor.</w:t>
      </w:r>
    </w:p>
    <w:p>
      <w:pPr>
        <w:keepNext/>
        <w:spacing w:before="40" w:after="0"/>
        <w:ind w:firstLine="0"/>
        <w:jc w:val="center"/>
      </w:pPr>
      <w:r>
        <w:drawing>
          <wp:inline xmlns:a="http://schemas.openxmlformats.org/drawingml/2006/main" xmlns:pic="http://schemas.openxmlformats.org/drawingml/2006/picture">
            <wp:extent cx="2788920" cy="422720"/>
            <wp:docPr id="6" name="Picture 6" descr="Equation 4 Confidence and repetition adjusted retention" title="Equation 4 Confidence and repetition adjusted retention"/>
            <wp:cNvGraphicFramePr>
              <a:graphicFrameLocks noChangeAspect="1"/>
            </wp:cNvGraphicFramePr>
            <a:graphic>
              <a:graphicData uri="http://schemas.openxmlformats.org/drawingml/2006/picture">
                <pic:pic>
                  <pic:nvPicPr>
                    <pic:cNvPr id="0" name="retention.png"/>
                    <pic:cNvPicPr/>
                  </pic:nvPicPr>
                  <pic:blipFill>
                    <a:blip r:embed="rId14"/>
                    <a:stretch>
                      <a:fillRect/>
                    </a:stretch>
                  </pic:blipFill>
                  <pic:spPr>
                    <a:xfrm>
                      <a:off x="0" y="0"/>
                      <a:ext cx="2788920" cy="422720"/>
                    </a:xfrm>
                    <a:prstGeom prst="rect"/>
                  </pic:spPr>
                </pic:pic>
              </a:graphicData>
            </a:graphic>
          </wp:inline>
        </w:drawing>
      </w:r>
    </w:p>
    <w:p>
      <w:pPr>
        <w:spacing w:before="0" w:after="40"/>
        <w:ind w:firstLine="0"/>
        <w:jc w:val="right"/>
      </w:pPr>
      <w:r>
        <w:rPr>
          <w:rFonts w:ascii="Times New Roman" w:hAnsi="Times New Roman" w:eastAsia="Times New Roman"/>
          <w:color w:val="000000"/>
          <w:sz w:val="17"/>
        </w:rPr>
        <w:t>(4)</w:t>
      </w:r>
    </w:p>
    <w:p>
      <w:pPr>
        <w:keepLines w:val="0"/>
        <w:spacing w:line="240" w:lineRule="auto" w:after="44"/>
        <w:ind w:firstLine="216"/>
        <w:jc w:val="both"/>
      </w:pPr>
      <w:r>
        <w:rPr>
          <w:rFonts w:ascii="Times New Roman" w:hAnsi="Times New Roman" w:eastAsia="Times New Roman"/>
          <w:color w:val="000000"/>
          <w:sz w:val="19"/>
        </w:rPr>
        <w:t>The base daily decay parameter lambda zero is 0.025. A skill is STRONG when retention is at least 0.75, MODERATE from 0.50 to below 0.75, AT RISK from 0.30 to below 0.50, and CRITICAL below 0.30. Revision eligibility additionally requires previously demonstrated mastery above a configured floor. This prevents an ordinary knowledge gap from being mislabeled as forgetting. The function is intentionally presented as a configurable heuristic until real delayed-recall observations permit calibration [8].</w:t>
      </w:r>
    </w:p>
    <w:p>
      <w:pPr>
        <w:pStyle w:val="Heading1"/>
        <w:keepNext/>
        <w:ind w:firstLine="0"/>
      </w:pPr>
      <w:r>
        <w:rPr>
          <w:rFonts w:ascii="Times New Roman" w:hAnsi="Times New Roman" w:eastAsia="Times New Roman"/>
          <w:i w:val="0"/>
          <w:caps/>
          <w:color w:val="000000"/>
          <w:sz w:val="20"/>
        </w:rPr>
        <w:t>VI KNOWLEDGE GRAPH AND CANDIDATE GENERATION</w:t>
      </w:r>
    </w:p>
    <w:p>
      <w:pPr>
        <w:keepNext/>
        <w:spacing w:before="60" w:after="20"/>
        <w:ind w:firstLine="0"/>
        <w:jc w:val="center"/>
      </w:pPr>
      <w:r>
        <w:drawing>
          <wp:inline xmlns:a="http://schemas.openxmlformats.org/drawingml/2006/main" xmlns:pic="http://schemas.openxmlformats.org/drawingml/2006/picture">
            <wp:extent cx="2852928" cy="3406047"/>
            <wp:docPr id="7" name="Picture 7" descr="Fig. 3. The graph enriches priority after deterministic prerequisite eligibility is established." title="Fig. 3. The graph enriches priority after deterministic prerequisite eligibility is established."/>
            <wp:cNvGraphicFramePr>
              <a:graphicFrameLocks noChangeAspect="1"/>
            </wp:cNvGraphicFramePr>
            <a:graphic>
              <a:graphicData uri="http://schemas.openxmlformats.org/drawingml/2006/picture">
                <pic:pic>
                  <pic:nvPicPr>
                    <pic:cNvPr id="0" name="knowledge-graph-v2.png"/>
                    <pic:cNvPicPr/>
                  </pic:nvPicPr>
                  <pic:blipFill>
                    <a:blip r:embed="rId15"/>
                    <a:stretch>
                      <a:fillRect/>
                    </a:stretch>
                  </pic:blipFill>
                  <pic:spPr>
                    <a:xfrm>
                      <a:off x="0" y="0"/>
                      <a:ext cx="2852928" cy="3406047"/>
                    </a:xfrm>
                    <a:prstGeom prst="rect"/>
                  </pic:spPr>
                </pic:pic>
              </a:graphicData>
            </a:graphic>
          </wp:inline>
        </w:drawing>
      </w:r>
    </w:p>
    <w:p>
      <w:pPr>
        <w:pStyle w:val="Caption"/>
      </w:pPr>
      <w:r>
        <w:rPr>
          <w:rFonts w:ascii="Times New Roman" w:hAnsi="Times New Roman" w:eastAsia="Times New Roman"/>
          <w:color w:val="000000"/>
          <w:sz w:val="16"/>
        </w:rPr>
        <w:t>Fig. 3. The graph enriches priority after deterministic prerequisite eligibility is established.</w:t>
      </w:r>
    </w:p>
    <w:p>
      <w:pPr>
        <w:pStyle w:val="Heading2"/>
        <w:keepNext/>
        <w:ind w:firstLine="0"/>
      </w:pPr>
      <w:r>
        <w:rPr>
          <w:rFonts w:ascii="Times New Roman" w:hAnsi="Times New Roman" w:eastAsia="Times New Roman"/>
          <w:i/>
          <w:color w:val="000000"/>
          <w:sz w:val="19"/>
        </w:rPr>
        <w:t>A Authoritative Prerequisite Gate</w:t>
      </w:r>
    </w:p>
    <w:p>
      <w:pPr>
        <w:keepLines w:val="0"/>
        <w:spacing w:line="240" w:lineRule="auto" w:after="44"/>
        <w:ind w:firstLine="216"/>
        <w:jc w:val="both"/>
      </w:pPr>
      <w:r>
        <w:rPr>
          <w:rFonts w:ascii="Times New Roman" w:hAnsi="Times New Roman" w:eastAsia="Times New Roman"/>
          <w:color w:val="000000"/>
          <w:sz w:val="19"/>
        </w:rPr>
        <w:t>The curriculum is a directed acyclic graph whose nodes are global skills and whose edges are REQUIRED or RECOMMENDED dependencies. Database constraints and cycle-prevention logic protect the required-edge graph. For a course analysis, the API loads course skills and recursively includes supporting prerequisite ancestors. An unknown mastery never satisfies a required edge. Recommended edges are advisory and cannot lock a skill.</w:t>
      </w:r>
    </w:p>
    <w:p>
      <w:pPr>
        <w:keepNext/>
        <w:spacing w:before="40" w:after="0"/>
        <w:ind w:firstLine="0"/>
        <w:jc w:val="center"/>
      </w:pPr>
      <w:r>
        <w:drawing>
          <wp:inline xmlns:a="http://schemas.openxmlformats.org/drawingml/2006/main" xmlns:pic="http://schemas.openxmlformats.org/drawingml/2006/picture">
            <wp:extent cx="2788920" cy="584889"/>
            <wp:docPr id="8" name="Picture 8" descr="Equation 5 Confidence adjusted prerequisite gate" title="Equation 5 Confidence adjusted prerequisite gate"/>
            <wp:cNvGraphicFramePr>
              <a:graphicFrameLocks noChangeAspect="1"/>
            </wp:cNvGraphicFramePr>
            <a:graphic>
              <a:graphicData uri="http://schemas.openxmlformats.org/drawingml/2006/picture">
                <pic:pic>
                  <pic:nvPicPr>
                    <pic:cNvPr id="0" name="prerequisite-gate.png"/>
                    <pic:cNvPicPr/>
                  </pic:nvPicPr>
                  <pic:blipFill>
                    <a:blip r:embed="rId16"/>
                    <a:stretch>
                      <a:fillRect/>
                    </a:stretch>
                  </pic:blipFill>
                  <pic:spPr>
                    <a:xfrm>
                      <a:off x="0" y="0"/>
                      <a:ext cx="2788920" cy="584889"/>
                    </a:xfrm>
                    <a:prstGeom prst="rect"/>
                  </pic:spPr>
                </pic:pic>
              </a:graphicData>
            </a:graphic>
          </wp:inline>
        </w:drawing>
      </w:r>
    </w:p>
    <w:p>
      <w:pPr>
        <w:spacing w:before="0" w:after="40"/>
        <w:ind w:firstLine="0"/>
        <w:jc w:val="right"/>
      </w:pPr>
      <w:r>
        <w:rPr>
          <w:rFonts w:ascii="Times New Roman" w:hAnsi="Times New Roman" w:eastAsia="Times New Roman"/>
          <w:color w:val="000000"/>
          <w:sz w:val="17"/>
        </w:rPr>
        <w:t>(5)</w:t>
      </w:r>
    </w:p>
    <w:p>
      <w:pPr>
        <w:keepLines w:val="0"/>
        <w:spacing w:line="240" w:lineRule="auto" w:after="44"/>
        <w:ind w:firstLine="216"/>
        <w:jc w:val="both"/>
      </w:pPr>
      <w:r>
        <w:rPr>
          <w:rFonts w:ascii="Times New Roman" w:hAnsi="Times New Roman" w:eastAsia="Times New Roman"/>
          <w:color w:val="000000"/>
          <w:sz w:val="19"/>
        </w:rPr>
        <w:t>In (5), M is observed mastery, C is confidence, and T is the edge-specific required threshold. The maximum confidence penalty is 0.10. For example, M equal to 0.73 and C equal to 0.40 produce effective mastery 0.67, so a threshold of 0.70 remains locked. This conservative buffer prevents a weakly supported estimate from opening an advanced branch.</w:t>
      </w:r>
    </w:p>
    <w:p>
      <w:pPr>
        <w:pStyle w:val="Heading2"/>
        <w:keepNext/>
        <w:ind w:firstLine="0"/>
      </w:pPr>
      <w:r>
        <w:rPr>
          <w:rFonts w:ascii="Times New Roman" w:hAnsi="Times New Roman" w:eastAsia="Times New Roman"/>
          <w:i/>
          <w:color w:val="000000"/>
          <w:sz w:val="19"/>
        </w:rPr>
        <w:t>B NetworkX Structural Intelligence</w:t>
      </w:r>
    </w:p>
    <w:p>
      <w:pPr>
        <w:keepLines w:val="0"/>
        <w:spacing w:line="240" w:lineRule="auto" w:after="44"/>
        <w:ind w:firstLine="216"/>
        <w:jc w:val="both"/>
      </w:pPr>
      <w:r>
        <w:rPr>
          <w:rFonts w:ascii="Times New Roman" w:hAnsi="Times New Roman" w:eastAsia="Times New Roman"/>
          <w:color w:val="000000"/>
          <w:sz w:val="19"/>
        </w:rPr>
        <w:t>The API sends a request-scoped projection of the required-edge graph to NetworkX. The service validates acyclicity, computes topological generations, descendants, direct dependents, normalized betweenness centrality, shortest foundation routes, and the DAG longest path. A counterfactual unlock identifies a currently locked direct dependent that would become eligible if one selected prerequisite reached its threshold while every other required edge remained satisfied.</w:t>
      </w:r>
    </w:p>
    <w:p>
      <w:pPr>
        <w:keepLines w:val="0"/>
        <w:spacing w:line="240" w:lineRule="auto" w:after="44"/>
        <w:ind w:firstLine="216"/>
        <w:jc w:val="both"/>
      </w:pPr>
      <w:r>
        <w:rPr>
          <w:rFonts w:ascii="Times New Roman" w:hAnsi="Times New Roman" w:eastAsia="Times New Roman"/>
          <w:color w:val="000000"/>
          <w:sz w:val="19"/>
        </w:rPr>
        <w:t>For each skill, the gateway score combines descendant ratio D, normalized betweenness B, and immediate counterfactual-unlock ratio U. The score describes structural leverage rather than predicted learning gain. If graph analytics fail, eligibility still works and the bonus becomes zero.</w:t>
      </w:r>
    </w:p>
    <w:p>
      <w:pPr>
        <w:pStyle w:val="Heading2"/>
        <w:keepNext/>
        <w:ind w:firstLine="0"/>
      </w:pPr>
      <w:r>
        <w:rPr>
          <w:rFonts w:ascii="Times New Roman" w:hAnsi="Times New Roman" w:eastAsia="Times New Roman"/>
          <w:i/>
          <w:color w:val="000000"/>
          <w:sz w:val="19"/>
        </w:rPr>
        <w:t>C Candidate Pools</w:t>
      </w:r>
    </w:p>
    <w:p>
      <w:pPr>
        <w:keepLines w:val="0"/>
        <w:spacing w:line="240" w:lineRule="auto" w:after="44"/>
        <w:ind w:firstLine="216"/>
        <w:jc w:val="both"/>
      </w:pPr>
      <w:r>
        <w:rPr>
          <w:rFonts w:ascii="Times New Roman" w:hAnsi="Times New Roman" w:eastAsia="Times New Roman"/>
          <w:color w:val="000000"/>
          <w:sz w:val="19"/>
        </w:rPr>
        <w:t>Candidate generation is enrollment scoped. It begins with course skills and recursively adds supporting prerequisites. Each relevant skill belongs to exactly one pool: eligible learning, supporting prerequisite, retention revision, locked, or covered. Covered means global mastery meets the course target and revision is not due. Locked candidates carry exact failed edges and mastery shortfalls. Only the three eligible kinds move to feature construction and model inference.</w:t>
      </w:r>
    </w:p>
    <w:p>
      <w:pPr>
        <w:pStyle w:val="Heading1"/>
        <w:keepNext/>
        <w:ind w:firstLine="0"/>
      </w:pPr>
      <w:r>
        <w:rPr>
          <w:rFonts w:ascii="Times New Roman" w:hAnsi="Times New Roman" w:eastAsia="Times New Roman"/>
          <w:i w:val="0"/>
          <w:caps/>
          <w:color w:val="000000"/>
          <w:sz w:val="20"/>
        </w:rPr>
        <w:t>VII MACHINE LEARNING RANKING</w:t>
      </w:r>
    </w:p>
    <w:p>
      <w:pPr>
        <w:pStyle w:val="Heading2"/>
        <w:keepNext/>
        <w:ind w:firstLine="0"/>
      </w:pPr>
      <w:r>
        <w:rPr>
          <w:rFonts w:ascii="Times New Roman" w:hAnsi="Times New Roman" w:eastAsia="Times New Roman"/>
          <w:i/>
          <w:color w:val="000000"/>
          <w:sz w:val="19"/>
        </w:rPr>
        <w:t>A Synthetic Research Boundary</w:t>
      </w:r>
    </w:p>
    <w:p>
      <w:pPr>
        <w:keepLines w:val="0"/>
        <w:spacing w:line="240" w:lineRule="auto" w:after="44"/>
        <w:ind w:firstLine="216"/>
        <w:jc w:val="both"/>
      </w:pPr>
      <w:r>
        <w:rPr>
          <w:rFonts w:ascii="Times New Roman" w:hAnsi="Times New Roman" w:eastAsia="Times New Roman"/>
          <w:color w:val="000000"/>
          <w:sz w:val="19"/>
        </w:rPr>
        <w:t>No suitable longitudinal learner dataset was available for the implemented curriculum. The project therefore uses a deterministic, curriculum-grounded simulator with random seed 42. It generates 20,000 sequential interactions for 1,000 synthetic learners across beginner, intermediate, and advanced levels, fast and slow pace, and consistent and inconsistent performance. Noise mechanisms include guessing, disengagement, skipped content, difficulty mismatch, and inconsistent performance. The synthetic artifact is physically separate from PostgreSQL learner tables and is never imported into application evidence.</w:t>
      </w:r>
    </w:p>
    <w:p>
      <w:pPr>
        <w:keepLines w:val="0"/>
        <w:spacing w:line="240" w:lineRule="auto" w:after="44"/>
        <w:ind w:firstLine="216"/>
        <w:jc w:val="both"/>
      </w:pPr>
      <w:r>
        <w:rPr>
          <w:rFonts w:ascii="Times New Roman" w:hAnsi="Times New Roman" w:eastAsia="Times New Roman"/>
          <w:color w:val="000000"/>
          <w:sz w:val="19"/>
        </w:rPr>
        <w:t>The benefit label is not sampled independently. A versioned formula combines mastery gain with weight 0.40, completion rate with 0.25, assessment improvement with 0.25, and normalized learner feedback with 0.10. A row is beneficial when the score is at least 0.27. The generated data has 7,091 positive and 12,909 negative labels. The manifest records checksums, distributions, modeled correlations, and validation gates.</w:t>
      </w:r>
    </w:p>
    <w:p>
      <w:pPr>
        <w:pStyle w:val="Heading2"/>
        <w:keepNext/>
        <w:ind w:firstLine="0"/>
      </w:pPr>
      <w:r>
        <w:rPr>
          <w:rFonts w:ascii="Times New Roman" w:hAnsi="Times New Roman" w:eastAsia="Times New Roman"/>
          <w:i/>
          <w:color w:val="000000"/>
          <w:sz w:val="19"/>
        </w:rPr>
        <w:t>B Feature Contract and Leakage Control</w:t>
      </w:r>
    </w:p>
    <w:p>
      <w:pPr>
        <w:keepLines w:val="0"/>
        <w:spacing w:line="240" w:lineRule="auto" w:after="44"/>
        <w:ind w:firstLine="216"/>
        <w:jc w:val="both"/>
      </w:pPr>
      <w:r>
        <w:rPr>
          <w:rFonts w:ascii="Times New Roman" w:hAnsi="Times New Roman" w:eastAsia="Times New Roman"/>
          <w:color w:val="000000"/>
          <w:sz w:val="19"/>
        </w:rPr>
        <w:t>The feature entity is learner by eligible candidate skill. The frozen vector contains 55 numeric features across learner state, skill metadata, mastery, performance, retention, prerequisites, and prior interaction. Examples include current mastery, confidence, mastery gap, evidence strength, recent score, score trend, retention, revision due, satisfied prerequisite ratio, prerequisite readiness, prior completion, prior engagement, and candidate kind. Identifiers and the target label are metadata only.</w:t>
      </w:r>
    </w:p>
    <w:p>
      <w:pPr>
        <w:keepLines w:val="0"/>
        <w:spacing w:line="240" w:lineRule="auto" w:after="44"/>
        <w:ind w:firstLine="216"/>
        <w:jc w:val="both"/>
      </w:pPr>
      <w:r>
        <w:rPr>
          <w:rFonts w:ascii="Times New Roman" w:hAnsi="Times New Roman" w:eastAsia="Times New Roman"/>
          <w:color w:val="000000"/>
          <w:sz w:val="19"/>
        </w:rPr>
        <w:t>Current completion, engagement, time spent, post-assessment, mastery gain, feedback, benefit score, and label are blocked from the current vector. Historical outcome-derived features are shifted by learner before aggregation so that an interaction cannot use its own result. The same validator enforces names, order, bounds, and finiteness in training and live inference. Unknown live values use explicit bounded imputations while learner-facing knowledge remains nullable.</w:t>
      </w:r>
    </w:p>
    <w:p>
      <w:pPr>
        <w:pStyle w:val="Heading2"/>
        <w:keepNext/>
        <w:ind w:firstLine="0"/>
      </w:pPr>
      <w:r>
        <w:rPr>
          <w:rFonts w:ascii="Times New Roman" w:hAnsi="Times New Roman" w:eastAsia="Times New Roman"/>
          <w:i/>
          <w:color w:val="000000"/>
          <w:sz w:val="19"/>
        </w:rPr>
        <w:t>C Training and Model Selection</w:t>
      </w:r>
    </w:p>
    <w:p>
      <w:pPr>
        <w:keepLines w:val="0"/>
        <w:spacing w:line="240" w:lineRule="auto" w:after="44"/>
        <w:ind w:firstLine="216"/>
        <w:jc w:val="both"/>
      </w:pPr>
      <w:r>
        <w:rPr>
          <w:rFonts w:ascii="Times New Roman" w:hAnsi="Times New Roman" w:eastAsia="Times New Roman"/>
          <w:color w:val="000000"/>
          <w:sz w:val="19"/>
        </w:rPr>
        <w:t>Learners, rather than rows, are split with seed 42 into 700 training, 150 validation, and 150 test learners. The corresponding row counts are 14,000, 3,000, and 3,000. No learner appears in more than one split. Gradient Boosting, Random Forest, and Logistic Regression use the same feature matrix, while highest skill gap and curriculum popularity are deterministic baselines. Selection uses validation NDCG at 5, with ROC-AUC and F1 as tie breakers. Classification thresholds are chosen on validation data and applied unchanged to test data.</w:t>
      </w:r>
    </w:p>
    <w:p>
      <w:pPr>
        <w:keepLines w:val="0"/>
        <w:spacing w:line="240" w:lineRule="auto" w:after="44"/>
        <w:ind w:firstLine="216"/>
        <w:jc w:val="both"/>
      </w:pPr>
      <w:r>
        <w:rPr>
          <w:rFonts w:ascii="Times New Roman" w:hAnsi="Times New Roman" w:eastAsia="Times New Roman"/>
          <w:color w:val="000000"/>
          <w:sz w:val="19"/>
        </w:rPr>
        <w:t>The selected Random Forest contains 220 trees, maximum depth 12, square-root feature sampling, class-balanced training, minimum leaf size 4, and seed 42. The checked artifact stores its SHA-256 checksum, feature version, library versions, split checksum, metrics, and feature importances. The runtime verifies these fields before deserialization and exposes a bounded batch probability endpoint.</w:t>
      </w:r>
    </w:p>
    <w:p>
      <w:pPr>
        <w:keepNext/>
        <w:spacing w:before="40" w:after="0"/>
        <w:ind w:firstLine="0"/>
        <w:jc w:val="center"/>
      </w:pPr>
      <w:r>
        <w:drawing>
          <wp:inline xmlns:a="http://schemas.openxmlformats.org/drawingml/2006/main" xmlns:pic="http://schemas.openxmlformats.org/drawingml/2006/picture">
            <wp:extent cx="2788920" cy="490754"/>
            <wp:docPr id="9" name="Picture 9" descr="Equation 6 Gateway and path priority" title="Equation 6 Gateway and path priority"/>
            <wp:cNvGraphicFramePr>
              <a:graphicFrameLocks noChangeAspect="1"/>
            </wp:cNvGraphicFramePr>
            <a:graphic>
              <a:graphicData uri="http://schemas.openxmlformats.org/drawingml/2006/picture">
                <pic:pic>
                  <pic:nvPicPr>
                    <pic:cNvPr id="0" name="path-priority.png"/>
                    <pic:cNvPicPr/>
                  </pic:nvPicPr>
                  <pic:blipFill>
                    <a:blip r:embed="rId17"/>
                    <a:stretch>
                      <a:fillRect/>
                    </a:stretch>
                  </pic:blipFill>
                  <pic:spPr>
                    <a:xfrm>
                      <a:off x="0" y="0"/>
                      <a:ext cx="2788920" cy="490754"/>
                    </a:xfrm>
                    <a:prstGeom prst="rect"/>
                  </pic:spPr>
                </pic:pic>
              </a:graphicData>
            </a:graphic>
          </wp:inline>
        </w:drawing>
      </w:r>
    </w:p>
    <w:p>
      <w:pPr>
        <w:spacing w:before="0" w:after="40"/>
        <w:ind w:firstLine="0"/>
        <w:jc w:val="right"/>
      </w:pPr>
      <w:r>
        <w:rPr>
          <w:rFonts w:ascii="Times New Roman" w:hAnsi="Times New Roman" w:eastAsia="Times New Roman"/>
          <w:color w:val="000000"/>
          <w:sz w:val="17"/>
        </w:rPr>
        <w:t>(6)</w:t>
      </w:r>
    </w:p>
    <w:p>
      <w:pPr>
        <w:keepLines w:val="0"/>
        <w:spacing w:line="240" w:lineRule="auto" w:after="44"/>
        <w:ind w:firstLine="216"/>
        <w:jc w:val="both"/>
      </w:pPr>
      <w:r>
        <w:rPr>
          <w:rFonts w:ascii="Times New Roman" w:hAnsi="Times New Roman" w:eastAsia="Times New Roman"/>
          <w:color w:val="000000"/>
          <w:sz w:val="19"/>
        </w:rPr>
        <w:t>Equation (6) shows the final course priority. The Random Forest benefit probability remains the dominant term. Retention revision adds 0.08, and graph structure adds at most 0.06 times G. A locked skill never reaches this equation. The cap lets a gateway break a close decision without making centrality an alternative unlock path.</w:t>
      </w:r>
    </w:p>
    <w:p>
      <w:pPr>
        <w:pStyle w:val="Heading1"/>
        <w:keepNext/>
        <w:ind w:firstLine="0"/>
      </w:pPr>
      <w:r>
        <w:rPr>
          <w:rFonts w:ascii="Times New Roman" w:hAnsi="Times New Roman" w:eastAsia="Times New Roman"/>
          <w:i w:val="0"/>
          <w:caps/>
          <w:color w:val="000000"/>
          <w:sz w:val="20"/>
        </w:rPr>
        <w:t>VIII PERSONALIZED PATH AND DYNAMIC ADAPTATION</w:t>
      </w:r>
    </w:p>
    <w:p>
      <w:pPr>
        <w:pStyle w:val="Heading2"/>
        <w:keepNext/>
        <w:ind w:firstLine="0"/>
      </w:pPr>
      <w:r>
        <w:rPr>
          <w:rFonts w:ascii="Times New Roman" w:hAnsi="Times New Roman" w:eastAsia="Times New Roman"/>
          <w:i/>
          <w:color w:val="000000"/>
          <w:sz w:val="19"/>
        </w:rPr>
        <w:t>A Path Construction</w:t>
      </w:r>
    </w:p>
    <w:p>
      <w:pPr>
        <w:keepLines w:val="0"/>
        <w:spacing w:line="240" w:lineRule="auto" w:after="44"/>
        <w:ind w:firstLine="216"/>
        <w:jc w:val="both"/>
      </w:pPr>
      <w:r>
        <w:rPr>
          <w:rFonts w:ascii="Times New Roman" w:hAnsi="Times New Roman" w:eastAsia="Times New Roman"/>
          <w:color w:val="000000"/>
          <w:sz w:val="19"/>
        </w:rPr>
        <w:t>A generated path is owned by one course enrollment. Covered skills are persisted as RECOGNIZED, an in-progress recently used skill may appear as CURRENT, the highest priority eligible skill becomes RECOMMENDED NEXT, remaining eligible skills become UPCOMING in score order, and prerequisite failures remain LOCKED. Each item stores decision-time mastery, confidence, retention, missing prerequisites, benefit probability, priority, graph metrics, reason codes, and model, feature, inference, and policy versions.</w:t>
      </w:r>
    </w:p>
    <w:p>
      <w:pPr>
        <w:keepLines w:val="0"/>
        <w:spacing w:line="240" w:lineRule="auto" w:after="44"/>
        <w:ind w:firstLine="216"/>
        <w:jc w:val="both"/>
      </w:pPr>
      <w:r>
        <w:rPr>
          <w:rFonts w:ascii="Times New Roman" w:hAnsi="Times New Roman" w:eastAsia="Times New Roman"/>
          <w:color w:val="000000"/>
          <w:sz w:val="19"/>
        </w:rPr>
        <w:t>The learner interface makes this path the main course surface. Learn Next explains the number of eligible alternatives, predicted benefit, mastery gap or revision need, prerequisite status, and any bounded graph contribution. The prerequisite view exposes exact edges, thresholds, shortest foundation routes, bottlenecks, and counterfactual unlocks. The Skill Passport shows the same global knowledge reused across every course.</w:t>
      </w:r>
    </w:p>
    <w:p>
      <w:pPr>
        <w:pStyle w:val="Heading2"/>
        <w:keepNext/>
        <w:ind w:firstLine="0"/>
      </w:pPr>
      <w:r>
        <w:rPr>
          <w:rFonts w:ascii="Times New Roman" w:hAnsi="Times New Roman" w:eastAsia="Times New Roman"/>
          <w:i/>
          <w:color w:val="000000"/>
          <w:sz w:val="19"/>
        </w:rPr>
        <w:t>B Multiple Course Coordination</w:t>
      </w:r>
    </w:p>
    <w:p>
      <w:pPr>
        <w:keepLines w:val="0"/>
        <w:spacing w:line="240" w:lineRule="auto" w:after="44"/>
        <w:ind w:firstLine="216"/>
        <w:jc w:val="both"/>
      </w:pPr>
      <w:r>
        <w:rPr>
          <w:rFonts w:ascii="Times New Roman" w:hAnsi="Times New Roman" w:eastAsia="Times New Roman"/>
          <w:color w:val="000000"/>
          <w:sz w:val="19"/>
        </w:rPr>
        <w:t>Independent course paths are not merged. A learner-level coordinator compares their fresh Learn Next items. Matching recommendations are grouped by global skill identity, so a foundation that advances two active courses receives a bounded cross-course bonus. The coordinator also applies at most 0.06 active-goal relevance. It cannot create a candidate, unlock a prerequisite, or overwrite a course path.</w:t>
      </w:r>
    </w:p>
    <w:p>
      <w:pPr>
        <w:pStyle w:val="Heading2"/>
        <w:keepNext/>
        <w:ind w:firstLine="0"/>
      </w:pPr>
      <w:r>
        <w:rPr>
          <w:rFonts w:ascii="Times New Roman" w:hAnsi="Times New Roman" w:eastAsia="Times New Roman"/>
          <w:i/>
          <w:color w:val="000000"/>
          <w:sz w:val="19"/>
        </w:rPr>
        <w:t>C Evidence Triggered Regeneration</w:t>
      </w:r>
    </w:p>
    <w:p>
      <w:pPr>
        <w:keepLines w:val="0"/>
        <w:spacing w:line="240" w:lineRule="auto" w:after="44"/>
        <w:ind w:firstLine="216"/>
        <w:jc w:val="both"/>
      </w:pPr>
      <w:r>
        <w:rPr>
          <w:rFonts w:ascii="Times New Roman" w:hAnsi="Times New Roman" w:eastAsia="Times New Roman"/>
          <w:color w:val="000000"/>
          <w:sz w:val="19"/>
        </w:rPr>
        <w:t>New assessed evidence updates the global skill state and marks every current path for that learner stale in the same transaction. A stale path remains visible for audit but is excluded from cross-course coordination. Explicit regeneration reruns prerequisite analysis, candidate generation, feature construction, inference, and path ordering. The previous row becomes SUPERSEDED, the new version becomes ACTIVE, and a structured comparison records whether Learn Next changed and why.</w:t>
      </w:r>
    </w:p>
    <w:p>
      <w:pPr>
        <w:keepLines w:val="0"/>
        <w:spacing w:line="240" w:lineRule="auto" w:after="44"/>
        <w:ind w:firstLine="216"/>
        <w:jc w:val="both"/>
      </w:pPr>
      <w:r>
        <w:rPr>
          <w:rFonts w:ascii="Times New Roman" w:hAnsi="Times New Roman" w:eastAsia="Times New Roman"/>
          <w:color w:val="000000"/>
          <w:sz w:val="19"/>
        </w:rPr>
        <w:t>This lifecycle makes the adaptive claim observable: assessment changed knowledge, the changed state invalidated an earlier recommendation, and regeneration either changed the next skill or retained it with updated evidence. Recommendation acceptance, lesson completion, and later assessment are linked to the frozen path version for observational evaluation.</w:t>
      </w:r>
    </w:p>
    <w:p>
      <w:pPr>
        <w:pStyle w:val="Heading1"/>
        <w:keepNext/>
        <w:ind w:firstLine="0"/>
      </w:pPr>
      <w:r>
        <w:rPr>
          <w:rFonts w:ascii="Times New Roman" w:hAnsi="Times New Roman" w:eastAsia="Times New Roman"/>
          <w:i w:val="0"/>
          <w:caps/>
          <w:color w:val="000000"/>
          <w:sz w:val="20"/>
        </w:rPr>
        <w:t>IX EVALUATION</w:t>
      </w:r>
    </w:p>
    <w:p>
      <w:pPr>
        <w:pStyle w:val="Heading2"/>
        <w:keepNext/>
        <w:ind w:firstLine="0"/>
      </w:pPr>
      <w:r>
        <w:rPr>
          <w:rFonts w:ascii="Times New Roman" w:hAnsi="Times New Roman" w:eastAsia="Times New Roman"/>
          <w:i/>
          <w:color w:val="000000"/>
          <w:sz w:val="19"/>
        </w:rPr>
        <w:t>A Offline Model Results</w:t>
      </w:r>
    </w:p>
    <w:p>
      <w:pPr>
        <w:keepNext/>
        <w:spacing w:before="60" w:after="20"/>
        <w:ind w:firstLine="0"/>
        <w:jc w:val="center"/>
      </w:pPr>
      <w:r>
        <w:drawing>
          <wp:inline xmlns:a="http://schemas.openxmlformats.org/drawingml/2006/main" xmlns:pic="http://schemas.openxmlformats.org/drawingml/2006/picture">
            <wp:extent cx="2852928" cy="2998486"/>
            <wp:docPr id="10" name="Picture 10" descr="Fig. 4. Held-out metrics from 150 synthetic test learners and 3,000 candidate rows." title="Fig. 4. Held-out metrics from 150 synthetic test learners and 3,000 candidate rows."/>
            <wp:cNvGraphicFramePr>
              <a:graphicFrameLocks noChangeAspect="1"/>
            </wp:cNvGraphicFramePr>
            <a:graphic>
              <a:graphicData uri="http://schemas.openxmlformats.org/drawingml/2006/picture">
                <pic:pic>
                  <pic:nvPicPr>
                    <pic:cNvPr id="0" name="model-metrics.png"/>
                    <pic:cNvPicPr/>
                  </pic:nvPicPr>
                  <pic:blipFill>
                    <a:blip r:embed="rId18"/>
                    <a:stretch>
                      <a:fillRect/>
                    </a:stretch>
                  </pic:blipFill>
                  <pic:spPr>
                    <a:xfrm>
                      <a:off x="0" y="0"/>
                      <a:ext cx="2852928" cy="2998486"/>
                    </a:xfrm>
                    <a:prstGeom prst="rect"/>
                  </pic:spPr>
                </pic:pic>
              </a:graphicData>
            </a:graphic>
          </wp:inline>
        </w:drawing>
      </w:r>
    </w:p>
    <w:p>
      <w:pPr>
        <w:pStyle w:val="Caption"/>
      </w:pPr>
      <w:r>
        <w:rPr>
          <w:rFonts w:ascii="Times New Roman" w:hAnsi="Times New Roman" w:eastAsia="Times New Roman"/>
          <w:color w:val="000000"/>
          <w:sz w:val="16"/>
        </w:rPr>
        <w:t>Fig. 4. Held-out metrics from 150 synthetic test learners and 3,000 candidate rows.</w:t>
      </w:r>
    </w:p>
    <w:p>
      <w:pPr>
        <w:pStyle w:val="Caption"/>
        <w:keepNext/>
      </w:pPr>
      <w:r>
        <w:rPr>
          <w:rFonts w:ascii="Times New Roman" w:hAnsi="Times New Roman" w:eastAsia="Times New Roman"/>
          <w:b/>
          <w:color w:val="000000"/>
          <w:sz w:val="16"/>
        </w:rPr>
        <w:t>TABLE III  HELD OUT TEST METRICS</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1872"/>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Method</w:t>
            </w:r>
          </w:p>
        </w:tc>
        <w:tc>
          <w:tcPr>
            <w:tcW w:type="dxa" w:w="864"/>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AUC</w:t>
            </w:r>
          </w:p>
        </w:tc>
        <w:tc>
          <w:tcPr>
            <w:tcW w:type="dxa" w:w="950"/>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P at 5</w:t>
            </w:r>
          </w:p>
        </w:tc>
        <w:tc>
          <w:tcPr>
            <w:tcW w:type="dxa" w:w="1008"/>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NDCG at 5</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Random Forest</w:t>
            </w:r>
          </w:p>
        </w:tc>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0.801</w:t>
            </w:r>
          </w:p>
        </w:tc>
        <w:tc>
          <w:tcPr>
            <w:tcW w:type="dxa" w:w="950"/>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0.525</w:t>
            </w:r>
          </w:p>
        </w:tc>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0.578</w:t>
            </w:r>
          </w:p>
        </w:tc>
      </w:tr>
      <w:tr>
        <w:tc>
          <w:tcPr>
            <w:tcW w:type="dxa" w:w="1872"/>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Gradient Boosting</w:t>
            </w:r>
          </w:p>
        </w:tc>
        <w:tc>
          <w:tcPr>
            <w:tcW w:type="dxa" w:w="864"/>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0.804</w:t>
            </w:r>
          </w:p>
        </w:tc>
        <w:tc>
          <w:tcPr>
            <w:tcW w:type="dxa" w:w="950"/>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0.521</w:t>
            </w:r>
          </w:p>
        </w:tc>
        <w:tc>
          <w:tcPr>
            <w:tcW w:type="dxa" w:w="1008"/>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0.590</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Logistic Regression</w:t>
            </w:r>
          </w:p>
        </w:tc>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0.802</w:t>
            </w:r>
          </w:p>
        </w:tc>
        <w:tc>
          <w:tcPr>
            <w:tcW w:type="dxa" w:w="950"/>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0.513</w:t>
            </w:r>
          </w:p>
        </w:tc>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0.580</w:t>
            </w:r>
          </w:p>
        </w:tc>
      </w:tr>
      <w:tr>
        <w:tc>
          <w:tcPr>
            <w:tcW w:type="dxa" w:w="1872"/>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Highest Skill Gap</w:t>
            </w:r>
          </w:p>
        </w:tc>
        <w:tc>
          <w:tcPr>
            <w:tcW w:type="dxa" w:w="864"/>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0.731</w:t>
            </w:r>
          </w:p>
        </w:tc>
        <w:tc>
          <w:tcPr>
            <w:tcW w:type="dxa" w:w="950"/>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0.511</w:t>
            </w:r>
          </w:p>
        </w:tc>
        <w:tc>
          <w:tcPr>
            <w:tcW w:type="dxa" w:w="1008"/>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0.581</w:t>
            </w:r>
          </w:p>
        </w:tc>
      </w:tr>
      <w:tr>
        <w:tc>
          <w:tcPr>
            <w:tcW w:type="dxa" w:w="1872"/>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Popularity</w:t>
            </w:r>
          </w:p>
        </w:tc>
        <w:tc>
          <w:tcPr>
            <w:tcW w:type="dxa" w:w="864"/>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0.440</w:t>
            </w:r>
          </w:p>
        </w:tc>
        <w:tc>
          <w:tcPr>
            <w:tcW w:type="dxa" w:w="950"/>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0.284</w:t>
            </w:r>
          </w:p>
        </w:tc>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0.272</w:t>
            </w:r>
          </w:p>
        </w:tc>
      </w:tr>
    </w:tbl>
    <w:p>
      <w:pPr>
        <w:spacing w:after="20"/>
        <w:ind w:firstLine="0"/>
      </w:pPr>
    </w:p>
    <w:p>
      <w:pPr>
        <w:keepLines w:val="0"/>
        <w:spacing w:line="240" w:lineRule="auto" w:after="44"/>
        <w:ind w:firstLine="216"/>
        <w:jc w:val="both"/>
      </w:pPr>
      <w:r>
        <w:rPr>
          <w:rFonts w:ascii="Times New Roman" w:hAnsi="Times New Roman" w:eastAsia="Times New Roman"/>
          <w:color w:val="000000"/>
          <w:sz w:val="19"/>
        </w:rPr>
        <w:t>Random Forest was selected before opening the test set because it had the highest validation NDCG at 5, 0.581. On test, it achieved accuracy 0.717, F1 0.655, ROC-AUC 0.801, Precision at 5 of 0.525, and NDCG at 5 of 0.578. Its ROC-AUC exceeded the strongest deterministic baseline by 0.071, and Precision at 5 exceeded it by 0.015. However, test NDCG at 5 was 0.003 below the highest-skill-gap baseline and 0.011 below Gradient Boosting. This is evidence of predictive signal, not evidence that Random Forest is uniformly superior.</w:t>
      </w:r>
    </w:p>
    <w:p>
      <w:pPr>
        <w:keepLines w:val="0"/>
        <w:spacing w:line="240" w:lineRule="auto" w:after="44"/>
        <w:ind w:firstLine="216"/>
        <w:jc w:val="both"/>
      </w:pPr>
      <w:r>
        <w:rPr>
          <w:rFonts w:ascii="Times New Roman" w:hAnsi="Times New Roman" w:eastAsia="Times New Roman"/>
          <w:color w:val="000000"/>
          <w:sz w:val="19"/>
        </w:rPr>
        <w:t>The most important Random Forest features were recent score 0.105, current mastery 0.074, mastery gap 0.073, skill average score 0.069, historical feedback 0.064, and score trend 0.052. These importances are global impurity-based summaries and should not be interpreted as causal effects or local explanations. A future real-data evaluation should add calibrated probabilities, confidence intervals, subgroup analysis, and local attributions such as SHAP [11].</w:t>
      </w:r>
    </w:p>
    <w:p>
      <w:pPr>
        <w:pStyle w:val="Heading2"/>
        <w:keepNext/>
        <w:ind w:firstLine="0"/>
      </w:pPr>
      <w:r>
        <w:rPr>
          <w:rFonts w:ascii="Times New Roman" w:hAnsi="Times New Roman" w:eastAsia="Times New Roman"/>
          <w:i/>
          <w:color w:val="000000"/>
          <w:sz w:val="19"/>
        </w:rPr>
        <w:t>B Diagnostic Demonstration</w:t>
      </w:r>
    </w:p>
    <w:p>
      <w:pPr>
        <w:keepLines w:val="0"/>
        <w:spacing w:line="240" w:lineRule="auto" w:after="44"/>
        <w:ind w:firstLine="216"/>
        <w:jc w:val="both"/>
      </w:pPr>
      <w:r>
        <w:rPr>
          <w:rFonts w:ascii="Times New Roman" w:hAnsi="Times New Roman" w:eastAsia="Times New Roman"/>
          <w:color w:val="000000"/>
          <w:sz w:val="19"/>
        </w:rPr>
        <w:t>Seeded learner profiles exercise clear, uncertain, and contradictory evidence. In a database audit of six completed diagnostic attempts, three stopped at 13 questions, while the remaining attempts stopped at 16, 17, and the 28-question maximum. The audit contained 100 answer-level evidence records with stored evidence strengths and state changes, 20 misconception events, and 100 question-selection decision records. These counts show that the stopping policy and audit trail execute at different lengths; they do not measure diagnostic validity.</w:t>
      </w:r>
    </w:p>
    <w:p>
      <w:pPr>
        <w:pStyle w:val="Heading2"/>
        <w:keepNext/>
        <w:ind w:firstLine="0"/>
      </w:pPr>
      <w:r>
        <w:rPr>
          <w:rFonts w:ascii="Times New Roman" w:hAnsi="Times New Roman" w:eastAsia="Times New Roman"/>
          <w:i/>
          <w:color w:val="000000"/>
          <w:sz w:val="19"/>
        </w:rPr>
        <w:t>C Functional Verification</w:t>
      </w:r>
    </w:p>
    <w:p>
      <w:pPr>
        <w:keepLines w:val="0"/>
        <w:spacing w:line="240" w:lineRule="auto" w:after="44"/>
        <w:ind w:firstLine="216"/>
        <w:jc w:val="both"/>
      </w:pPr>
      <w:r>
        <w:rPr>
          <w:rFonts w:ascii="Times New Roman" w:hAnsi="Times New Roman" w:eastAsia="Times New Roman"/>
          <w:color w:val="000000"/>
          <w:sz w:val="19"/>
        </w:rPr>
        <w:t>The current source tree was rechecked for this manuscript on 5 September 2026. The API unit suite passed 107 tests in 26 files, and the web suite passed 41 tests in 20 files. The Python service collected and passed 37 tests across feature engineering, graph analytics, health, inference, synthetic generation, and training. A prior database-connected completion audit on 1 September 2026 recorded 17 PostgreSQL integration tests, complete content coverage for 36 of 36 active skills, and browser demonstrations across five learner profiles. The present shell could not rerun the database content gate because its default database credentials did not match the already running local service; the paper therefore treats the earlier database audit as historical evidence rather than a fresh measurement.</w:t>
      </w:r>
    </w:p>
    <w:p>
      <w:pPr>
        <w:pStyle w:val="Caption"/>
        <w:keepNext/>
      </w:pPr>
      <w:r>
        <w:rPr>
          <w:rFonts w:ascii="Times New Roman" w:hAnsi="Times New Roman" w:eastAsia="Times New Roman"/>
          <w:b/>
          <w:color w:val="000000"/>
          <w:sz w:val="16"/>
        </w:rPr>
        <w:t>TABLE IV  VERIFICATION EVIDENCE</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469"/>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Evidence</w:t>
            </w:r>
          </w:p>
        </w:tc>
        <w:tc>
          <w:tcPr>
            <w:tcW w:type="dxa" w:w="1195"/>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Result</w:t>
            </w:r>
          </w:p>
        </w:tc>
        <w:tc>
          <w:tcPr>
            <w:tcW w:type="dxa" w:w="2016"/>
            <w:shd w:fill="17365D"/>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b/>
                <w:color w:val="FFFFFF"/>
                <w:sz w:val="13"/>
              </w:rPr>
              <w:t>What it supports</w:t>
            </w:r>
          </w:p>
        </w:tc>
      </w:tr>
      <w:tr>
        <w:tc>
          <w:tcPr>
            <w:tcW w:type="dxa" w:w="1469"/>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API unit tests</w:t>
            </w:r>
          </w:p>
        </w:tc>
        <w:tc>
          <w:tcPr>
            <w:tcW w:type="dxa" w:w="1195"/>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107 passed</w:t>
            </w:r>
          </w:p>
        </w:tc>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Decision services and routes</w:t>
            </w:r>
          </w:p>
        </w:tc>
      </w:tr>
      <w:tr>
        <w:tc>
          <w:tcPr>
            <w:tcW w:type="dxa" w:w="1469"/>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Web tests</w:t>
            </w:r>
          </w:p>
        </w:tc>
        <w:tc>
          <w:tcPr>
            <w:tcW w:type="dxa" w:w="1195"/>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41 passed</w:t>
            </w:r>
          </w:p>
        </w:tc>
        <w:tc>
          <w:tcPr>
            <w:tcW w:type="dxa" w:w="2016"/>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Client data and core components</w:t>
            </w:r>
          </w:p>
        </w:tc>
      </w:tr>
      <w:tr>
        <w:tc>
          <w:tcPr>
            <w:tcW w:type="dxa" w:w="1469"/>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Python tests</w:t>
            </w:r>
          </w:p>
        </w:tc>
        <w:tc>
          <w:tcPr>
            <w:tcW w:type="dxa" w:w="1195"/>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37 passed</w:t>
            </w:r>
          </w:p>
        </w:tc>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Graph model and data contracts</w:t>
            </w:r>
          </w:p>
        </w:tc>
      </w:tr>
      <w:tr>
        <w:tc>
          <w:tcPr>
            <w:tcW w:type="dxa" w:w="1469"/>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PostgreSQL integration</w:t>
            </w:r>
          </w:p>
        </w:tc>
        <w:tc>
          <w:tcPr>
            <w:tcW w:type="dxa" w:w="1195"/>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17 passed in prior audit</w:t>
            </w:r>
          </w:p>
        </w:tc>
        <w:tc>
          <w:tcPr>
            <w:tcW w:type="dxa" w:w="2016"/>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Transactional cross module behavior</w:t>
            </w:r>
          </w:p>
        </w:tc>
      </w:tr>
      <w:tr>
        <w:tc>
          <w:tcPr>
            <w:tcW w:type="dxa" w:w="1469"/>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Content coverage</w:t>
            </w:r>
          </w:p>
        </w:tc>
        <w:tc>
          <w:tcPr>
            <w:tcW w:type="dxa" w:w="1195"/>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36 of 36 in prior audit</w:t>
            </w:r>
          </w:p>
        </w:tc>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Complete learn practice assess loop</w:t>
            </w:r>
          </w:p>
        </w:tc>
      </w:tr>
      <w:tr>
        <w:tc>
          <w:tcPr>
            <w:tcW w:type="dxa" w:w="1469"/>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left"/>
            </w:pPr>
            <w:r/>
            <w:r>
              <w:rPr>
                <w:rFonts w:ascii="Times New Roman" w:hAnsi="Times New Roman" w:eastAsia="Times New Roman"/>
                <w:color w:val="000000"/>
                <w:sz w:val="13"/>
              </w:rPr>
              <w:t>Demo profiles</w:t>
            </w:r>
          </w:p>
        </w:tc>
        <w:tc>
          <w:tcPr>
            <w:tcW w:type="dxa" w:w="1195"/>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5 in prior audit</w:t>
            </w:r>
          </w:p>
        </w:tc>
        <w:tc>
          <w:tcPr>
            <w:tcW w:type="dxa" w:w="2016"/>
            <w:shd w:fill="F5F6F8"/>
            <w:tcBorders>
              <w:top w:val="single" w:sz="4" w:color="D9D9D9"/>
              <w:left w:val="single" w:sz="4" w:color="D9D9D9"/>
              <w:bottom w:val="single" w:sz="4" w:color="D9D9D9"/>
              <w:right w:val="single" w:sz="4" w:color="D9D9D9"/>
              <w:insideH w:val="single" w:sz="4" w:color="D9D9D9"/>
              <w:insideV w:val="single" w:sz="4" w:color="D9D9D9"/>
            </w:tcBorders>
            <w:tcMar>
              <w:top w:w="55" w:type="dxa"/>
              <w:start w:w="65" w:type="dxa"/>
              <w:bottom w:w="55" w:type="dxa"/>
              <w:end w:w="65" w:type="dxa"/>
            </w:tcMar>
            <w:vAlign w:val="center"/>
          </w:tcPr>
          <w:p>
            <w:pPr>
              <w:spacing w:after="0"/>
              <w:ind w:firstLine="0"/>
              <w:jc w:val="center"/>
            </w:pPr>
            <w:r/>
            <w:r>
              <w:rPr>
                <w:rFonts w:ascii="Times New Roman" w:hAnsi="Times New Roman" w:eastAsia="Times New Roman"/>
                <w:color w:val="000000"/>
                <w:sz w:val="13"/>
              </w:rPr>
              <w:t>Distinct learner journeys</w:t>
            </w:r>
          </w:p>
        </w:tc>
      </w:tr>
    </w:tbl>
    <w:p>
      <w:pPr>
        <w:spacing w:after="20"/>
        <w:ind w:firstLine="0"/>
      </w:pPr>
    </w:p>
    <w:p>
      <w:pPr>
        <w:pStyle w:val="Heading2"/>
        <w:keepNext/>
        <w:ind w:firstLine="0"/>
      </w:pPr>
      <w:r>
        <w:rPr>
          <w:rFonts w:ascii="Times New Roman" w:hAnsi="Times New Roman" w:eastAsia="Times New Roman"/>
          <w:i/>
          <w:color w:val="000000"/>
          <w:sz w:val="19"/>
        </w:rPr>
        <w:t>D Demonstrated Cross Course Behavior</w:t>
      </w:r>
    </w:p>
    <w:p>
      <w:pPr>
        <w:keepLines w:val="0"/>
        <w:spacing w:line="240" w:lineRule="auto" w:after="44"/>
        <w:ind w:firstLine="216"/>
        <w:jc w:val="both"/>
      </w:pPr>
      <w:r>
        <w:rPr>
          <w:rFonts w:ascii="Times New Roman" w:hAnsi="Times New Roman" w:eastAsia="Times New Roman"/>
          <w:color w:val="000000"/>
          <w:sz w:val="19"/>
        </w:rPr>
        <w:t>The seeded profiles include a new learner with no evidence, an enrolled learner before diagnosis, a developing learner whose assessed performance makes a path stale, a cross-course learner with retention needs, and an advanced learner whose shared foundations are recognized while a specific sorting gap remains. These profiles demonstrate state transitions and knowledge reuse without presenting synthetic profiles as research participants.</w:t>
      </w:r>
    </w:p>
    <w:p>
      <w:pPr>
        <w:pStyle w:val="Heading1"/>
        <w:keepNext/>
        <w:ind w:firstLine="0"/>
      </w:pPr>
      <w:r>
        <w:rPr>
          <w:rFonts w:ascii="Times New Roman" w:hAnsi="Times New Roman" w:eastAsia="Times New Roman"/>
          <w:i w:val="0"/>
          <w:caps/>
          <w:color w:val="000000"/>
          <w:sz w:val="20"/>
        </w:rPr>
        <w:t>X TRUSTWORTHINESS AND LIMITATIONS</w:t>
      </w:r>
    </w:p>
    <w:p>
      <w:pPr>
        <w:pStyle w:val="Heading2"/>
        <w:keepNext/>
        <w:ind w:firstLine="0"/>
      </w:pPr>
      <w:r>
        <w:rPr>
          <w:rFonts w:ascii="Times New Roman" w:hAnsi="Times New Roman" w:eastAsia="Times New Roman"/>
          <w:i/>
          <w:color w:val="000000"/>
          <w:sz w:val="19"/>
        </w:rPr>
        <w:t>A Trust Mechanisms</w:t>
      </w:r>
    </w:p>
    <w:p>
      <w:pPr>
        <w:keepLines w:val="0"/>
        <w:spacing w:line="240" w:lineRule="auto" w:after="44"/>
        <w:ind w:firstLine="216"/>
        <w:jc w:val="both"/>
      </w:pPr>
      <w:r>
        <w:rPr>
          <w:rFonts w:ascii="Times New Roman" w:hAnsi="Times New Roman" w:eastAsia="Times New Roman"/>
          <w:color w:val="000000"/>
          <w:sz w:val="19"/>
        </w:rPr>
        <w:t>LearnPath does not ask reviewers to trust a single model score. Trust comes from layered controls. Required prerequisites are deterministic and checked before inference. Unknown knowledge cannot satisfy a gate. Mastery is separated from confidence and course completion. Evidence is append-only, and each path stores its data and model context. Checksums and schema versions prevent silent model or feature drift. Failure modes are explicit, and small-sample governance withholds rates, calibration, drift conclusions, and retraining readiness until documented evidence thresholds are met.</w:t>
      </w:r>
    </w:p>
    <w:p>
      <w:pPr>
        <w:keepLines w:val="0"/>
        <w:spacing w:line="240" w:lineRule="auto" w:after="44"/>
        <w:ind w:firstLine="216"/>
        <w:jc w:val="both"/>
      </w:pPr>
      <w:r>
        <w:rPr>
          <w:rFonts w:ascii="Times New Roman" w:hAnsi="Times New Roman" w:eastAsia="Times New Roman"/>
          <w:color w:val="000000"/>
          <w:sz w:val="19"/>
        </w:rPr>
        <w:t>Explanations are also separated by audience. Learners see a concise reason tied to mastery gap, prerequisite readiness, retention, and predicted benefit. Reviewers can inspect graph metrics, feature and model versions, decision-time snapshots, path history, and answer-level diagnostic selection records. This design follows the broader requirement that predictive systems make their basis inspectable [11] while avoiding the false precision of claiming a causal explanation from feature importance.</w:t>
      </w:r>
    </w:p>
    <w:p>
      <w:pPr>
        <w:pStyle w:val="Heading2"/>
        <w:keepNext/>
        <w:ind w:firstLine="0"/>
      </w:pPr>
      <w:r>
        <w:rPr>
          <w:rFonts w:ascii="Times New Roman" w:hAnsi="Times New Roman" w:eastAsia="Times New Roman"/>
          <w:i/>
          <w:color w:val="000000"/>
          <w:sz w:val="19"/>
        </w:rPr>
        <w:t>B Threats to Validity</w:t>
      </w:r>
    </w:p>
    <w:p>
      <w:pPr>
        <w:keepLines w:val="0"/>
        <w:spacing w:line="240" w:lineRule="auto" w:after="44"/>
        <w:ind w:firstLine="216"/>
        <w:jc w:val="both"/>
      </w:pPr>
      <w:r>
        <w:rPr>
          <w:rFonts w:ascii="Times New Roman" w:hAnsi="Times New Roman" w:eastAsia="Times New Roman"/>
          <w:color w:val="000000"/>
          <w:sz w:val="19"/>
        </w:rPr>
        <w:t>The strongest limitation is external validity. The ranking model was trained and tested on a simulator whose label is a deterministic formula chosen by the project. Performance therefore measures recovery of simulated benefit structure, not learner achievement in a real population. Public educational datasets such as EdNet contain large interaction histories [12], but their curricula and event semantics do not directly match LearnPath's prerequisite graph and benefit definition. Transfer evaluation would require a careful mapping rather than treating their logs as interchangeable.</w:t>
      </w:r>
    </w:p>
    <w:p>
      <w:pPr>
        <w:keepLines w:val="0"/>
        <w:spacing w:line="240" w:lineRule="auto" w:after="44"/>
        <w:ind w:firstLine="216"/>
        <w:jc w:val="both"/>
      </w:pPr>
      <w:r>
        <w:rPr>
          <w:rFonts w:ascii="Times New Roman" w:hAnsi="Times New Roman" w:eastAsia="Times New Roman"/>
          <w:color w:val="000000"/>
          <w:sz w:val="19"/>
        </w:rPr>
        <w:t>Diagnostic thresholds, item metadata, evidence weights, and retention decay are policy parameters. They are transparent and tested but not calibrated against standardized assessments. The graph contains 36 active skills and expert-authored edges in a compact computing curriculum; missing or incorrect prerequisites can block or misorder paths. The one-number mastery state also cannot represent every misconception or context-dependent performance.</w:t>
      </w:r>
    </w:p>
    <w:p>
      <w:pPr>
        <w:keepLines w:val="0"/>
        <w:spacing w:line="240" w:lineRule="auto" w:after="44"/>
        <w:ind w:firstLine="216"/>
        <w:jc w:val="both"/>
      </w:pPr>
      <w:r>
        <w:rPr>
          <w:rFonts w:ascii="Times New Roman" w:hAnsi="Times New Roman" w:eastAsia="Times New Roman"/>
          <w:color w:val="000000"/>
          <w:sz w:val="19"/>
        </w:rPr>
        <w:t>The offline test contains only 150 synthetic learners. The difference between Random Forest and the skill-gap baseline on NDCG at 5 is small and unfavorable on test, so model promotion should remain conditional. The system does not automatically retrain or promote a model. It also does not perform causal estimation; recommendation acceptance and later assessed gain are observational associations attached to immutable versions.</w:t>
      </w:r>
    </w:p>
    <w:p>
      <w:pPr>
        <w:pStyle w:val="Heading2"/>
        <w:keepNext/>
        <w:ind w:firstLine="0"/>
      </w:pPr>
      <w:r>
        <w:rPr>
          <w:rFonts w:ascii="Times New Roman" w:hAnsi="Times New Roman" w:eastAsia="Times New Roman"/>
          <w:i/>
          <w:color w:val="000000"/>
          <w:sz w:val="19"/>
        </w:rPr>
        <w:t>C Required Real World Study</w:t>
      </w:r>
    </w:p>
    <w:p>
      <w:pPr>
        <w:keepLines w:val="0"/>
        <w:spacing w:line="240" w:lineRule="auto" w:after="44"/>
        <w:ind w:firstLine="216"/>
        <w:jc w:val="both"/>
      </w:pPr>
      <w:r>
        <w:rPr>
          <w:rFonts w:ascii="Times New Roman" w:hAnsi="Times New Roman" w:eastAsia="Times New Roman"/>
          <w:color w:val="000000"/>
          <w:sz w:val="19"/>
        </w:rPr>
        <w:t>A credible next study should enroll representative learners, obtain consent, pre-register outcomes, and compare at least the checked Random Forest policy, the highest-skill-gap baseline, and a dependency-valid nonpersonalized path. Primary outcomes should include post-assessment gain and delayed retention. Secondary outcomes should include time to mastery, path acceptance, diagnostic length, and learner-reported clarity. Learners must remain grouped across train, validation, and test, and analysis should report calibration and subgroup performance. A randomized or carefully controlled design is needed before attributing gains to the recommender.</w:t>
      </w:r>
    </w:p>
    <w:p>
      <w:pPr>
        <w:pStyle w:val="Heading1"/>
        <w:keepNext/>
        <w:ind w:firstLine="0"/>
      </w:pPr>
      <w:r>
        <w:rPr>
          <w:rFonts w:ascii="Times New Roman" w:hAnsi="Times New Roman" w:eastAsia="Times New Roman"/>
          <w:i w:val="0"/>
          <w:caps/>
          <w:color w:val="000000"/>
          <w:sz w:val="20"/>
        </w:rPr>
        <w:t>XI CONCLUSION</w:t>
      </w:r>
    </w:p>
    <w:p>
      <w:pPr>
        <w:keepLines w:val="0"/>
        <w:spacing w:line="240" w:lineRule="auto" w:after="44"/>
        <w:ind w:firstLine="216"/>
        <w:jc w:val="both"/>
      </w:pPr>
      <w:r>
        <w:rPr>
          <w:rFonts w:ascii="Times New Roman" w:hAnsi="Times New Roman" w:eastAsia="Times New Roman"/>
          <w:color w:val="000000"/>
          <w:sz w:val="19"/>
        </w:rPr>
        <w:t>LearnPath implements the complete adaptive loop from learner evidence to dynamic path regeneration. Its central design choice is to use the right form of reasoning at each boundary: immutable evidence for audit, global skill state for cross-course reuse, deterministic graph gates for educational safety, NetworkX for structural leverage, Random Forest inference for benefit ranking, and versioned paths for visible adaptation.</w:t>
      </w:r>
    </w:p>
    <w:p>
      <w:pPr>
        <w:keepLines w:val="0"/>
        <w:spacing w:line="240" w:lineRule="auto" w:after="44"/>
        <w:ind w:firstLine="216"/>
        <w:jc w:val="both"/>
      </w:pPr>
      <w:r>
        <w:rPr>
          <w:rFonts w:ascii="Times New Roman" w:hAnsi="Times New Roman" w:eastAsia="Times New Roman"/>
          <w:color w:val="000000"/>
          <w:sz w:val="19"/>
        </w:rPr>
        <w:t>The prototype is technically complete enough to demonstrate diagnosis, skill gaps, prerequisite explanations, retention review, multiple enrollments, machine-learning ranking, and before-and-after path changes using real backend data. The measured evaluation also shows why caution is necessary. The selected model has useful discrimination, but it does not beat the strongest baseline on every ranking metric, and all training outcomes are synthetic. The defensible contribution is an auditable, dependency-safe architecture and a clear experimental plan for replacing engineering priors with calibrated evidence from real learners.</w:t>
      </w:r>
    </w:p>
    <w:p>
      <w:pPr>
        <w:pStyle w:val="Heading1"/>
        <w:keepNext/>
        <w:ind w:firstLine="0"/>
      </w:pPr>
      <w:r>
        <w:rPr>
          <w:rFonts w:ascii="Times New Roman" w:hAnsi="Times New Roman" w:eastAsia="Times New Roman"/>
          <w:i w:val="0"/>
          <w:caps/>
          <w:color w:val="000000"/>
          <w:sz w:val="20"/>
        </w:rPr>
        <w:t>REFERENCES</w:t>
      </w:r>
    </w:p>
    <w:p>
      <w:pPr>
        <w:spacing w:after="30" w:line="240" w:lineRule="auto"/>
        <w:ind w:left="274" w:hanging="274"/>
      </w:pPr>
      <w:r>
        <w:rPr>
          <w:rFonts w:ascii="Times New Roman" w:hAnsi="Times New Roman" w:eastAsia="Times New Roman"/>
          <w:color w:val="000000"/>
          <w:sz w:val="16"/>
        </w:rPr>
        <w:t xml:space="preserve">[1] </w:t>
      </w:r>
      <w:r>
        <w:rPr>
          <w:rFonts w:ascii="Times New Roman" w:hAnsi="Times New Roman" w:eastAsia="Times New Roman"/>
          <w:color w:val="000000"/>
          <w:sz w:val="16"/>
        </w:rPr>
        <w:t>A. T. Corbett and J. R. Anderson, "Knowledge tracing: Modeling the acquisition of procedural knowledge," User Modeling and User-Adapted Interaction, vol. 4, no. 4, pp. 253-278, 1995, doi: 10.1007/BF01099821.</w:t>
      </w:r>
    </w:p>
    <w:p>
      <w:pPr>
        <w:spacing w:after="30" w:line="240" w:lineRule="auto"/>
        <w:ind w:left="274" w:hanging="274"/>
      </w:pPr>
      <w:r>
        <w:rPr>
          <w:rFonts w:ascii="Times New Roman" w:hAnsi="Times New Roman" w:eastAsia="Times New Roman"/>
          <w:color w:val="000000"/>
          <w:sz w:val="16"/>
        </w:rPr>
        <w:t xml:space="preserve">[2] </w:t>
      </w:r>
      <w:r>
        <w:rPr>
          <w:rFonts w:ascii="Times New Roman" w:hAnsi="Times New Roman" w:eastAsia="Times New Roman"/>
          <w:color w:val="000000"/>
          <w:sz w:val="16"/>
        </w:rPr>
        <w:t>P. I. Pavlik Jr., H. Cen, and K. R. Koedinger, "Performance Factors Analysis: A new alternative to knowledge tracing," in Proc. 14th Int. Conf. Artificial Intelligence in Education, Brighton, U.K., 2009, pp. 531-538.</w:t>
      </w:r>
    </w:p>
    <w:p>
      <w:pPr>
        <w:spacing w:after="30" w:line="240" w:lineRule="auto"/>
        <w:ind w:left="274" w:hanging="274"/>
      </w:pPr>
      <w:r>
        <w:rPr>
          <w:rFonts w:ascii="Times New Roman" w:hAnsi="Times New Roman" w:eastAsia="Times New Roman"/>
          <w:color w:val="000000"/>
          <w:sz w:val="16"/>
        </w:rPr>
        <w:t xml:space="preserve">[3] </w:t>
      </w:r>
      <w:r>
        <w:rPr>
          <w:rFonts w:ascii="Times New Roman" w:hAnsi="Times New Roman" w:eastAsia="Times New Roman"/>
          <w:color w:val="000000"/>
          <w:sz w:val="16"/>
        </w:rPr>
        <w:t>C. Piech et al., "Deep knowledge tracing," in Advances in Neural Information Processing Systems 28, 2015, pp. 505-513.</w:t>
      </w:r>
    </w:p>
    <w:p>
      <w:pPr>
        <w:spacing w:after="30" w:line="240" w:lineRule="auto"/>
        <w:ind w:left="274" w:hanging="274"/>
      </w:pPr>
      <w:r>
        <w:rPr>
          <w:rFonts w:ascii="Times New Roman" w:hAnsi="Times New Roman" w:eastAsia="Times New Roman"/>
          <w:color w:val="000000"/>
          <w:sz w:val="16"/>
        </w:rPr>
        <w:t xml:space="preserve">[4] </w:t>
      </w:r>
      <w:r>
        <w:rPr>
          <w:rFonts w:ascii="Times New Roman" w:hAnsi="Times New Roman" w:eastAsia="Times New Roman"/>
          <w:color w:val="000000"/>
          <w:sz w:val="16"/>
        </w:rPr>
        <w:t>H. H. Chang and Z. Ying, "A global information approach to computerized adaptive testing," Applied Psychological Measurement, vol. 20, no. 3, pp. 213-229, 1996, doi: 10.1177/014662169602000303.</w:t>
      </w:r>
    </w:p>
    <w:p>
      <w:pPr>
        <w:spacing w:after="30" w:line="240" w:lineRule="auto"/>
        <w:ind w:left="274" w:hanging="274"/>
      </w:pPr>
      <w:r>
        <w:rPr>
          <w:rFonts w:ascii="Times New Roman" w:hAnsi="Times New Roman" w:eastAsia="Times New Roman"/>
          <w:color w:val="000000"/>
          <w:sz w:val="16"/>
        </w:rPr>
        <w:t xml:space="preserve">[5] </w:t>
      </w:r>
      <w:r>
        <w:rPr>
          <w:rFonts w:ascii="Times New Roman" w:hAnsi="Times New Roman" w:eastAsia="Times New Roman"/>
          <w:color w:val="000000"/>
          <w:sz w:val="16"/>
        </w:rPr>
        <w:t>A. A. Hagberg, D. A. Schult, and P. J. Swart, "Exploring network structure, dynamics, and function using NetworkX," in Proc. 7th Python in Science Conf., Pasadena, CA, USA, 2008, pp. 11-16.</w:t>
      </w:r>
    </w:p>
    <w:p>
      <w:pPr>
        <w:spacing w:after="30" w:line="240" w:lineRule="auto"/>
        <w:ind w:left="274" w:hanging="274"/>
      </w:pPr>
      <w:r>
        <w:rPr>
          <w:rFonts w:ascii="Times New Roman" w:hAnsi="Times New Roman" w:eastAsia="Times New Roman"/>
          <w:color w:val="000000"/>
          <w:sz w:val="16"/>
        </w:rPr>
        <w:t xml:space="preserve">[6] </w:t>
      </w:r>
      <w:r>
        <w:rPr>
          <w:rFonts w:ascii="Times New Roman" w:hAnsi="Times New Roman" w:eastAsia="Times New Roman"/>
          <w:color w:val="000000"/>
          <w:sz w:val="16"/>
        </w:rPr>
        <w:t>C. Liang, J. Ye, Z. Wu, B. Pursel, and C. L. Giles, "Recovering concept prerequisite relations from university course dependencies," in Proc. 31st AAAI Conf. Artificial Intelligence, 2017, doi: 10.1609/aaai.v31i1.10550.</w:t>
      </w:r>
    </w:p>
    <w:p>
      <w:pPr>
        <w:spacing w:after="30" w:line="240" w:lineRule="auto"/>
        <w:ind w:left="274" w:hanging="274"/>
      </w:pPr>
      <w:r>
        <w:rPr>
          <w:rFonts w:ascii="Times New Roman" w:hAnsi="Times New Roman" w:eastAsia="Times New Roman"/>
          <w:color w:val="000000"/>
          <w:sz w:val="16"/>
        </w:rPr>
        <w:t xml:space="preserve">[7] </w:t>
      </w:r>
      <w:r>
        <w:rPr>
          <w:rFonts w:ascii="Times New Roman" w:hAnsi="Times New Roman" w:eastAsia="Times New Roman"/>
          <w:color w:val="000000"/>
          <w:sz w:val="16"/>
        </w:rPr>
        <w:t>H. Ngo, K. Vo, and T. Nguyen, "Personalized learning path recommendations: Fusing knowledge graph embedding, sequence mining, and collaborative filtering," in 2024 IEEE Int. Conf. Big Data, Washington, DC, USA, 2024, pp. 8145-8153, doi: 10.1109/BigData62323.2024.10825001.</w:t>
      </w:r>
    </w:p>
    <w:p>
      <w:pPr>
        <w:spacing w:after="30" w:line="240" w:lineRule="auto"/>
        <w:ind w:left="274" w:hanging="274"/>
      </w:pPr>
      <w:r>
        <w:rPr>
          <w:rFonts w:ascii="Times New Roman" w:hAnsi="Times New Roman" w:eastAsia="Times New Roman"/>
          <w:color w:val="000000"/>
          <w:sz w:val="16"/>
        </w:rPr>
        <w:t xml:space="preserve">[8] </w:t>
      </w:r>
      <w:r>
        <w:rPr>
          <w:rFonts w:ascii="Times New Roman" w:hAnsi="Times New Roman" w:eastAsia="Times New Roman"/>
          <w:color w:val="000000"/>
          <w:sz w:val="16"/>
        </w:rPr>
        <w:t>B. Settles and B. Meeder, "A trainable spaced repetition model for language learning," in Proc. 54th Annual Meeting of the Association for Computational Linguistics, Berlin, Germany, 2016, pp. 1848-1858, doi: 10.18653/v1/P16-1174.</w:t>
      </w:r>
    </w:p>
    <w:p>
      <w:pPr>
        <w:spacing w:after="30" w:line="240" w:lineRule="auto"/>
        <w:ind w:left="274" w:hanging="274"/>
      </w:pPr>
      <w:r>
        <w:rPr>
          <w:rFonts w:ascii="Times New Roman" w:hAnsi="Times New Roman" w:eastAsia="Times New Roman"/>
          <w:color w:val="000000"/>
          <w:sz w:val="16"/>
        </w:rPr>
        <w:t xml:space="preserve">[9] </w:t>
      </w:r>
      <w:r>
        <w:rPr>
          <w:rFonts w:ascii="Times New Roman" w:hAnsi="Times New Roman" w:eastAsia="Times New Roman"/>
          <w:color w:val="000000"/>
          <w:sz w:val="16"/>
        </w:rPr>
        <w:t>L. Breiman, "Random forests," Machine Learning, vol. 45, pp. 5-32, 2001, doi: 10.1023/A:1010933404324.</w:t>
      </w:r>
    </w:p>
    <w:p>
      <w:pPr>
        <w:spacing w:after="30" w:line="240" w:lineRule="auto"/>
        <w:ind w:left="274" w:hanging="274"/>
      </w:pPr>
      <w:r>
        <w:rPr>
          <w:rFonts w:ascii="Times New Roman" w:hAnsi="Times New Roman" w:eastAsia="Times New Roman"/>
          <w:color w:val="000000"/>
          <w:sz w:val="16"/>
        </w:rPr>
        <w:t xml:space="preserve">[10] </w:t>
      </w:r>
      <w:r>
        <w:rPr>
          <w:rFonts w:ascii="Times New Roman" w:hAnsi="Times New Roman" w:eastAsia="Times New Roman"/>
          <w:color w:val="000000"/>
          <w:sz w:val="16"/>
        </w:rPr>
        <w:t>K. Jarvelin and J. Kekalainen, "Cumulated gain-based evaluation of information retrieval techniques," ACM Trans. Information Systems, vol. 20, no. 4, pp. 422-446, 2002, doi: 10.1145/582415.582418.</w:t>
      </w:r>
    </w:p>
    <w:p>
      <w:pPr>
        <w:spacing w:after="30" w:line="240" w:lineRule="auto"/>
        <w:ind w:left="274" w:hanging="274"/>
      </w:pPr>
      <w:r>
        <w:rPr>
          <w:rFonts w:ascii="Times New Roman" w:hAnsi="Times New Roman" w:eastAsia="Times New Roman"/>
          <w:color w:val="000000"/>
          <w:sz w:val="16"/>
        </w:rPr>
        <w:t xml:space="preserve">[11] </w:t>
      </w:r>
      <w:r>
        <w:rPr>
          <w:rFonts w:ascii="Times New Roman" w:hAnsi="Times New Roman" w:eastAsia="Times New Roman"/>
          <w:color w:val="000000"/>
          <w:sz w:val="16"/>
        </w:rPr>
        <w:t>S. M. Lundberg and S. I. Lee, "A unified approach to interpreting model predictions," in Advances in Neural Information Processing Systems 30, 2017, pp. 4765-4774.</w:t>
      </w:r>
    </w:p>
    <w:p>
      <w:pPr>
        <w:spacing w:after="30" w:line="240" w:lineRule="auto"/>
        <w:ind w:left="274" w:hanging="274"/>
      </w:pPr>
      <w:r>
        <w:rPr>
          <w:rFonts w:ascii="Times New Roman" w:hAnsi="Times New Roman" w:eastAsia="Times New Roman"/>
          <w:color w:val="000000"/>
          <w:sz w:val="16"/>
        </w:rPr>
        <w:t xml:space="preserve">[12] </w:t>
      </w:r>
      <w:r>
        <w:rPr>
          <w:rFonts w:ascii="Times New Roman" w:hAnsi="Times New Roman" w:eastAsia="Times New Roman"/>
          <w:color w:val="000000"/>
          <w:sz w:val="16"/>
        </w:rPr>
        <w:t>Y. Choi et al., "EdNet: A large-scale hierarchical dataset in education," in Artificial Intelligence in Education, I. I. Bittencourt et al., Eds. Cham, Switzerland: Springer, 2020, pp. 69-73, doi: 10.1007/978-3-030-52237-7_6.</w:t>
      </w:r>
    </w:p>
    <w:p>
      <w:pPr>
        <w:spacing w:after="30" w:line="240" w:lineRule="auto"/>
        <w:ind w:left="274" w:hanging="274"/>
      </w:pPr>
      <w:r>
        <w:rPr>
          <w:rFonts w:ascii="Times New Roman" w:hAnsi="Times New Roman" w:eastAsia="Times New Roman"/>
          <w:color w:val="000000"/>
          <w:sz w:val="16"/>
        </w:rPr>
        <w:t xml:space="preserve">[13] </w:t>
      </w:r>
      <w:r>
        <w:rPr>
          <w:rFonts w:ascii="Times New Roman" w:hAnsi="Times New Roman" w:eastAsia="Times New Roman"/>
          <w:color w:val="000000"/>
          <w:sz w:val="16"/>
        </w:rPr>
        <w:t>M. Mitchell et al., "Model cards for model reporting," in Proc. Conf. Fairness, Accountability, and Transparency, Atlanta, GA, USA, 2019, pp. 220-229, doi: 10.1145/3287560.3287596.</w:t>
      </w:r>
    </w:p>
    <w:sectPr w:rsidR="00FC693F" w:rsidRPr="0006063C" w:rsidSect="00034616">
      <w:type w:val="continuous"/>
      <w:pgSz w:w="12240" w:h="15840"/>
      <w:pgMar w:top="893" w:right="965" w:bottom="965" w:left="965" w:header="288" w:footer="360" w:gutter="0"/>
      <w:cols w:space="30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4"/>
      <w:ind w:firstLine="216"/>
      <w:jc w:val="both"/>
    </w:pPr>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ind w:firstLine="0"/>
      <w:jc w:val="center"/>
      <w:outlineLvl w:val="0"/>
    </w:pPr>
    <w:rPr>
      <w:rFonts w:asciiTheme="majorHAnsi" w:eastAsiaTheme="majorEastAsia" w:hAnsiTheme="majorHAnsi" w:cstheme="majorBidi" w:ascii="Times New Roman" w:hAnsi="Times New Roman"/>
      <w:b w:val="0"/>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80" w:after="40"/>
      <w:ind w:firstLine="0"/>
      <w:jc w:val="left"/>
      <w:outlineLvl w:val="1"/>
    </w:pPr>
    <w:rPr>
      <w:rFonts w:asciiTheme="majorHAnsi" w:eastAsiaTheme="majorEastAsia" w:hAnsiTheme="majorHAnsi" w:cstheme="majorBidi" w:ascii="Times New Roman" w:hAnsi="Times New Roman"/>
      <w:b w:val="0"/>
      <w:bCs/>
      <w:i/>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ind w:firstLine="0"/>
      <w:contextualSpacing/>
      <w:jc w:val="center"/>
    </w:pPr>
    <w:rPr>
      <w:rFonts w:asciiTheme="majorHAnsi" w:eastAsiaTheme="majorEastAsia" w:hAnsiTheme="majorHAnsi" w:cstheme="majorBidi" w:ascii="Times New Roman" w:hAnsi="Times New Roman"/>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0" w:after="80"/>
      <w:ind w:firstLine="0"/>
      <w:jc w:val="center"/>
    </w:pPr>
    <w:rPr>
      <w:rFonts w:ascii="Times New Roman" w:hAnsi="Times New Roman"/>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LearnPath Evidence Driven Adaptive Learning with Knowledge Graph Constraints and Machine Learning</dc:title>
  <dc:subject>IEEE style research paper describing the LearnPath adaptive learning system</dc:subject>
  <dc:creator>LearnPath Project Team</dc:creator>
  <cp:keywords>adaptive learning, knowledge graph, diagnostic assessment, mastery, retention, machine learning</cp:keywords>
  <dc:description>Generated from the implemented LearnPath system and its measured verification artifacts</dc:description>
  <cp:lastModifiedBy/>
  <cp:revision>1</cp:revision>
  <dcterms:created xsi:type="dcterms:W3CDTF">2013-12-23T23:15:00Z</dcterms:created>
  <dcterms:modified xsi:type="dcterms:W3CDTF">2013-12-23T23:15:00Z</dcterms:modified>
  <cp:category/>
</cp:coreProperties>
</file>