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3F80" w14:textId="77777777" w:rsidR="00FF5BA3" w:rsidRPr="00FF5BA3" w:rsidRDefault="00FF5BA3" w:rsidP="00FF5BA3">
      <w:pPr>
        <w:rPr>
          <w:b/>
          <w:bCs/>
        </w:rPr>
      </w:pPr>
      <w:r w:rsidRPr="00FF5BA3">
        <w:rPr>
          <w:b/>
          <w:bCs/>
        </w:rPr>
        <w:t>1. Presentación de la aplicación</w:t>
      </w:r>
    </w:p>
    <w:p w14:paraId="0469BBD5" w14:textId="41916A95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 xml:space="preserve">Nombre de la aplicación y autoría: </w:t>
      </w:r>
      <w:r w:rsidRPr="00FF5BA3">
        <w:rPr>
          <w:sz w:val="20"/>
          <w:szCs w:val="20"/>
        </w:rPr>
        <w:t xml:space="preserve">La aplicación a analizar es el mapa de la red de gasolineras de gas GLP dentro de la web corporativa de </w:t>
      </w:r>
      <w:proofErr w:type="spellStart"/>
      <w:r w:rsidRPr="00FF5BA3">
        <w:rPr>
          <w:sz w:val="20"/>
          <w:szCs w:val="20"/>
        </w:rPr>
        <w:t>Gasmoción</w:t>
      </w:r>
      <w:proofErr w:type="spellEnd"/>
      <w:r w:rsidRPr="00FF5BA3">
        <w:rPr>
          <w:sz w:val="20"/>
          <w:szCs w:val="20"/>
        </w:rPr>
        <w:t>.</w:t>
      </w:r>
    </w:p>
    <w:p w14:paraId="268209DE" w14:textId="02B29C0B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Objetivo y público:</w:t>
      </w:r>
      <w:r>
        <w:t xml:space="preserve"> </w:t>
      </w:r>
      <w:r w:rsidRPr="00FF5BA3">
        <w:rPr>
          <w:sz w:val="20"/>
          <w:szCs w:val="20"/>
        </w:rPr>
        <w:t xml:space="preserve">El visor resuelve el problema de la incertidumbre de repostaje, dirigido específicamente a conductores de vehículos transformados a </w:t>
      </w:r>
      <w:proofErr w:type="spellStart"/>
      <w:r w:rsidRPr="00FF5BA3">
        <w:rPr>
          <w:sz w:val="20"/>
          <w:szCs w:val="20"/>
        </w:rPr>
        <w:t>Autogas</w:t>
      </w:r>
      <w:proofErr w:type="spellEnd"/>
      <w:r w:rsidRPr="00FF5BA3">
        <w:rPr>
          <w:sz w:val="20"/>
          <w:szCs w:val="20"/>
        </w:rPr>
        <w:t>.</w:t>
      </w:r>
    </w:p>
    <w:p w14:paraId="458B95AC" w14:textId="1918F12B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Datos geoespaciales:</w:t>
      </w:r>
      <w:r>
        <w:t xml:space="preserve"> </w:t>
      </w:r>
      <w:r w:rsidRPr="00FF5BA3">
        <w:rPr>
          <w:sz w:val="20"/>
          <w:szCs w:val="20"/>
        </w:rPr>
        <w:t>Emplea información de tipo vectorial (puntos de suministro) que se superpone sobre un mapa base comercial o público.</w:t>
      </w:r>
    </w:p>
    <w:p w14:paraId="042A3978" w14:textId="46EC8DCC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Resumen funcional:</w:t>
      </w:r>
      <w:r>
        <w:t xml:space="preserve"> </w:t>
      </w:r>
      <w:r w:rsidRPr="00FF5BA3">
        <w:rPr>
          <w:sz w:val="20"/>
          <w:szCs w:val="20"/>
        </w:rPr>
        <w:t>La herramienta permite</w:t>
      </w:r>
      <w:r>
        <w:rPr>
          <w:sz w:val="20"/>
          <w:szCs w:val="20"/>
        </w:rPr>
        <w:t xml:space="preserve"> </w:t>
      </w:r>
      <w:r w:rsidRPr="00FF5BA3">
        <w:rPr>
          <w:sz w:val="20"/>
          <w:szCs w:val="20"/>
        </w:rPr>
        <w:t>ubicar estaciones de servicio operativas</w:t>
      </w:r>
      <w:r>
        <w:rPr>
          <w:sz w:val="20"/>
          <w:szCs w:val="20"/>
        </w:rPr>
        <w:t>, ver de que marca son y sus precios.</w:t>
      </w:r>
    </w:p>
    <w:p w14:paraId="62EB6890" w14:textId="3DB9FF1A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Preguntas a las que da respuesta:</w:t>
      </w:r>
      <w:r>
        <w:t xml:space="preserve"> </w:t>
      </w:r>
      <w:r w:rsidRPr="00FF5BA3">
        <w:rPr>
          <w:sz w:val="20"/>
          <w:szCs w:val="20"/>
        </w:rPr>
        <w:t>Resuelve dudas inmediatas del usuario como</w:t>
      </w:r>
      <w:r>
        <w:rPr>
          <w:sz w:val="20"/>
          <w:szCs w:val="20"/>
        </w:rPr>
        <w:t xml:space="preserve">: </w:t>
      </w:r>
      <w:r w:rsidRPr="00FF5BA3">
        <w:rPr>
          <w:sz w:val="20"/>
          <w:szCs w:val="20"/>
        </w:rPr>
        <w:t xml:space="preserve">¿Dónde tengo el surtidor de GLP más cercano? o ¿Puedo planificar una ruta de viaje sin quedarme sin </w:t>
      </w:r>
      <w:proofErr w:type="gramStart"/>
      <w:r w:rsidRPr="00FF5BA3">
        <w:rPr>
          <w:sz w:val="20"/>
          <w:szCs w:val="20"/>
        </w:rPr>
        <w:t>gas?.</w:t>
      </w:r>
      <w:proofErr w:type="gramEnd"/>
    </w:p>
    <w:p w14:paraId="7C175073" w14:textId="77777777" w:rsidR="00FF5BA3" w:rsidRDefault="00FF5BA3" w:rsidP="00FF5BA3"/>
    <w:p w14:paraId="25763A73" w14:textId="77777777" w:rsidR="00FF5BA3" w:rsidRPr="00FF5BA3" w:rsidRDefault="00FF5BA3" w:rsidP="00FF5BA3">
      <w:pPr>
        <w:rPr>
          <w:b/>
          <w:bCs/>
        </w:rPr>
      </w:pPr>
      <w:r w:rsidRPr="00FF5BA3">
        <w:rPr>
          <w:b/>
          <w:bCs/>
        </w:rPr>
        <w:t>2. La página principal: identidad, misión y promesa de valor</w:t>
      </w:r>
    </w:p>
    <w:p w14:paraId="60B99967" w14:textId="237C55D9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Identidad y misión:</w:t>
      </w:r>
      <w:r>
        <w:t xml:space="preserve"> </w:t>
      </w:r>
      <w:r w:rsidRPr="00FF5BA3">
        <w:rPr>
          <w:sz w:val="20"/>
          <w:szCs w:val="20"/>
        </w:rPr>
        <w:t>Se comunican de forma explícita mediante titulares orientados a la movilidad sostenible y la etiqueta ECO.</w:t>
      </w:r>
    </w:p>
    <w:p w14:paraId="47A1C779" w14:textId="73F631A8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Promesa de valor:</w:t>
      </w:r>
      <w:r>
        <w:t xml:space="preserve"> </w:t>
      </w:r>
      <w:r w:rsidRPr="00FF5BA3">
        <w:rPr>
          <w:sz w:val="20"/>
          <w:szCs w:val="20"/>
        </w:rPr>
        <w:t>El argumento principal que ofrece para retener al usuario es la visualización de más de 900 puntos de suministro a nivel nacional.</w:t>
      </w:r>
    </w:p>
    <w:p w14:paraId="36F20286" w14:textId="2F3C7D4F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Jerarquía visual:</w:t>
      </w:r>
      <w:r>
        <w:t xml:space="preserve"> </w:t>
      </w:r>
      <w:r w:rsidRPr="00FF5BA3">
        <w:rPr>
          <w:sz w:val="20"/>
          <w:szCs w:val="20"/>
        </w:rPr>
        <w:t>El diseño dirige la mirada del usuario de forma directa hacia el mapa interactivo, dejando la información comercial en un plano secundario.</w:t>
      </w:r>
    </w:p>
    <w:p w14:paraId="7D578E24" w14:textId="77777777" w:rsidR="00FF5BA3" w:rsidRDefault="00FF5BA3" w:rsidP="00FF5BA3">
      <w:r w:rsidRPr="00FF5BA3">
        <w:rPr>
          <w:b/>
          <w:bCs/>
        </w:rPr>
        <w:t>Búsqueda y accesos directos:</w:t>
      </w:r>
      <w:r>
        <w:t xml:space="preserve"> </w:t>
      </w:r>
      <w:r w:rsidRPr="00FF5BA3">
        <w:rPr>
          <w:sz w:val="20"/>
          <w:szCs w:val="20"/>
        </w:rPr>
        <w:t>Los controles de navegación suelen ubicarse de forma estándar dentro de la propia interfaz gráfica del mapa.</w:t>
      </w:r>
    </w:p>
    <w:p w14:paraId="22F4F583" w14:textId="77777777" w:rsidR="00FF5BA3" w:rsidRDefault="00FF5BA3" w:rsidP="00FF5BA3"/>
    <w:p w14:paraId="2A7B74F0" w14:textId="77777777" w:rsidR="00FF5BA3" w:rsidRPr="00FF5BA3" w:rsidRDefault="00FF5BA3" w:rsidP="00FF5BA3">
      <w:pPr>
        <w:rPr>
          <w:b/>
          <w:bCs/>
        </w:rPr>
      </w:pPr>
      <w:r w:rsidRPr="00FF5BA3">
        <w:rPr>
          <w:b/>
          <w:bCs/>
        </w:rPr>
        <w:t>3. Análisis del diseño de interacción</w:t>
      </w:r>
    </w:p>
    <w:p w14:paraId="4437182D" w14:textId="3EA0035C" w:rsidR="00FF5BA3" w:rsidRPr="00FF5BA3" w:rsidRDefault="00FF5BA3" w:rsidP="00FF5BA3">
      <w:pPr>
        <w:rPr>
          <w:sz w:val="20"/>
          <w:szCs w:val="20"/>
        </w:rPr>
      </w:pPr>
      <w:r w:rsidRPr="00FF5BA3">
        <w:rPr>
          <w:sz w:val="20"/>
          <w:szCs w:val="20"/>
        </w:rPr>
        <w:t>El objetivo aquí es evaluar si la aplicación permite explorar los datos de forma fluida.</w:t>
      </w:r>
    </w:p>
    <w:p w14:paraId="7C210599" w14:textId="1BADBB16" w:rsidR="00FF5BA3" w:rsidRDefault="00FF5BA3" w:rsidP="00FF5BA3">
      <w:r w:rsidRPr="00FF5BA3">
        <w:rPr>
          <w:b/>
          <w:bCs/>
        </w:rPr>
        <w:t>Búsquedas:</w:t>
      </w:r>
      <w:r>
        <w:t xml:space="preserve"> </w:t>
      </w:r>
      <w:r w:rsidRPr="00FF5BA3">
        <w:rPr>
          <w:sz w:val="20"/>
          <w:szCs w:val="20"/>
        </w:rPr>
        <w:t xml:space="preserve">El sistema delega la búsqueda principalmente a la exploración espacial manual (paneo y </w:t>
      </w:r>
      <w:proofErr w:type="gramStart"/>
      <w:r w:rsidRPr="00FF5BA3">
        <w:rPr>
          <w:sz w:val="20"/>
          <w:szCs w:val="20"/>
        </w:rPr>
        <w:t>zoom</w:t>
      </w:r>
      <w:proofErr w:type="gramEnd"/>
      <w:r w:rsidRPr="00FF5BA3">
        <w:rPr>
          <w:sz w:val="20"/>
          <w:szCs w:val="20"/>
        </w:rPr>
        <w:t>) sobre las distintas regiones.</w:t>
      </w:r>
    </w:p>
    <w:p w14:paraId="60067FB1" w14:textId="72EF0C96" w:rsidR="00FF5BA3" w:rsidRDefault="00FF5BA3" w:rsidP="00FF5BA3">
      <w:r w:rsidRPr="00FF5BA3">
        <w:rPr>
          <w:b/>
          <w:bCs/>
        </w:rPr>
        <w:t>Filtros:</w:t>
      </w:r>
      <w:r>
        <w:t xml:space="preserve"> </w:t>
      </w:r>
      <w:r w:rsidRPr="00FF5BA3">
        <w:rPr>
          <w:sz w:val="20"/>
          <w:szCs w:val="20"/>
        </w:rPr>
        <w:t>Carece de herramientas avanzadas evidentes para segmentar, por ejemplo, aislando solo gasolineras de una marca concreta.</w:t>
      </w:r>
    </w:p>
    <w:p w14:paraId="4331E59A" w14:textId="3E2D16BB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Recuperación de detalles (</w:t>
      </w:r>
      <w:proofErr w:type="spellStart"/>
      <w:r w:rsidRPr="00FF5BA3">
        <w:rPr>
          <w:b/>
          <w:bCs/>
        </w:rPr>
        <w:t>details-on-demand</w:t>
      </w:r>
      <w:proofErr w:type="spellEnd"/>
      <w:r w:rsidRPr="00FF5BA3">
        <w:rPr>
          <w:b/>
          <w:bCs/>
        </w:rPr>
        <w:t>):</w:t>
      </w:r>
      <w:r>
        <w:t xml:space="preserve"> </w:t>
      </w:r>
      <w:r w:rsidRPr="00FF5BA3">
        <w:rPr>
          <w:sz w:val="20"/>
          <w:szCs w:val="20"/>
        </w:rPr>
        <w:t>La interacción se ejecuta mediante clic sobre el marcador del mapa, lo que despliega un pop</w:t>
      </w:r>
      <w:r>
        <w:rPr>
          <w:sz w:val="20"/>
          <w:szCs w:val="20"/>
        </w:rPr>
        <w:t>-</w:t>
      </w:r>
      <w:r w:rsidRPr="00FF5BA3">
        <w:rPr>
          <w:sz w:val="20"/>
          <w:szCs w:val="20"/>
        </w:rPr>
        <w:t>up emergente con la dirección de la estación.</w:t>
      </w:r>
    </w:p>
    <w:p w14:paraId="40EB87F3" w14:textId="62CDC711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Recuperación de errores:</w:t>
      </w:r>
      <w:r>
        <w:t xml:space="preserve"> </w:t>
      </w:r>
      <w:r w:rsidRPr="00FF5BA3">
        <w:rPr>
          <w:sz w:val="20"/>
          <w:szCs w:val="20"/>
        </w:rPr>
        <w:t xml:space="preserve">Si un usuario hace un </w:t>
      </w:r>
      <w:proofErr w:type="gramStart"/>
      <w:r w:rsidRPr="00FF5BA3">
        <w:rPr>
          <w:sz w:val="20"/>
          <w:szCs w:val="20"/>
        </w:rPr>
        <w:t>zoom</w:t>
      </w:r>
      <w:proofErr w:type="gramEnd"/>
      <w:r w:rsidRPr="00FF5BA3">
        <w:rPr>
          <w:sz w:val="20"/>
          <w:szCs w:val="20"/>
        </w:rPr>
        <w:t xml:space="preserve"> excesivo en una zona vacía, carece de salidas de emergencia claras (como un botón de "Inicio" o "Vista Nacional") para volver a un estado válido y recuperar el contexto espacial.</w:t>
      </w:r>
    </w:p>
    <w:p w14:paraId="26CB453A" w14:textId="77777777" w:rsidR="00FF5BA3" w:rsidRDefault="00FF5BA3" w:rsidP="00FF5BA3">
      <w:r w:rsidRPr="00FF5BA3">
        <w:rPr>
          <w:b/>
          <w:bCs/>
        </w:rPr>
        <w:lastRenderedPageBreak/>
        <w:t>Acciones de cierre:</w:t>
      </w:r>
      <w:r>
        <w:t xml:space="preserve"> </w:t>
      </w:r>
      <w:r w:rsidRPr="00FF5BA3">
        <w:rPr>
          <w:sz w:val="20"/>
          <w:szCs w:val="20"/>
        </w:rPr>
        <w:t>La aplicación no destaca por ofrecer opciones nativas para compartir el mapa embebido o exportar una ruta concreta.</w:t>
      </w:r>
    </w:p>
    <w:p w14:paraId="5F2B94A4" w14:textId="77777777" w:rsidR="00FF5BA3" w:rsidRDefault="00FF5BA3" w:rsidP="00FF5BA3"/>
    <w:p w14:paraId="25F237DD" w14:textId="77777777" w:rsidR="00FF5BA3" w:rsidRPr="00FF5BA3" w:rsidRDefault="00FF5BA3" w:rsidP="00FF5BA3">
      <w:pPr>
        <w:rPr>
          <w:b/>
          <w:bCs/>
        </w:rPr>
      </w:pPr>
      <w:r w:rsidRPr="00FF5BA3">
        <w:rPr>
          <w:b/>
          <w:bCs/>
        </w:rPr>
        <w:t>4. Análisis del diseño de la navegación</w:t>
      </w:r>
    </w:p>
    <w:p w14:paraId="70F5EB7B" w14:textId="55BE5069" w:rsidR="00FF5BA3" w:rsidRPr="00FF5BA3" w:rsidRDefault="00FF5BA3" w:rsidP="00FF5BA3">
      <w:pPr>
        <w:rPr>
          <w:sz w:val="20"/>
          <w:szCs w:val="20"/>
        </w:rPr>
      </w:pPr>
      <w:r w:rsidRPr="00FF5BA3">
        <w:rPr>
          <w:sz w:val="20"/>
          <w:szCs w:val="20"/>
        </w:rPr>
        <w:t>Analizando la tarea clave de localizar un surtidor</w:t>
      </w:r>
      <w:r>
        <w:rPr>
          <w:sz w:val="20"/>
          <w:szCs w:val="20"/>
        </w:rPr>
        <w:t>.</w:t>
      </w:r>
    </w:p>
    <w:p w14:paraId="31D90DF0" w14:textId="011FB87F" w:rsidR="00FF5BA3" w:rsidRDefault="00FF5BA3" w:rsidP="00FF5BA3">
      <w:r w:rsidRPr="00FF5BA3">
        <w:rPr>
          <w:b/>
          <w:bCs/>
        </w:rPr>
        <w:t>Pantallas y ventanas:</w:t>
      </w:r>
      <w:r>
        <w:t xml:space="preserve"> </w:t>
      </w:r>
      <w:r w:rsidRPr="00FF5BA3">
        <w:rPr>
          <w:sz w:val="20"/>
          <w:szCs w:val="20"/>
        </w:rPr>
        <w:t>El flujo requiere interactuar con el lienzo principal del mapa y la ventana flotante (pop</w:t>
      </w:r>
      <w:r>
        <w:rPr>
          <w:sz w:val="20"/>
          <w:szCs w:val="20"/>
        </w:rPr>
        <w:t>-</w:t>
      </w:r>
      <w:r w:rsidRPr="00FF5BA3">
        <w:rPr>
          <w:sz w:val="20"/>
          <w:szCs w:val="20"/>
        </w:rPr>
        <w:t>up) de información detallada.</w:t>
      </w:r>
    </w:p>
    <w:p w14:paraId="6EF882C2" w14:textId="77777777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Contenido:</w:t>
      </w:r>
      <w:r>
        <w:t xml:space="preserve"> </w:t>
      </w:r>
      <w:r w:rsidRPr="00FF5BA3">
        <w:rPr>
          <w:sz w:val="20"/>
          <w:szCs w:val="20"/>
        </w:rPr>
        <w:t>El lienzo general muestra la distribución agrupada de los puntos, mientras que la ventana flotante contiene el texto con la ubicación exacta.</w:t>
      </w:r>
    </w:p>
    <w:p w14:paraId="4EBD2CC2" w14:textId="77777777" w:rsidR="00FF5BA3" w:rsidRDefault="00FF5BA3" w:rsidP="00FF5BA3"/>
    <w:p w14:paraId="4A6AF80D" w14:textId="77777777" w:rsidR="00FF5BA3" w:rsidRPr="00FF5BA3" w:rsidRDefault="00FF5BA3" w:rsidP="00FF5BA3">
      <w:pPr>
        <w:rPr>
          <w:b/>
          <w:bCs/>
        </w:rPr>
      </w:pPr>
      <w:r w:rsidRPr="00FF5BA3">
        <w:rPr>
          <w:b/>
          <w:bCs/>
        </w:rPr>
        <w:t>5. Identificación de los grupos funcionales</w:t>
      </w:r>
    </w:p>
    <w:p w14:paraId="107A9E84" w14:textId="38F58647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Funciones de navegación espacial:</w:t>
      </w:r>
      <w:r>
        <w:t xml:space="preserve"> </w:t>
      </w:r>
      <w:r w:rsidRPr="00FF5BA3">
        <w:rPr>
          <w:sz w:val="20"/>
          <w:szCs w:val="20"/>
        </w:rPr>
        <w:t>Herramientas estándar de control de escala (</w:t>
      </w:r>
      <w:proofErr w:type="gramStart"/>
      <w:r w:rsidRPr="00FF5BA3">
        <w:rPr>
          <w:sz w:val="20"/>
          <w:szCs w:val="20"/>
        </w:rPr>
        <w:t>zoom</w:t>
      </w:r>
      <w:proofErr w:type="gramEnd"/>
      <w:r w:rsidRPr="00FF5BA3">
        <w:rPr>
          <w:sz w:val="20"/>
          <w:szCs w:val="20"/>
        </w:rPr>
        <w:t xml:space="preserve"> in / </w:t>
      </w:r>
      <w:proofErr w:type="gramStart"/>
      <w:r w:rsidRPr="00FF5BA3">
        <w:rPr>
          <w:sz w:val="20"/>
          <w:szCs w:val="20"/>
        </w:rPr>
        <w:t>zoom</w:t>
      </w:r>
      <w:proofErr w:type="gramEnd"/>
      <w:r w:rsidRPr="00FF5BA3">
        <w:rPr>
          <w:sz w:val="20"/>
          <w:szCs w:val="20"/>
        </w:rPr>
        <w:t xml:space="preserve"> </w:t>
      </w:r>
      <w:proofErr w:type="spellStart"/>
      <w:r w:rsidRPr="00FF5BA3">
        <w:rPr>
          <w:sz w:val="20"/>
          <w:szCs w:val="20"/>
        </w:rPr>
        <w:t>out</w:t>
      </w:r>
      <w:proofErr w:type="spellEnd"/>
      <w:r w:rsidRPr="00FF5BA3">
        <w:rPr>
          <w:sz w:val="20"/>
          <w:szCs w:val="20"/>
        </w:rPr>
        <w:t>) y encuadre (paneo).</w:t>
      </w:r>
    </w:p>
    <w:p w14:paraId="1FA53B51" w14:textId="0B5ACDCA" w:rsidR="00FF5BA3" w:rsidRDefault="00FF5BA3" w:rsidP="00FF5BA3">
      <w:r w:rsidRPr="00FF5BA3">
        <w:rPr>
          <w:b/>
          <w:bCs/>
        </w:rPr>
        <w:t>Funciones de navegación temática:</w:t>
      </w:r>
      <w:r>
        <w:t xml:space="preserve"> </w:t>
      </w:r>
      <w:r w:rsidRPr="00FF5BA3">
        <w:rPr>
          <w:sz w:val="20"/>
          <w:szCs w:val="20"/>
        </w:rPr>
        <w:t>Selección de puntos de interés específicos en el mapa para descubrir atributos comerciales.</w:t>
      </w:r>
    </w:p>
    <w:p w14:paraId="20E16659" w14:textId="77777777" w:rsidR="00FF5BA3" w:rsidRPr="00FF5BA3" w:rsidRDefault="00FF5BA3" w:rsidP="00FF5BA3">
      <w:pPr>
        <w:rPr>
          <w:sz w:val="20"/>
          <w:szCs w:val="20"/>
        </w:rPr>
      </w:pPr>
      <w:r w:rsidRPr="00FF5BA3">
        <w:rPr>
          <w:b/>
          <w:bCs/>
        </w:rPr>
        <w:t>Agrupaciones:</w:t>
      </w:r>
      <w:r>
        <w:t xml:space="preserve"> </w:t>
      </w:r>
      <w:r w:rsidRPr="00FF5BA3">
        <w:rPr>
          <w:sz w:val="20"/>
          <w:szCs w:val="20"/>
        </w:rPr>
        <w:t>Estas interacciones espaciales se encuentran agrupadas mediante botones de control en las esquinas del propio mapa.</w:t>
      </w:r>
    </w:p>
    <w:p w14:paraId="02202899" w14:textId="77777777" w:rsidR="00FF5BA3" w:rsidRDefault="00FF5BA3" w:rsidP="00FF5BA3"/>
    <w:p w14:paraId="26C214E7" w14:textId="77777777" w:rsidR="00FF5BA3" w:rsidRPr="00C92C78" w:rsidRDefault="00FF5BA3" w:rsidP="00FF5BA3">
      <w:pPr>
        <w:rPr>
          <w:b/>
          <w:bCs/>
        </w:rPr>
      </w:pPr>
      <w:r w:rsidRPr="00C92C78">
        <w:rPr>
          <w:b/>
          <w:bCs/>
        </w:rPr>
        <w:t>6. Análisis del diseño visual de la interfaz</w:t>
      </w:r>
    </w:p>
    <w:p w14:paraId="29CAAF11" w14:textId="04857C16" w:rsidR="00FF5BA3" w:rsidRDefault="00FF5BA3" w:rsidP="00FF5BA3">
      <w:r w:rsidRPr="00C92C78">
        <w:rPr>
          <w:b/>
          <w:bCs/>
        </w:rPr>
        <w:t>Uso de iconos:</w:t>
      </w:r>
      <w:r>
        <w:t xml:space="preserve"> </w:t>
      </w:r>
      <w:r w:rsidR="00C92C78" w:rsidRPr="00C92C78">
        <w:rPr>
          <w:sz w:val="20"/>
          <w:szCs w:val="20"/>
        </w:rPr>
        <w:t xml:space="preserve">El uso de logotipos es nulo, se usa el mismo icono predeterminado con una imagen estática para todas las gasolineras, da igual la marca o el tipo de gasolinera. Se podría mejorar añadiendo los logos de las marcas de cada gasolinera. </w:t>
      </w:r>
    </w:p>
    <w:p w14:paraId="5FAAF2B8" w14:textId="77777777" w:rsidR="00FF5BA3" w:rsidRDefault="00FF5BA3" w:rsidP="00FF5BA3">
      <w:r w:rsidRPr="00C92C78">
        <w:rPr>
          <w:b/>
          <w:bCs/>
        </w:rPr>
        <w:t>División del espacio:</w:t>
      </w:r>
      <w:r>
        <w:t xml:space="preserve"> </w:t>
      </w:r>
      <w:r w:rsidRPr="00C92C78">
        <w:rPr>
          <w:sz w:val="20"/>
          <w:szCs w:val="20"/>
        </w:rPr>
        <w:t>En la visualización de la página, el mapa ocupa un bloque central y ancho para maximizar el área de exploración de los puntos geográficos.</w:t>
      </w:r>
    </w:p>
    <w:p w14:paraId="3C2E6AFD" w14:textId="77777777" w:rsidR="00FF5BA3" w:rsidRDefault="00FF5BA3" w:rsidP="00FF5BA3"/>
    <w:p w14:paraId="5BCB4633" w14:textId="77777777" w:rsidR="00FF5BA3" w:rsidRPr="00C92C78" w:rsidRDefault="00FF5BA3" w:rsidP="00FF5BA3">
      <w:pPr>
        <w:rPr>
          <w:b/>
          <w:bCs/>
        </w:rPr>
      </w:pPr>
      <w:r w:rsidRPr="00C92C78">
        <w:rPr>
          <w:b/>
          <w:bCs/>
        </w:rPr>
        <w:t>7. Análisis de la consistencia</w:t>
      </w:r>
    </w:p>
    <w:p w14:paraId="5AD38BF7" w14:textId="0FF60943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t>Consistencia estética y funcional:</w:t>
      </w:r>
      <w:r>
        <w:t xml:space="preserve"> </w:t>
      </w:r>
      <w:r w:rsidRPr="00C92C78">
        <w:rPr>
          <w:sz w:val="20"/>
          <w:szCs w:val="20"/>
        </w:rPr>
        <w:t>Sigue los estándares de la industria cartográfica web, donde hacer clic abre información y arrastrar el ratón desplaza el encuadre.</w:t>
      </w:r>
    </w:p>
    <w:p w14:paraId="00AD7992" w14:textId="77777777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t>Consistencia externa:</w:t>
      </w:r>
      <w:r>
        <w:t xml:space="preserve"> </w:t>
      </w:r>
      <w:r w:rsidRPr="00C92C78">
        <w:rPr>
          <w:sz w:val="20"/>
          <w:szCs w:val="20"/>
        </w:rPr>
        <w:t xml:space="preserve">El comportamiento es idéntico a lo que cualquier usuario espera al utilizar herramientas hegemónicas como Google </w:t>
      </w:r>
      <w:proofErr w:type="spellStart"/>
      <w:r w:rsidRPr="00C92C78">
        <w:rPr>
          <w:sz w:val="20"/>
          <w:szCs w:val="20"/>
        </w:rPr>
        <w:t>Maps</w:t>
      </w:r>
      <w:proofErr w:type="spellEnd"/>
      <w:r w:rsidRPr="00C92C78">
        <w:rPr>
          <w:sz w:val="20"/>
          <w:szCs w:val="20"/>
        </w:rPr>
        <w:t>, lo que elimina cualquier fricción de aprendizaje.</w:t>
      </w:r>
    </w:p>
    <w:p w14:paraId="1A1D8CAA" w14:textId="77777777" w:rsidR="00FF5BA3" w:rsidRDefault="00FF5BA3" w:rsidP="00FF5BA3"/>
    <w:p w14:paraId="7AAA1931" w14:textId="77777777" w:rsidR="00FF5BA3" w:rsidRPr="00C92C78" w:rsidRDefault="00FF5BA3" w:rsidP="00FF5BA3">
      <w:pPr>
        <w:rPr>
          <w:b/>
          <w:bCs/>
        </w:rPr>
      </w:pPr>
      <w:r w:rsidRPr="00C92C78">
        <w:rPr>
          <w:b/>
          <w:bCs/>
        </w:rPr>
        <w:t>8. Análisis del diseño del mapa</w:t>
      </w:r>
    </w:p>
    <w:p w14:paraId="003A6FF6" w14:textId="3B1954E5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lastRenderedPageBreak/>
        <w:t>Diseño por defecto:</w:t>
      </w:r>
      <w:r>
        <w:t xml:space="preserve"> </w:t>
      </w:r>
      <w:r w:rsidRPr="00C92C78">
        <w:rPr>
          <w:sz w:val="20"/>
          <w:szCs w:val="20"/>
        </w:rPr>
        <w:t>El encuadre inicial muestra una vista general de la Península Ibérica</w:t>
      </w:r>
      <w:r w:rsidR="00C92C78" w:rsidRPr="00C92C78">
        <w:rPr>
          <w:sz w:val="20"/>
          <w:szCs w:val="20"/>
        </w:rPr>
        <w:t xml:space="preserve"> y archipiélagos</w:t>
      </w:r>
      <w:r w:rsidRPr="00C92C78">
        <w:rPr>
          <w:sz w:val="20"/>
          <w:szCs w:val="20"/>
        </w:rPr>
        <w:t>.</w:t>
      </w:r>
    </w:p>
    <w:p w14:paraId="77DBE43D" w14:textId="55DAA18B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t>Respuestas del mapa:</w:t>
      </w:r>
      <w:r>
        <w:t xml:space="preserve"> </w:t>
      </w:r>
      <w:r w:rsidRPr="00C92C78">
        <w:rPr>
          <w:sz w:val="20"/>
          <w:szCs w:val="20"/>
        </w:rPr>
        <w:t xml:space="preserve">Al realizar cambios de </w:t>
      </w:r>
      <w:proofErr w:type="gramStart"/>
      <w:r w:rsidRPr="00C92C78">
        <w:rPr>
          <w:sz w:val="20"/>
          <w:szCs w:val="20"/>
        </w:rPr>
        <w:t>zoom</w:t>
      </w:r>
      <w:proofErr w:type="gramEnd"/>
      <w:r w:rsidRPr="00C92C78">
        <w:rPr>
          <w:sz w:val="20"/>
          <w:szCs w:val="20"/>
        </w:rPr>
        <w:t>, el mapa responde actualizando la simbología, mostrando puntos individuales o agrupándolos en función de la escala visual.</w:t>
      </w:r>
    </w:p>
    <w:p w14:paraId="49CFE674" w14:textId="77777777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t>Límites del mapa:</w:t>
      </w:r>
      <w:r>
        <w:t xml:space="preserve"> </w:t>
      </w:r>
      <w:r w:rsidRPr="00C92C78">
        <w:rPr>
          <w:sz w:val="20"/>
          <w:szCs w:val="20"/>
        </w:rPr>
        <w:t>Permite una interacción profunda, pero se echan en falta restricciones o guías visuales cuando se navega hacia zonas sin cobertura de GLP.</w:t>
      </w:r>
    </w:p>
    <w:p w14:paraId="47C8D85E" w14:textId="77777777" w:rsidR="00FF5BA3" w:rsidRDefault="00FF5BA3" w:rsidP="00FF5BA3"/>
    <w:p w14:paraId="7F215B05" w14:textId="77777777" w:rsidR="00FF5BA3" w:rsidRPr="00C92C78" w:rsidRDefault="00FF5BA3" w:rsidP="00FF5BA3">
      <w:pPr>
        <w:rPr>
          <w:b/>
          <w:bCs/>
        </w:rPr>
      </w:pPr>
      <w:r w:rsidRPr="00C92C78">
        <w:rPr>
          <w:b/>
          <w:bCs/>
        </w:rPr>
        <w:t>9. Usabilidad (10 reglas de Nielsen)</w:t>
      </w:r>
    </w:p>
    <w:p w14:paraId="52026C82" w14:textId="3F742EDB" w:rsidR="00FF5BA3" w:rsidRPr="00C92C78" w:rsidRDefault="00FF5BA3" w:rsidP="00FF5BA3">
      <w:pPr>
        <w:rPr>
          <w:sz w:val="20"/>
          <w:szCs w:val="20"/>
        </w:rPr>
      </w:pPr>
      <w:r w:rsidRPr="00C92C78">
        <w:rPr>
          <w:sz w:val="20"/>
          <w:szCs w:val="20"/>
        </w:rPr>
        <w:t>Puntuación sobre 5 de las heurísticas más relevantes en este visor:</w:t>
      </w:r>
    </w:p>
    <w:p w14:paraId="0525DE4F" w14:textId="67366DD5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t>Relación sistema/mundo real (5/5):</w:t>
      </w:r>
      <w:r>
        <w:t xml:space="preserve"> </w:t>
      </w:r>
      <w:r w:rsidRPr="00C92C78">
        <w:rPr>
          <w:sz w:val="20"/>
          <w:szCs w:val="20"/>
        </w:rPr>
        <w:t>El uso de logotipos reales y reconocibles de las estaciones de servicio es un acierto rotundo.</w:t>
      </w:r>
    </w:p>
    <w:p w14:paraId="369FBC9A" w14:textId="2E208243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t>Consistencia y estándares (4/5):</w:t>
      </w:r>
      <w:r>
        <w:t xml:space="preserve"> </w:t>
      </w:r>
      <w:r w:rsidRPr="00C92C78">
        <w:rPr>
          <w:sz w:val="20"/>
          <w:szCs w:val="20"/>
        </w:rPr>
        <w:t>Cumple con las convenciones universales de navegación web-</w:t>
      </w:r>
      <w:proofErr w:type="spellStart"/>
      <w:r w:rsidRPr="00C92C78">
        <w:rPr>
          <w:sz w:val="20"/>
          <w:szCs w:val="20"/>
        </w:rPr>
        <w:t>mapping</w:t>
      </w:r>
      <w:proofErr w:type="spellEnd"/>
      <w:r w:rsidRPr="00C92C78">
        <w:rPr>
          <w:sz w:val="20"/>
          <w:szCs w:val="20"/>
        </w:rPr>
        <w:t>.</w:t>
      </w:r>
    </w:p>
    <w:p w14:paraId="600D17AB" w14:textId="3031FDD0" w:rsidR="00FF5BA3" w:rsidRPr="00C92C78" w:rsidRDefault="00FF5BA3" w:rsidP="00FF5BA3">
      <w:pPr>
        <w:rPr>
          <w:sz w:val="20"/>
          <w:szCs w:val="20"/>
        </w:rPr>
      </w:pPr>
      <w:r w:rsidRPr="00C92C78">
        <w:rPr>
          <w:b/>
          <w:bCs/>
        </w:rPr>
        <w:t>Control y libertad (3/5):</w:t>
      </w:r>
      <w:r>
        <w:t xml:space="preserve"> </w:t>
      </w:r>
      <w:r w:rsidRPr="00C92C78">
        <w:rPr>
          <w:sz w:val="20"/>
          <w:szCs w:val="20"/>
        </w:rPr>
        <w:t>Faltan controles explícitos para deshacer errores de navegación o recientes (botón de recentrado total).</w:t>
      </w:r>
    </w:p>
    <w:p w14:paraId="3F3D36FF" w14:textId="7151D1E3" w:rsidR="00FF5BA3" w:rsidRDefault="00FF5BA3" w:rsidP="00FF5BA3">
      <w:r w:rsidRPr="00C92C78">
        <w:rPr>
          <w:b/>
          <w:bCs/>
        </w:rPr>
        <w:t>Flexibilidad y eficiencia (3/5):</w:t>
      </w:r>
      <w:r>
        <w:t xml:space="preserve"> </w:t>
      </w:r>
      <w:r w:rsidRPr="00C92C78">
        <w:rPr>
          <w:sz w:val="20"/>
          <w:szCs w:val="20"/>
        </w:rPr>
        <w:t>La carencia de un panel de filtros avanzados obliga a los usuarios a realizar búsquedas puramente visuales, reduciendo la eficiencia.</w:t>
      </w:r>
    </w:p>
    <w:sectPr w:rsidR="00FF5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A3"/>
    <w:rsid w:val="00164462"/>
    <w:rsid w:val="00C92C78"/>
    <w:rsid w:val="00F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18769"/>
  <w15:chartTrackingRefBased/>
  <w15:docId w15:val="{A433D4C8-E3D2-424B-AA09-CF17BFD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787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MARTINEZ SERRANO</dc:creator>
  <cp:keywords/>
  <dc:description/>
  <cp:lastModifiedBy>JOAQUIN MARTINEZ SERRANO</cp:lastModifiedBy>
  <cp:revision>1</cp:revision>
  <dcterms:created xsi:type="dcterms:W3CDTF">2026-02-19T12:50:00Z</dcterms:created>
  <dcterms:modified xsi:type="dcterms:W3CDTF">2026-02-19T13:09:00Z</dcterms:modified>
</cp:coreProperties>
</file>