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Yu Gothic" w:hAnsi="Yu Gothic" w:eastAsia="Yu Gothic"/>
          <w:b/>
          <w:sz w:val="36"/>
        </w:rPr>
        <w:t>補助金申請書類 最終確認レポート</w:t>
      </w:r>
    </w:p>
    <w:p>
      <w:pPr>
        <w:spacing w:after="400"/>
        <w:jc w:val="center"/>
      </w:pPr>
      <w:r>
        <w:rPr>
          <w:rFonts w:ascii="Yu Gothic" w:hAnsi="Yu Gothic" w:eastAsia="Yu Gothic"/>
          <w:color w:val="555555"/>
          <w:sz w:val="24"/>
        </w:rPr>
        <w:t>小規模事業者持続化補助金＜一般型＞ — （株）小林工業</w:t>
      </w:r>
    </w:p>
    <w:p>
      <w:pPr>
        <w:spacing w:after="400"/>
        <w:jc w:val="right"/>
      </w:pPr>
      <w:r>
        <w:rPr>
          <w:rFonts w:ascii="Yu Gothic" w:hAnsi="Yu Gothic" w:eastAsia="Yu Gothic"/>
          <w:color w:val="666666"/>
          <w:sz w:val="18"/>
        </w:rPr>
        <w:t>確認日：2026年4月26日</w:t>
        <w:br/>
        <w:t>確認者：レパード行政書士事務所</w:t>
      </w:r>
    </w:p>
    <w:p>
      <w:pPr>
        <w:pStyle w:val="Heading1"/>
      </w:pPr>
      <w:r>
        <w:rPr>
          <w:rFonts w:ascii="Yu Gothic" w:hAnsi="Yu Gothic" w:eastAsia="Yu Gothic"/>
        </w:rPr>
        <w:t>1. 総合評価</w:t>
      </w:r>
    </w:p>
    <w:p>
      <w:pPr>
        <w:spacing w:after="240"/>
      </w:pPr>
      <w:r>
        <w:rPr>
          <w:rFonts w:ascii="Yu Gothic" w:hAnsi="Yu Gothic" w:eastAsia="Yu Gothic"/>
          <w:sz w:val="21"/>
        </w:rPr>
        <w:t>申請書全体として、経営計画・補助事業計画ともに論理構成は非常に良好であり、数字の大枠は整合しています。ただし、以下に記載する数点について提出前に確認・修正を推奨します。</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確認項目</w:t>
            </w:r>
          </w:p>
        </w:tc>
        <w:tc>
          <w:tcPr>
            <w:tcW w:type="dxa" w:w="3135"/>
          </w:tcPr>
          <w:p>
            <w:r>
              <w:rPr>
                <w:b/>
              </w:rPr>
              <w:t>結果</w:t>
            </w:r>
          </w:p>
        </w:tc>
        <w:tc>
          <w:tcPr>
            <w:tcW w:type="dxa" w:w="3135"/>
          </w:tcPr>
          <w:p>
            <w:r>
              <w:rPr>
                <w:b/>
              </w:rPr>
              <w:t>指摘数</w:t>
            </w:r>
          </w:p>
        </w:tc>
      </w:tr>
      <w:tr>
        <w:tc>
          <w:tcPr>
            <w:tcW w:type="dxa" w:w="3135"/>
          </w:tcPr>
          <w:p>
            <w:r>
              <w:t>基本情報・法人情報の整合性</w:t>
            </w:r>
          </w:p>
        </w:tc>
        <w:tc>
          <w:tcPr>
            <w:tcW w:type="dxa" w:w="3135"/>
          </w:tcPr>
          <w:p>
            <w:r>
              <w:t>概ね良好</w:t>
            </w:r>
          </w:p>
        </w:tc>
        <w:tc>
          <w:tcPr>
            <w:tcW w:type="dxa" w:w="3135"/>
          </w:tcPr>
          <w:p>
            <w:r>
              <w:t>2件（要確認）</w:t>
            </w:r>
          </w:p>
        </w:tc>
      </w:tr>
      <w:tr>
        <w:tc>
          <w:tcPr>
            <w:tcW w:type="dxa" w:w="3135"/>
          </w:tcPr>
          <w:p>
            <w:r>
              <w:t>経費・補助金額の計算整合性</w:t>
            </w:r>
          </w:p>
        </w:tc>
        <w:tc>
          <w:tcPr>
            <w:tcW w:type="dxa" w:w="3135"/>
          </w:tcPr>
          <w:p>
            <w:r>
              <w:t>良好</w:t>
            </w:r>
          </w:p>
        </w:tc>
        <w:tc>
          <w:tcPr>
            <w:tcW w:type="dxa" w:w="3135"/>
          </w:tcPr>
          <w:p>
            <w:r>
              <w:t>0件</w:t>
            </w:r>
          </w:p>
        </w:tc>
      </w:tr>
      <w:tr>
        <w:tc>
          <w:tcPr>
            <w:tcW w:type="dxa" w:w="3135"/>
          </w:tcPr>
          <w:p>
            <w:r>
              <w:t>数値データ（売上・利益等）の整合性</w:t>
            </w:r>
          </w:p>
        </w:tc>
        <w:tc>
          <w:tcPr>
            <w:tcW w:type="dxa" w:w="3135"/>
          </w:tcPr>
          <w:p>
            <w:r>
              <w:t>概ね良好</w:t>
            </w:r>
          </w:p>
        </w:tc>
        <w:tc>
          <w:tcPr>
            <w:tcW w:type="dxa" w:w="3135"/>
          </w:tcPr>
          <w:p>
            <w:r>
              <w:t>3件（要確認）</w:t>
            </w:r>
          </w:p>
        </w:tc>
      </w:tr>
      <w:tr>
        <w:tc>
          <w:tcPr>
            <w:tcW w:type="dxa" w:w="3135"/>
          </w:tcPr>
          <w:p>
            <w:r>
              <w:t>参照元データ・出典の信頼性</w:t>
            </w:r>
          </w:p>
        </w:tc>
        <w:tc>
          <w:tcPr>
            <w:tcW w:type="dxa" w:w="3135"/>
          </w:tcPr>
          <w:p>
            <w:r>
              <w:t>概ね良好</w:t>
            </w:r>
          </w:p>
        </w:tc>
        <w:tc>
          <w:tcPr>
            <w:tcW w:type="dxa" w:w="3135"/>
          </w:tcPr>
          <w:p>
            <w:r>
              <w:t>4件（要確認）</w:t>
            </w:r>
          </w:p>
        </w:tc>
      </w:tr>
    </w:tbl>
    <w:p/>
    <w:p>
      <w:pPr>
        <w:pStyle w:val="Heading1"/>
      </w:pPr>
      <w:r>
        <w:rPr>
          <w:rFonts w:ascii="Yu Gothic" w:hAnsi="Yu Gothic" w:eastAsia="Yu Gothic"/>
        </w:rPr>
        <w:t>2. 基本情報・法人情報の確認</w:t>
      </w:r>
    </w:p>
    <w:p>
      <w:pPr>
        <w:spacing w:after="80"/>
      </w:pPr>
      <w:r>
        <w:rPr>
          <w:rFonts w:ascii="Yu Gothic" w:hAnsi="Yu Gothic" w:eastAsia="Yu Gothic"/>
          <w:b/>
          <w:color w:val="008000"/>
          <w:sz w:val="20"/>
        </w:rPr>
        <w:t xml:space="preserve">✓ [OK] </w:t>
      </w:r>
      <w:r>
        <w:rPr>
          <w:rFonts w:ascii="Yu Gothic" w:hAnsi="Yu Gothic" w:eastAsia="Yu Gothic"/>
          <w:b/>
          <w:sz w:val="20"/>
        </w:rPr>
        <w:t>法人番号 3150001021523</w:t>
      </w:r>
    </w:p>
    <w:p>
      <w:pPr>
        <w:spacing w:after="160"/>
        <w:ind w:left="567"/>
      </w:pPr>
      <w:r>
        <w:rPr>
          <w:rFonts w:ascii="Yu Gothic" w:hAnsi="Yu Gothic" w:eastAsia="Yu Gothic"/>
          <w:color w:val="333333"/>
          <w:sz w:val="19"/>
        </w:rPr>
        <w:t>国税庁法人番号公表サイトで確認可能な形式。「株式会社小林工業」「奈良県奈良市平松四丁目18番7号」と一致する想定。</w:t>
      </w:r>
    </w:p>
    <w:p>
      <w:pPr>
        <w:spacing w:after="80"/>
      </w:pPr>
      <w:r>
        <w:rPr>
          <w:rFonts w:ascii="Yu Gothic" w:hAnsi="Yu Gothic" w:eastAsia="Yu Gothic"/>
          <w:b/>
          <w:color w:val="008000"/>
          <w:sz w:val="20"/>
        </w:rPr>
        <w:t xml:space="preserve">✓ [OK] </w:t>
      </w:r>
      <w:r>
        <w:rPr>
          <w:rFonts w:ascii="Yu Gothic" w:hAnsi="Yu Gothic" w:eastAsia="Yu Gothic"/>
          <w:b/>
          <w:sz w:val="20"/>
        </w:rPr>
        <w:t>適格請求書発行事業者番号 T3150001021523</w:t>
      </w:r>
    </w:p>
    <w:p>
      <w:pPr>
        <w:spacing w:after="160"/>
        <w:ind w:left="567"/>
      </w:pPr>
      <w:r>
        <w:rPr>
          <w:rFonts w:ascii="Yu Gothic" w:hAnsi="Yu Gothic" w:eastAsia="Yu Gothic"/>
          <w:color w:val="333333"/>
          <w:sz w:val="19"/>
        </w:rPr>
        <w:t>法人番号に「T」を付した形式で正しい。課税事業者の選択とも整合。</w:t>
      </w:r>
    </w:p>
    <w:p>
      <w:pPr>
        <w:spacing w:after="80"/>
      </w:pPr>
      <w:r>
        <w:rPr>
          <w:rFonts w:ascii="Yu Gothic" w:hAnsi="Yu Gothic" w:eastAsia="Yu Gothic"/>
          <w:b/>
          <w:color w:val="008000"/>
          <w:sz w:val="20"/>
        </w:rPr>
        <w:t xml:space="preserve">✓ [OK] </w:t>
      </w:r>
      <w:r>
        <w:rPr>
          <w:rFonts w:ascii="Yu Gothic" w:hAnsi="Yu Gothic" w:eastAsia="Yu Gothic"/>
          <w:b/>
          <w:sz w:val="20"/>
        </w:rPr>
        <w:t>代表者生年月日 1990/03/30 → 満年齢36歳</w:t>
      </w:r>
    </w:p>
    <w:p>
      <w:pPr>
        <w:spacing w:after="160"/>
        <w:ind w:left="567"/>
      </w:pPr>
      <w:r>
        <w:rPr>
          <w:rFonts w:ascii="Yu Gothic" w:hAnsi="Yu Gothic" w:eastAsia="Yu Gothic"/>
          <w:color w:val="333333"/>
          <w:sz w:val="19"/>
        </w:rPr>
        <w:t>2026年4月時点で36歳は正しい（2026年3月30日に36歳到達）。</w:t>
      </w:r>
    </w:p>
    <w:p>
      <w:pPr>
        <w:spacing w:after="80"/>
      </w:pPr>
      <w:r>
        <w:rPr>
          <w:rFonts w:ascii="Yu Gothic" w:hAnsi="Yu Gothic" w:eastAsia="Yu Gothic"/>
          <w:b/>
          <w:color w:val="008000"/>
          <w:sz w:val="20"/>
        </w:rPr>
        <w:t xml:space="preserve">✓ [OK] </w:t>
      </w:r>
      <w:r>
        <w:rPr>
          <w:rFonts w:ascii="Yu Gothic" w:hAnsi="Yu Gothic" w:eastAsia="Yu Gothic"/>
          <w:b/>
          <w:sz w:val="20"/>
        </w:rPr>
        <w:t>設立年月日 2017/05/10 ↔ 個人創業2014年</w:t>
      </w:r>
    </w:p>
    <w:p>
      <w:pPr>
        <w:spacing w:after="160"/>
        <w:ind w:left="567"/>
      </w:pPr>
      <w:r>
        <w:rPr>
          <w:rFonts w:ascii="Yu Gothic" w:hAnsi="Yu Gothic" w:eastAsia="Yu Gothic"/>
          <w:color w:val="333333"/>
          <w:sz w:val="19"/>
        </w:rPr>
        <w:t>経営計画の沿革「個人事業主として3年間」→2014年創業→2017年法人化は整合。</w:t>
      </w:r>
    </w:p>
    <w:p>
      <w:pPr>
        <w:spacing w:after="80"/>
      </w:pPr>
      <w:r>
        <w:rPr>
          <w:rFonts w:ascii="Yu Gothic" w:hAnsi="Yu Gothic" w:eastAsia="Yu Gothic"/>
          <w:b/>
          <w:color w:val="CC8800"/>
          <w:sz w:val="20"/>
        </w:rPr>
        <w:t xml:space="preserve">▲ [要確認] </w:t>
      </w:r>
      <w:r>
        <w:rPr>
          <w:rFonts w:ascii="Yu Gothic" w:hAnsi="Yu Gothic" w:eastAsia="Yu Gothic"/>
          <w:b/>
          <w:sz w:val="20"/>
        </w:rPr>
        <w:t>連絡先住所の表記ゆれ</w:t>
      </w:r>
    </w:p>
    <w:p>
      <w:pPr>
        <w:spacing w:after="160"/>
        <w:ind w:left="567"/>
      </w:pPr>
      <w:r>
        <w:rPr>
          <w:rFonts w:ascii="Yu Gothic" w:hAnsi="Yu Gothic" w:eastAsia="Yu Gothic"/>
          <w:color w:val="333333"/>
          <w:sz w:val="19"/>
        </w:rPr>
        <w:t>本社住所は「平松４丁目１８番７号」だが、連絡先住所は「平松４丁目１８−７」とハイフン表記。</w:t>
        <w:br/>
        <w:t>公的申請書としては統一が望ましい。実害はないが、審査員の印象を考慮し確認を推奨。</w:t>
      </w:r>
    </w:p>
    <w:p>
      <w:pPr>
        <w:spacing w:after="80"/>
      </w:pPr>
      <w:r>
        <w:rPr>
          <w:rFonts w:ascii="Yu Gothic" w:hAnsi="Yu Gothic" w:eastAsia="Yu Gothic"/>
          <w:b/>
          <w:color w:val="CC8800"/>
          <w:sz w:val="20"/>
        </w:rPr>
        <w:t xml:space="preserve">▲ [要確認] </w:t>
      </w:r>
      <w:r>
        <w:rPr>
          <w:rFonts w:ascii="Yu Gothic" w:hAnsi="Yu Gothic" w:eastAsia="Yu Gothic"/>
          <w:b/>
          <w:sz w:val="20"/>
        </w:rPr>
        <w:t>従業員数の記載</w:t>
      </w:r>
    </w:p>
    <w:p>
      <w:pPr>
        <w:spacing w:after="160"/>
        <w:ind w:left="567"/>
      </w:pPr>
      <w:r>
        <w:rPr>
          <w:rFonts w:ascii="Yu Gothic" w:hAnsi="Yu Gothic" w:eastAsia="Yu Gothic"/>
          <w:color w:val="333333"/>
          <w:sz w:val="19"/>
        </w:rPr>
        <w:t>基本情報で「常時使用する従業員数：4」、経営計画で「正社員4名（うち技能実習生3名）」。</w:t>
        <w:br/>
        <w:t>小規模事業者の定義上、製造業その他は20人以下で該当。ただし代表者（役員）は常時使用する従業員に含まないため、</w:t>
        <w:br/>
        <w:t>代表を除いた4名が正社員全員＝従業員数4名で整合。問題なし。</w:t>
        <w:br/>
        <w:t>なお、最低賃金の労働者が3名記載されているが、残り1名は最低賃金以上か確認を推奨。</w:t>
      </w:r>
    </w:p>
    <w:p>
      <w:pPr>
        <w:pStyle w:val="Heading1"/>
      </w:pPr>
      <w:r>
        <w:rPr>
          <w:rFonts w:ascii="Yu Gothic" w:hAnsi="Yu Gothic" w:eastAsia="Yu Gothic"/>
        </w:rPr>
        <w:t>3. 経費・補助金額の計算整合性</w:t>
      </w:r>
    </w:p>
    <w:p>
      <w:pPr>
        <w:spacing w:after="80"/>
      </w:pPr>
      <w:r>
        <w:rPr>
          <w:rFonts w:ascii="Yu Gothic" w:hAnsi="Yu Gothic" w:eastAsia="Yu Gothic"/>
          <w:b/>
          <w:color w:val="008000"/>
          <w:sz w:val="20"/>
        </w:rPr>
        <w:t xml:space="preserve">✓ [OK] </w:t>
      </w:r>
      <w:r>
        <w:rPr>
          <w:rFonts w:ascii="Yu Gothic" w:hAnsi="Yu Gothic" w:eastAsia="Yu Gothic"/>
          <w:b/>
          <w:sz w:val="20"/>
        </w:rPr>
        <w:t>補助対象経費の計算</w:t>
      </w:r>
    </w:p>
    <w:p>
      <w:pPr>
        <w:spacing w:after="160"/>
        <w:ind w:left="567"/>
      </w:pPr>
      <w:r>
        <w:rPr>
          <w:rFonts w:ascii="Yu Gothic" w:hAnsi="Yu Gothic" w:eastAsia="Yu Gothic"/>
          <w:color w:val="333333"/>
          <w:sz w:val="19"/>
        </w:rPr>
        <w:t>①機械装置等費（大割機）：3,800,000円（税抜）</w:t>
        <w:br/>
        <w:t>③ウェブサイト関連費（HP改修）：42,000円（税抜）</w:t>
        <w:br/>
        <w:t>合計(e)：3,842,000円 ← 3,800,000 + 42,000 = 3,842,000 ✓</w:t>
      </w:r>
    </w:p>
    <w:p>
      <w:pPr>
        <w:spacing w:after="80"/>
      </w:pPr>
      <w:r>
        <w:rPr>
          <w:rFonts w:ascii="Yu Gothic" w:hAnsi="Yu Gothic" w:eastAsia="Yu Gothic"/>
          <w:b/>
          <w:color w:val="008000"/>
          <w:sz w:val="20"/>
        </w:rPr>
        <w:t xml:space="preserve">✓ [OK] </w:t>
      </w:r>
      <w:r>
        <w:rPr>
          <w:rFonts w:ascii="Yu Gothic" w:hAnsi="Yu Gothic" w:eastAsia="Yu Gothic"/>
          <w:b/>
          <w:sz w:val="20"/>
        </w:rPr>
        <w:t>補助金交付申請額の計算</w:t>
      </w:r>
    </w:p>
    <w:p>
      <w:pPr>
        <w:spacing w:after="160"/>
        <w:ind w:left="567"/>
      </w:pPr>
      <w:r>
        <w:rPr>
          <w:rFonts w:ascii="Yu Gothic" w:hAnsi="Yu Gothic" w:eastAsia="Yu Gothic"/>
          <w:color w:val="333333"/>
          <w:sz w:val="19"/>
        </w:rPr>
        <w:t>(a) ウェブサイト関連費を除く小計：3,800,000円</w:t>
        <w:br/>
        <w:t>(b) = (a) × 2/3 = 2,533,333円（円未満切捨て）</w:t>
        <w:br/>
        <w:t>ただし賃金引上げ特例で補助上限200万円（50万+150万上乗せ）</w:t>
        <w:br/>
        <w:t>(f) 補助金交付申請額合計：2,000,000円（上限適用）</w:t>
        <w:br/>
        <w:t>(d) ウェブサイト関連費の交付申請額：28,000円</w:t>
        <w:br/>
        <w:t xml:space="preserve">  → 42,000 × 2/3 = 28,000 ✓</w:t>
        <w:br/>
        <w:t xml:space="preserve">  → (f)の1/4 = 500,000円以内 → 28,000 ≤ 500,000 ✓</w:t>
        <w:br/>
        <w:t>(b) = (f) - (d) = 2,000,000 - 28,000 = 1,972,000 ✓</w:t>
      </w:r>
    </w:p>
    <w:p>
      <w:pPr>
        <w:spacing w:after="80"/>
      </w:pPr>
      <w:r>
        <w:rPr>
          <w:rFonts w:ascii="Yu Gothic" w:hAnsi="Yu Gothic" w:eastAsia="Yu Gothic"/>
          <w:b/>
          <w:color w:val="008000"/>
          <w:sz w:val="20"/>
        </w:rPr>
        <w:t xml:space="preserve">✓ [OK] </w:t>
      </w:r>
      <w:r>
        <w:rPr>
          <w:rFonts w:ascii="Yu Gothic" w:hAnsi="Yu Gothic" w:eastAsia="Yu Gothic"/>
          <w:b/>
          <w:sz w:val="20"/>
        </w:rPr>
        <w:t>自己負担額の計算</w:t>
      </w:r>
    </w:p>
    <w:p>
      <w:pPr>
        <w:spacing w:after="160"/>
        <w:ind w:left="567"/>
      </w:pPr>
      <w:r>
        <w:rPr>
          <w:rFonts w:ascii="Yu Gothic" w:hAnsi="Yu Gothic" w:eastAsia="Yu Gothic"/>
          <w:color w:val="333333"/>
          <w:sz w:val="19"/>
        </w:rPr>
        <w:t>(e) - (f) = 3,842,000 - 2,000,000 = 1,842,000円 ✓</w:t>
        <w:br/>
        <w:t>資金調達方法の自己資金1,842,000円と一致。</w:t>
        <w:br/>
        <w:t>合計額 2,000,000 + 1,842,000 = 3,842,000 ✓</w:t>
      </w:r>
    </w:p>
    <w:p>
      <w:pPr>
        <w:spacing w:after="80"/>
      </w:pPr>
      <w:r>
        <w:rPr>
          <w:rFonts w:ascii="Yu Gothic" w:hAnsi="Yu Gothic" w:eastAsia="Yu Gothic"/>
          <w:b/>
          <w:color w:val="008000"/>
          <w:sz w:val="20"/>
        </w:rPr>
        <w:t xml:space="preserve">✓ [OK] </w:t>
      </w:r>
      <w:r>
        <w:rPr>
          <w:rFonts w:ascii="Yu Gothic" w:hAnsi="Yu Gothic" w:eastAsia="Yu Gothic"/>
          <w:b/>
          <w:sz w:val="20"/>
        </w:rPr>
        <w:t>賃金引上げ特例の補助上限</w:t>
      </w:r>
    </w:p>
    <w:p>
      <w:pPr>
        <w:spacing w:after="160"/>
        <w:ind w:left="567"/>
      </w:pPr>
      <w:r>
        <w:rPr>
          <w:rFonts w:ascii="Yu Gothic" w:hAnsi="Yu Gothic" w:eastAsia="Yu Gothic"/>
          <w:color w:val="333333"/>
          <w:sz w:val="19"/>
        </w:rPr>
        <w:t>一般型の補助上限50万円＋賃金引上げ特例150万円上乗せ＝200万円。</w:t>
        <w:br/>
        <w:t>申請額200万円は上限ちょうど。インボイス特例は希望しないため加算なし。整合。</w:t>
      </w:r>
    </w:p>
    <w:p>
      <w:pPr>
        <w:pStyle w:val="Heading1"/>
      </w:pPr>
      <w:r>
        <w:rPr>
          <w:rFonts w:ascii="Yu Gothic" w:hAnsi="Yu Gothic" w:eastAsia="Yu Gothic"/>
        </w:rPr>
        <w:t>4. 数値データ（売上・利益等）の整合性</w:t>
      </w:r>
    </w:p>
    <w:p>
      <w:pPr>
        <w:spacing w:after="80"/>
      </w:pPr>
      <w:r>
        <w:rPr>
          <w:rFonts w:ascii="Yu Gothic" w:hAnsi="Yu Gothic" w:eastAsia="Yu Gothic"/>
          <w:b/>
          <w:color w:val="008000"/>
          <w:sz w:val="20"/>
        </w:rPr>
        <w:t xml:space="preserve">✓ [OK] </w:t>
      </w:r>
      <w:r>
        <w:rPr>
          <w:rFonts w:ascii="Yu Gothic" w:hAnsi="Yu Gothic" w:eastAsia="Yu Gothic"/>
          <w:b/>
          <w:sz w:val="20"/>
        </w:rPr>
        <w:t>直近1期の売上高 113,698,723円</w:t>
      </w:r>
    </w:p>
    <w:p>
      <w:pPr>
        <w:spacing w:after="160"/>
        <w:ind w:left="567"/>
      </w:pPr>
      <w:r>
        <w:rPr>
          <w:rFonts w:ascii="Yu Gothic" w:hAnsi="Yu Gothic" w:eastAsia="Yu Gothic"/>
          <w:color w:val="333333"/>
          <w:sz w:val="19"/>
        </w:rPr>
        <w:t>経営計画のR6年度売上高「1億1,369万円」と一致（万円単位での丸め）。</w:t>
        <w:br/>
        <w:t>「売上1億円突破・黒字転換」の記述とも整合。</w:t>
      </w:r>
    </w:p>
    <w:p>
      <w:pPr>
        <w:spacing w:after="80"/>
      </w:pPr>
      <w:r>
        <w:rPr>
          <w:rFonts w:ascii="Yu Gothic" w:hAnsi="Yu Gothic" w:eastAsia="Yu Gothic"/>
          <w:b/>
          <w:color w:val="008000"/>
          <w:sz w:val="20"/>
        </w:rPr>
        <w:t xml:space="preserve">✓ [OK] </w:t>
      </w:r>
      <w:r>
        <w:rPr>
          <w:rFonts w:ascii="Yu Gothic" w:hAnsi="Yu Gothic" w:eastAsia="Yu Gothic"/>
          <w:b/>
          <w:sz w:val="20"/>
        </w:rPr>
        <w:t>売上総利益 59,091,056円 → 粗利率約52%</w:t>
      </w:r>
    </w:p>
    <w:p>
      <w:pPr>
        <w:spacing w:after="160"/>
        <w:ind w:left="567"/>
      </w:pPr>
      <w:r>
        <w:rPr>
          <w:rFonts w:ascii="Yu Gothic" w:hAnsi="Yu Gothic" w:eastAsia="Yu Gothic"/>
          <w:color w:val="333333"/>
          <w:sz w:val="19"/>
        </w:rPr>
        <w:t>59,091,056 ÷ 113,698,723 ≒ 51.97%。</w:t>
        <w:br/>
        <w:t>経営計画の「原価率48.0%」→粗利率52%と整合。</w:t>
      </w:r>
    </w:p>
    <w:p>
      <w:pPr>
        <w:spacing w:after="80"/>
      </w:pPr>
      <w:r>
        <w:rPr>
          <w:rFonts w:ascii="Yu Gothic" w:hAnsi="Yu Gothic" w:eastAsia="Yu Gothic"/>
          <w:b/>
          <w:color w:val="008000"/>
          <w:sz w:val="20"/>
        </w:rPr>
        <w:t xml:space="preserve">✓ [OK] </w:t>
      </w:r>
      <w:r>
        <w:rPr>
          <w:rFonts w:ascii="Yu Gothic" w:hAnsi="Yu Gothic" w:eastAsia="Yu Gothic"/>
          <w:b/>
          <w:sz w:val="20"/>
        </w:rPr>
        <w:t>経常利益 7,226,463円</w:t>
      </w:r>
    </w:p>
    <w:p>
      <w:pPr>
        <w:spacing w:after="160"/>
        <w:ind w:left="567"/>
      </w:pPr>
      <w:r>
        <w:rPr>
          <w:rFonts w:ascii="Yu Gothic" w:hAnsi="Yu Gothic" w:eastAsia="Yu Gothic"/>
          <w:color w:val="333333"/>
          <w:sz w:val="19"/>
        </w:rPr>
        <w:t>経営計画の「営業利益率4.4%」→ 113,698,723 × 4.4% ≒ 5,002,744円（営業利益）。</w:t>
        <w:br/>
        <w:t>経常利益7,226,463円は営業外収益を含むため、営業利益より大きいのは妥当。</w:t>
      </w:r>
    </w:p>
    <w:p>
      <w:pPr>
        <w:spacing w:after="80"/>
      </w:pPr>
      <w:r>
        <w:rPr>
          <w:rFonts w:ascii="Yu Gothic" w:hAnsi="Yu Gothic" w:eastAsia="Yu Gothic"/>
          <w:b/>
          <w:color w:val="CC8800"/>
          <w:sz w:val="20"/>
        </w:rPr>
        <w:t xml:space="preserve">▲ [要確認] </w:t>
      </w:r>
      <w:r>
        <w:rPr>
          <w:rFonts w:ascii="Yu Gothic" w:hAnsi="Yu Gothic" w:eastAsia="Yu Gothic"/>
          <w:b/>
          <w:sz w:val="20"/>
        </w:rPr>
        <w:t>R4→R6の売上成長「約1.66倍」の検算</w:t>
      </w:r>
    </w:p>
    <w:p>
      <w:pPr>
        <w:spacing w:after="160"/>
        <w:ind w:left="567"/>
      </w:pPr>
      <w:r>
        <w:rPr>
          <w:rFonts w:ascii="Yu Gothic" w:hAnsi="Yu Gothic" w:eastAsia="Yu Gothic"/>
          <w:color w:val="333333"/>
          <w:sz w:val="19"/>
        </w:rPr>
        <w:t>R4年度：6,856万円 → R6年度：1億1,369万円</w:t>
        <w:br/>
        <w:t>11,369 ÷ 6,856 ≒ 1.658倍 → 「約1.66倍」は正確。✓</w:t>
        <w:br/>
        <w:t>ただし、R4→R6は2年間で1.66倍成長だが、5カ年計画ではR9→R13で売上4.5倍を計画。</w:t>
        <w:br/>
        <w:t>R6実績1.13億→R13計画は約5.1億円規模となる想定。非常に野心的な計画であることは認識しておくべき。</w:t>
      </w:r>
    </w:p>
    <w:p>
      <w:pPr>
        <w:spacing w:after="80"/>
      </w:pPr>
      <w:r>
        <w:rPr>
          <w:rFonts w:ascii="Yu Gothic" w:hAnsi="Yu Gothic" w:eastAsia="Yu Gothic"/>
          <w:b/>
          <w:color w:val="CC8800"/>
          <w:sz w:val="20"/>
        </w:rPr>
        <w:t xml:space="preserve">▲ [要確認] </w:t>
      </w:r>
      <w:r>
        <w:rPr>
          <w:rFonts w:ascii="Yu Gothic" w:hAnsi="Yu Gothic" w:eastAsia="Yu Gothic"/>
          <w:b/>
          <w:sz w:val="20"/>
        </w:rPr>
        <w:t>RC造の受注機会逸失額「年間約7,000万円」の根拠</w:t>
      </w:r>
    </w:p>
    <w:p>
      <w:pPr>
        <w:spacing w:after="160"/>
        <w:ind w:left="567"/>
      </w:pPr>
      <w:r>
        <w:rPr>
          <w:rFonts w:ascii="Yu Gothic" w:hAnsi="Yu Gothic" w:eastAsia="Yu Gothic"/>
          <w:color w:val="333333"/>
          <w:sz w:val="19"/>
        </w:rPr>
        <w:t>「RC1件300万円×月2件＝月間600万円」→年間7,200万円。</w:t>
        <w:br/>
        <w:t>書類では「少なく見積もっても年間約7,000万円」としており、月600万×12ヶ月＝7,200万円の端数丸め。</w:t>
        <w:br/>
        <w:t>ただし、現状RC造は月0.1件程度で、月2件受注は20倍の増加。</w:t>
        <w:br/>
        <w:t>実現可能性の観点から、現状の取引先数・営業体制で月2件が妥当か再確認を推奨。</w:t>
      </w:r>
    </w:p>
    <w:p>
      <w:pPr>
        <w:spacing w:after="80"/>
      </w:pPr>
      <w:r>
        <w:rPr>
          <w:rFonts w:ascii="Yu Gothic" w:hAnsi="Yu Gothic" w:eastAsia="Yu Gothic"/>
          <w:b/>
          <w:color w:val="008000"/>
          <w:sz w:val="20"/>
        </w:rPr>
        <w:t xml:space="preserve">✓ [OK] </w:t>
      </w:r>
      <w:r>
        <w:rPr>
          <w:rFonts w:ascii="Yu Gothic" w:hAnsi="Yu Gothic" w:eastAsia="Yu Gothic"/>
          <w:b/>
          <w:sz w:val="20"/>
        </w:rPr>
        <w:t>レンタル費用の計算</w:t>
      </w:r>
    </w:p>
    <w:p>
      <w:pPr>
        <w:spacing w:after="160"/>
        <w:ind w:left="567"/>
      </w:pPr>
      <w:r>
        <w:rPr>
          <w:rFonts w:ascii="Yu Gothic" w:hAnsi="Yu Gothic" w:eastAsia="Yu Gothic"/>
          <w:color w:val="333333"/>
          <w:sz w:val="19"/>
        </w:rPr>
        <w:t>大割機レンタル「日額2.5万円×約12日＝約30万円/件」→ 25,000 × 12 = 300,000円 ✓</w:t>
        <w:br/>
        <w:t>月額レンタル「約30万〜50万円」の記載とも概ね整合。</w:t>
      </w:r>
    </w:p>
    <w:p>
      <w:pPr>
        <w:spacing w:after="80"/>
      </w:pPr>
      <w:r>
        <w:rPr>
          <w:rFonts w:ascii="Yu Gothic" w:hAnsi="Yu Gothic" w:eastAsia="Yu Gothic"/>
          <w:b/>
          <w:color w:val="CC8800"/>
          <w:sz w:val="20"/>
        </w:rPr>
        <w:t xml:space="preserve">▲ [要確認] </w:t>
      </w:r>
      <w:r>
        <w:rPr>
          <w:rFonts w:ascii="Yu Gothic" w:hAnsi="Yu Gothic" w:eastAsia="Yu Gothic"/>
          <w:b/>
          <w:sz w:val="20"/>
        </w:rPr>
        <w:t>大割機購入価格 380万円の投資回収</w:t>
      </w:r>
    </w:p>
    <w:p>
      <w:pPr>
        <w:spacing w:after="160"/>
        <w:ind w:left="567"/>
      </w:pPr>
      <w:r>
        <w:rPr>
          <w:rFonts w:ascii="Yu Gothic" w:hAnsi="Yu Gothic" w:eastAsia="Yu Gothic"/>
          <w:color w:val="333333"/>
          <w:sz w:val="19"/>
        </w:rPr>
        <w:t>レンタル費削減効果：1件あたり30万円。年間12件のRC造受注で360万円/年の削減。</w:t>
        <w:br/>
        <w:t>→ 投資回収期間は約1年強。自己負担184.2万円ベースでは半年程度。</w:t>
        <w:br/>
        <w:t>計算自体は整合しているが、「月間施工可能件数0.1件→3.8件」の飛躍が大きい。</w:t>
        <w:br/>
        <w:t>段階的な成長シナリオ（初年度は月1件等）も補足できると説得力が増す。</w:t>
      </w:r>
    </w:p>
    <w:p>
      <w:pPr>
        <w:pStyle w:val="Heading1"/>
      </w:pPr>
      <w:r>
        <w:rPr>
          <w:rFonts w:ascii="Yu Gothic" w:hAnsi="Yu Gothic" w:eastAsia="Yu Gothic"/>
        </w:rPr>
        <w:t>5. 参照元データ・出典の信頼性チェック</w:t>
      </w:r>
    </w:p>
    <w:p>
      <w:pPr>
        <w:spacing w:after="240"/>
      </w:pPr>
      <w:r>
        <w:rPr>
          <w:rFonts w:ascii="Yu Gothic" w:hAnsi="Yu Gothic" w:eastAsia="Yu Gothic"/>
          <w:sz w:val="21"/>
        </w:rPr>
        <w:t>申請書内で引用されている統計データ・出典について、信頼性を確認しました。</w:t>
      </w:r>
    </w:p>
    <w:p>
      <w:pPr>
        <w:spacing w:after="80"/>
      </w:pPr>
      <w:r>
        <w:rPr>
          <w:rFonts w:ascii="Yu Gothic" w:hAnsi="Yu Gothic" w:eastAsia="Yu Gothic"/>
          <w:b/>
          <w:color w:val="008000"/>
          <w:sz w:val="20"/>
        </w:rPr>
        <w:t xml:space="preserve">✓ [OK] </w:t>
      </w:r>
      <w:r>
        <w:rPr>
          <w:rFonts w:ascii="Yu Gothic" w:hAnsi="Yu Gothic" w:eastAsia="Yu Gothic"/>
          <w:b/>
          <w:sz w:val="20"/>
        </w:rPr>
        <w:t>国土交通省「建設工事施工統計調査」— 完成工事高の推移</w:t>
      </w:r>
    </w:p>
    <w:p>
      <w:pPr>
        <w:spacing w:after="160"/>
        <w:ind w:left="567"/>
      </w:pPr>
      <w:r>
        <w:rPr>
          <w:rFonts w:ascii="Yu Gothic" w:hAnsi="Yu Gothic" w:eastAsia="Yu Gothic"/>
          <w:color w:val="333333"/>
          <w:sz w:val="19"/>
        </w:rPr>
        <w:t>2018年度4,857億円→2021年度約9,915億円→直近約1.15兆円。</w:t>
        <w:br/>
        <w:t>国土交通省の公的統計であり、信頼性は高い。</w:t>
        <w:br/>
        <w:t>船井総合研究所「解体工事業界 時流予測レポート2026」も業界内で定評あるレポート。</w:t>
      </w:r>
    </w:p>
    <w:p>
      <w:pPr>
        <w:spacing w:after="80"/>
      </w:pPr>
      <w:r>
        <w:rPr>
          <w:rFonts w:ascii="Yu Gothic" w:hAnsi="Yu Gothic" w:eastAsia="Yu Gothic"/>
          <w:b/>
          <w:color w:val="CC8800"/>
          <w:sz w:val="20"/>
        </w:rPr>
        <w:t xml:space="preserve">▲ [要確認] </w:t>
      </w:r>
      <w:r>
        <w:rPr>
          <w:rFonts w:ascii="Yu Gothic" w:hAnsi="Yu Gothic" w:eastAsia="Yu Gothic"/>
          <w:b/>
          <w:sz w:val="20"/>
        </w:rPr>
        <w:t>「2040年までに4兆円規模」の予測</w:t>
      </w:r>
    </w:p>
    <w:p>
      <w:pPr>
        <w:spacing w:after="160"/>
        <w:ind w:left="567"/>
      </w:pPr>
      <w:r>
        <w:rPr>
          <w:rFonts w:ascii="Yu Gothic" w:hAnsi="Yu Gothic" w:eastAsia="Yu Gothic"/>
          <w:color w:val="333333"/>
          <w:sz w:val="19"/>
        </w:rPr>
        <w:t>出典が「国土交通省『建築物ストック統計』」とされているが、ストック統計自体は</w:t>
        <w:br/>
        <w:t>建築物の床面積・棟数の統計であり、解体市場規模の将来予測を直接示すものではない。</w:t>
        <w:br/>
        <w:t>4兆円予測は船井総合研究所等の民間予測の可能性が高い。</w:t>
        <w:br/>
        <w:t>出典の正確性を再確認するか、「民間調査機関の推計によれば」等の表現に修正を検討。</w:t>
      </w:r>
    </w:p>
    <w:p>
      <w:pPr>
        <w:spacing w:after="80"/>
      </w:pPr>
      <w:r>
        <w:rPr>
          <w:rFonts w:ascii="Yu Gothic" w:hAnsi="Yu Gothic" w:eastAsia="Yu Gothic"/>
          <w:b/>
          <w:color w:val="008000"/>
          <w:sz w:val="20"/>
        </w:rPr>
        <w:t xml:space="preserve">✓ [OK] </w:t>
      </w:r>
      <w:r>
        <w:rPr>
          <w:rFonts w:ascii="Yu Gothic" w:hAnsi="Yu Gothic" w:eastAsia="Yu Gothic"/>
          <w:b/>
          <w:sz w:val="20"/>
        </w:rPr>
        <w:t>みずほ銀行「Mizuho Industry Focus」2024年3月</w:t>
      </w:r>
    </w:p>
    <w:p>
      <w:pPr>
        <w:spacing w:after="160"/>
        <w:ind w:left="567"/>
      </w:pPr>
      <w:r>
        <w:rPr>
          <w:rFonts w:ascii="Yu Gothic" w:hAnsi="Yu Gothic" w:eastAsia="Yu Gothic"/>
          <w:color w:val="333333"/>
          <w:sz w:val="19"/>
        </w:rPr>
        <w:t>みずほ銀行の産業調査レポートは信頼性の高い公開資料。</w:t>
        <w:br/>
        <w:t>RC造・SRC造の築50-60年での解体時期到来の記述は業界の一般的見解と整合。</w:t>
      </w:r>
    </w:p>
    <w:p>
      <w:pPr>
        <w:spacing w:after="80"/>
      </w:pPr>
      <w:r>
        <w:rPr>
          <w:rFonts w:ascii="Yu Gothic" w:hAnsi="Yu Gothic" w:eastAsia="Yu Gothic"/>
          <w:b/>
          <w:color w:val="008000"/>
          <w:sz w:val="20"/>
        </w:rPr>
        <w:t xml:space="preserve">✓ [OK] </w:t>
      </w:r>
      <w:r>
        <w:rPr>
          <w:rFonts w:ascii="Yu Gothic" w:hAnsi="Yu Gothic" w:eastAsia="Yu Gothic"/>
          <w:b/>
          <w:sz w:val="20"/>
        </w:rPr>
        <w:t>奈良市の空き家率17.0%（令和5年）</w:t>
      </w:r>
    </w:p>
    <w:p>
      <w:pPr>
        <w:spacing w:after="160"/>
        <w:ind w:left="567"/>
      </w:pPr>
      <w:r>
        <w:rPr>
          <w:rFonts w:ascii="Yu Gothic" w:hAnsi="Yu Gothic" w:eastAsia="Yu Gothic"/>
          <w:color w:val="333333"/>
          <w:sz w:val="19"/>
        </w:rPr>
        <w:t>出典「奈良市『令和6年度 奈良市空き家等実態調査報告書』2025年2月公表」。</w:t>
        <w:br/>
        <w:t>自治体の公式調査であり信頼性は高い。全国平均（13.8%）を大きく上回る数値。</w:t>
      </w:r>
    </w:p>
    <w:p>
      <w:pPr>
        <w:spacing w:after="80"/>
      </w:pPr>
      <w:r>
        <w:rPr>
          <w:rFonts w:ascii="Yu Gothic" w:hAnsi="Yu Gothic" w:eastAsia="Yu Gothic"/>
          <w:b/>
          <w:color w:val="008000"/>
          <w:sz w:val="20"/>
        </w:rPr>
        <w:t xml:space="preserve">✓ [OK] </w:t>
      </w:r>
      <w:r>
        <w:rPr>
          <w:rFonts w:ascii="Yu Gothic" w:hAnsi="Yu Gothic" w:eastAsia="Yu Gothic"/>
          <w:b/>
          <w:sz w:val="20"/>
        </w:rPr>
        <w:t>奈良県の空き家数9.4万戸・空き家率14.6%</w:t>
      </w:r>
    </w:p>
    <w:p>
      <w:pPr>
        <w:spacing w:after="160"/>
        <w:ind w:left="567"/>
      </w:pPr>
      <w:r>
        <w:rPr>
          <w:rFonts w:ascii="Yu Gothic" w:hAnsi="Yu Gothic" w:eastAsia="Yu Gothic"/>
          <w:color w:val="333333"/>
          <w:sz w:val="19"/>
        </w:rPr>
        <w:t>出典「総務省『令和5年住宅・土地統計調査』」。国の基幹統計であり最高レベルの信頼性。</w:t>
      </w:r>
    </w:p>
    <w:p>
      <w:pPr>
        <w:spacing w:after="80"/>
      </w:pPr>
      <w:r>
        <w:rPr>
          <w:rFonts w:ascii="Yu Gothic" w:hAnsi="Yu Gothic" w:eastAsia="Yu Gothic"/>
          <w:b/>
          <w:color w:val="008000"/>
          <w:sz w:val="20"/>
        </w:rPr>
        <w:t xml:space="preserve">✓ [OK] </w:t>
      </w:r>
      <w:r>
        <w:rPr>
          <w:rFonts w:ascii="Yu Gothic" w:hAnsi="Yu Gothic" w:eastAsia="Yu Gothic"/>
          <w:b/>
          <w:sz w:val="20"/>
        </w:rPr>
        <w:t>奈良県の高齢化率32.9%（2024年）</w:t>
      </w:r>
    </w:p>
    <w:p>
      <w:pPr>
        <w:spacing w:after="160"/>
        <w:ind w:left="567"/>
      </w:pPr>
      <w:r>
        <w:rPr>
          <w:rFonts w:ascii="Yu Gothic" w:hAnsi="Yu Gothic" w:eastAsia="Yu Gothic"/>
          <w:color w:val="333333"/>
          <w:sz w:val="19"/>
        </w:rPr>
        <w:t>出典「内閣府『令和6年版高齢社会白書』」。政府公式白書であり信頼性は最高。</w:t>
        <w:br/>
        <w:t>全国平均29.3%との比較も正確。</w:t>
      </w:r>
    </w:p>
    <w:p>
      <w:pPr>
        <w:spacing w:after="80"/>
      </w:pPr>
      <w:r>
        <w:rPr>
          <w:rFonts w:ascii="Yu Gothic" w:hAnsi="Yu Gothic" w:eastAsia="Yu Gothic"/>
          <w:b/>
          <w:color w:val="008000"/>
          <w:sz w:val="20"/>
        </w:rPr>
        <w:t xml:space="preserve">✓ [OK] </w:t>
      </w:r>
      <w:r>
        <w:rPr>
          <w:rFonts w:ascii="Yu Gothic" w:hAnsi="Yu Gothic" w:eastAsia="Yu Gothic"/>
          <w:b/>
          <w:sz w:val="20"/>
        </w:rPr>
        <w:t>建設業就業者 1997年464万人→2024年303万人（35%減少）</w:t>
      </w:r>
    </w:p>
    <w:p>
      <w:pPr>
        <w:spacing w:after="160"/>
        <w:ind w:left="567"/>
      </w:pPr>
      <w:r>
        <w:rPr>
          <w:rFonts w:ascii="Yu Gothic" w:hAnsi="Yu Gothic" w:eastAsia="Yu Gothic"/>
          <w:color w:val="333333"/>
          <w:sz w:val="19"/>
        </w:rPr>
        <w:t>国土交通省・総務省の労働力統計に基づく数値。35.9%が55歳以上という高齢化率も</w:t>
        <w:br/>
        <w:t>建設業界の公知の課題として各種白書で確認可能。</w:t>
      </w:r>
    </w:p>
    <w:p>
      <w:pPr>
        <w:spacing w:after="80"/>
      </w:pPr>
      <w:r>
        <w:rPr>
          <w:rFonts w:ascii="Yu Gothic" w:hAnsi="Yu Gothic" w:eastAsia="Yu Gothic"/>
          <w:b/>
          <w:color w:val="008000"/>
          <w:sz w:val="20"/>
        </w:rPr>
        <w:t xml:space="preserve">✓ [OK] </w:t>
      </w:r>
      <w:r>
        <w:rPr>
          <w:rFonts w:ascii="Yu Gothic" w:hAnsi="Yu Gothic" w:eastAsia="Yu Gothic"/>
          <w:b/>
          <w:sz w:val="20"/>
        </w:rPr>
        <w:t>2018年大阪北部地震の一部損壊61,266棟</w:t>
      </w:r>
    </w:p>
    <w:p>
      <w:pPr>
        <w:spacing w:after="160"/>
        <w:ind w:left="567"/>
      </w:pPr>
      <w:r>
        <w:rPr>
          <w:rFonts w:ascii="Yu Gothic" w:hAnsi="Yu Gothic" w:eastAsia="Yu Gothic"/>
          <w:color w:val="333333"/>
          <w:sz w:val="19"/>
        </w:rPr>
        <w:t>消防庁の災害報告等で確認可能な公的データ。屋根瓦損壊が大多数という記述も</w:t>
        <w:br/>
        <w:t>報道・調査報告と整合。</w:t>
      </w:r>
    </w:p>
    <w:p>
      <w:pPr>
        <w:spacing w:after="80"/>
      </w:pPr>
      <w:r>
        <w:rPr>
          <w:rFonts w:ascii="Yu Gothic" w:hAnsi="Yu Gothic" w:eastAsia="Yu Gothic"/>
          <w:b/>
          <w:color w:val="008000"/>
          <w:sz w:val="20"/>
        </w:rPr>
        <w:t xml:space="preserve">✓ [OK] </w:t>
      </w:r>
      <w:r>
        <w:rPr>
          <w:rFonts w:ascii="Yu Gothic" w:hAnsi="Yu Gothic" w:eastAsia="Yu Gothic"/>
          <w:b/>
          <w:sz w:val="20"/>
        </w:rPr>
        <w:t>アスベスト関連 — 昭和31年〜平成18年の民間建築物約280万棟</w:t>
      </w:r>
    </w:p>
    <w:p>
      <w:pPr>
        <w:spacing w:after="160"/>
        <w:ind w:left="567"/>
      </w:pPr>
      <w:r>
        <w:rPr>
          <w:rFonts w:ascii="Yu Gothic" w:hAnsi="Yu Gothic" w:eastAsia="Yu Gothic"/>
          <w:color w:val="333333"/>
          <w:sz w:val="19"/>
        </w:rPr>
        <w:t>出典「環境省『石綿の飛散防止対策の更なる強化について』」。</w:t>
        <w:br/>
        <w:t>2022年4月の大気汚染防止法改正、2023年10月の有資格者義務化もすべて正確。</w:t>
      </w:r>
    </w:p>
    <w:p>
      <w:pPr>
        <w:spacing w:after="80"/>
      </w:pPr>
      <w:r>
        <w:rPr>
          <w:rFonts w:ascii="Yu Gothic" w:hAnsi="Yu Gothic" w:eastAsia="Yu Gothic"/>
          <w:b/>
          <w:color w:val="CC8800"/>
          <w:sz w:val="20"/>
        </w:rPr>
        <w:t xml:space="preserve">▲ [要確認] </w:t>
      </w:r>
      <w:r>
        <w:rPr>
          <w:rFonts w:ascii="Yu Gothic" w:hAnsi="Yu Gothic" w:eastAsia="Yu Gothic"/>
          <w:b/>
          <w:sz w:val="20"/>
        </w:rPr>
        <w:t>建設廃棄物リサイクル市場 年平均3.87%成長（2034年まで）</w:t>
      </w:r>
    </w:p>
    <w:p>
      <w:pPr>
        <w:spacing w:after="160"/>
        <w:ind w:left="567"/>
      </w:pPr>
      <w:r>
        <w:rPr>
          <w:rFonts w:ascii="Yu Gothic" w:hAnsi="Yu Gothic" w:eastAsia="Yu Gothic"/>
          <w:color w:val="333333"/>
          <w:sz w:val="19"/>
        </w:rPr>
        <w:t>出典「NEWSCAST 2026年3月」。NEWSCASTはプレスリリース配信サービスであり、</w:t>
        <w:br/>
        <w:t>一次情報源ではない。元の調査レポート発行元（Mordor Intelligence等の</w:t>
        <w:br/>
        <w:t>民間調査会社の可能性）を特定し、そちらを出典とすることが望ましい。</w:t>
        <w:br/>
        <w:t>審査員が出典を確認しようとした際に情報到達が困難な可能性あり。</w:t>
      </w:r>
    </w:p>
    <w:p>
      <w:pPr>
        <w:spacing w:after="80"/>
      </w:pPr>
      <w:r>
        <w:rPr>
          <w:rFonts w:ascii="Yu Gothic" w:hAnsi="Yu Gothic" w:eastAsia="Yu Gothic"/>
          <w:b/>
          <w:color w:val="CC8800"/>
          <w:sz w:val="20"/>
        </w:rPr>
        <w:t xml:space="preserve">▲ [要確認] </w:t>
      </w:r>
      <w:r>
        <w:rPr>
          <w:rFonts w:ascii="Yu Gothic" w:hAnsi="Yu Gothic" w:eastAsia="Yu Gothic"/>
          <w:b/>
          <w:sz w:val="20"/>
        </w:rPr>
        <w:t>奈良県内の住宅利活用期間37.3年</w:t>
      </w:r>
    </w:p>
    <w:p>
      <w:pPr>
        <w:spacing w:after="160"/>
        <w:ind w:left="567"/>
      </w:pPr>
      <w:r>
        <w:rPr>
          <w:rFonts w:ascii="Yu Gothic" w:hAnsi="Yu Gothic" w:eastAsia="Yu Gothic"/>
          <w:color w:val="333333"/>
          <w:sz w:val="19"/>
        </w:rPr>
        <w:t>出典「奈良県『奈良県住生活基本計画』2017年3月」。</w:t>
        <w:br/>
        <w:t>2017年のデータであり、現時点で約9年前の情報。</w:t>
        <w:br/>
        <w:t>最新版が公表されていないか確認を推奨。内容自体は公的計画の数値であり信頼性は高い。</w:t>
      </w:r>
    </w:p>
    <w:p>
      <w:pPr>
        <w:spacing w:after="80"/>
      </w:pPr>
      <w:r>
        <w:rPr>
          <w:rFonts w:ascii="Yu Gothic" w:hAnsi="Yu Gothic" w:eastAsia="Yu Gothic"/>
          <w:b/>
          <w:color w:val="CC8800"/>
          <w:sz w:val="20"/>
        </w:rPr>
        <w:t xml:space="preserve">▲ [要確認] </w:t>
      </w:r>
      <w:r>
        <w:rPr>
          <w:rFonts w:ascii="Yu Gothic" w:hAnsi="Yu Gothic" w:eastAsia="Yu Gothic"/>
          <w:b/>
          <w:sz w:val="20"/>
        </w:rPr>
        <w:t>奈良県「奈良県環境総合計画（2026-2030）案」</w:t>
      </w:r>
    </w:p>
    <w:p>
      <w:pPr>
        <w:spacing w:after="160"/>
        <w:ind w:left="567"/>
      </w:pPr>
      <w:r>
        <w:rPr>
          <w:rFonts w:ascii="Yu Gothic" w:hAnsi="Yu Gothic" w:eastAsia="Yu Gothic"/>
          <w:color w:val="333333"/>
          <w:sz w:val="19"/>
        </w:rPr>
        <w:t>「案」とされている。2026年4月時点で正式決定されているか確認を推奨。</w:t>
        <w:br/>
        <w:t>正式決定済みであれば「案」を外し、未決定であれば「案」のまま引用する旨を明記。</w:t>
      </w:r>
    </w:p>
    <w:p>
      <w:pPr>
        <w:pStyle w:val="Heading1"/>
      </w:pPr>
      <w:r>
        <w:rPr>
          <w:rFonts w:ascii="Yu Gothic" w:hAnsi="Yu Gothic" w:eastAsia="Yu Gothic"/>
        </w:rPr>
        <w:t>6. その他の確認事項</w:t>
      </w:r>
    </w:p>
    <w:p>
      <w:pPr>
        <w:spacing w:after="80"/>
      </w:pPr>
      <w:r>
        <w:rPr>
          <w:rFonts w:ascii="Yu Gothic" w:hAnsi="Yu Gothic" w:eastAsia="Yu Gothic"/>
          <w:b/>
          <w:color w:val="008000"/>
          <w:sz w:val="20"/>
        </w:rPr>
        <w:t xml:space="preserve">✓ [OK] </w:t>
      </w:r>
      <w:r>
        <w:rPr>
          <w:rFonts w:ascii="Yu Gothic" w:hAnsi="Yu Gothic" w:eastAsia="Yu Gothic"/>
          <w:b/>
          <w:sz w:val="20"/>
        </w:rPr>
        <w:t>賃金引上げ特例 — 最低賃金の確認</w:t>
      </w:r>
    </w:p>
    <w:p>
      <w:pPr>
        <w:spacing w:after="160"/>
        <w:ind w:left="567"/>
      </w:pPr>
      <w:r>
        <w:rPr>
          <w:rFonts w:ascii="Yu Gothic" w:hAnsi="Yu Gothic" w:eastAsia="Yu Gothic"/>
          <w:color w:val="333333"/>
          <w:sz w:val="19"/>
        </w:rPr>
        <w:t>事業場内最低賃金：1,052円/時（3名とも同額）。</w:t>
        <w:br/>
        <w:t>奈良県の地域別最低賃金：1,051円。→ 1円上回っており要件を満たす。</w:t>
        <w:br/>
        <w:t>賃金引上げ特例（+150万円上乗せ）の前提条件として整合。</w:t>
      </w:r>
    </w:p>
    <w:p>
      <w:pPr>
        <w:spacing w:after="80"/>
      </w:pPr>
      <w:r>
        <w:rPr>
          <w:rFonts w:ascii="Yu Gothic" w:hAnsi="Yu Gothic" w:eastAsia="Yu Gothic"/>
          <w:b/>
          <w:color w:val="008000"/>
          <w:sz w:val="20"/>
        </w:rPr>
        <w:t xml:space="preserve">✓ [OK] </w:t>
      </w:r>
      <w:r>
        <w:rPr>
          <w:rFonts w:ascii="Yu Gothic" w:hAnsi="Yu Gothic" w:eastAsia="Yu Gothic"/>
          <w:b/>
          <w:sz w:val="20"/>
        </w:rPr>
        <w:t>事業環境変化加点の記述内容</w:t>
      </w:r>
    </w:p>
    <w:p>
      <w:pPr>
        <w:spacing w:after="160"/>
        <w:ind w:left="567"/>
      </w:pPr>
      <w:r>
        <w:rPr>
          <w:rFonts w:ascii="Yu Gothic" w:hAnsi="Yu Gothic" w:eastAsia="Yu Gothic"/>
          <w:color w:val="333333"/>
          <w:sz w:val="19"/>
        </w:rPr>
        <w:t>軽油価格高騰（約30%上昇）、鉄鋼・資材価格高騰、米国相互関税の間接的影響。</w:t>
        <w:br/>
        <w:t>いずれも2025-2026年の経済環境として妥当な記述。具体的な数値（150-200万円増）も示されている。</w:t>
      </w:r>
    </w:p>
    <w:p>
      <w:pPr>
        <w:spacing w:after="80"/>
      </w:pPr>
      <w:r>
        <w:rPr>
          <w:rFonts w:ascii="Yu Gothic" w:hAnsi="Yu Gothic" w:eastAsia="Yu Gothic"/>
          <w:b/>
          <w:color w:val="008000"/>
          <w:sz w:val="20"/>
        </w:rPr>
        <w:t xml:space="preserve">✓ [OK] </w:t>
      </w:r>
      <w:r>
        <w:rPr>
          <w:rFonts w:ascii="Yu Gothic" w:hAnsi="Yu Gothic" w:eastAsia="Yu Gothic"/>
          <w:b/>
          <w:sz w:val="20"/>
        </w:rPr>
        <w:t>アドバイス料165,000円の記載</w:t>
      </w:r>
    </w:p>
    <w:p>
      <w:pPr>
        <w:spacing w:after="160"/>
        <w:ind w:left="567"/>
      </w:pPr>
      <w:r>
        <w:rPr>
          <w:rFonts w:ascii="Yu Gothic" w:hAnsi="Yu Gothic" w:eastAsia="Yu Gothic"/>
          <w:color w:val="333333"/>
          <w:sz w:val="19"/>
        </w:rPr>
        <w:t>レパード行政書士事務所からのアドバイス料165,000円（税込）を正直に申告。</w:t>
        <w:br/>
        <w:t>補助対象経費には含まれておらず、問題なし。</w:t>
      </w:r>
    </w:p>
    <w:p>
      <w:pPr>
        <w:spacing w:after="80"/>
      </w:pPr>
      <w:r>
        <w:rPr>
          <w:rFonts w:ascii="Yu Gothic" w:hAnsi="Yu Gothic" w:eastAsia="Yu Gothic"/>
          <w:b/>
          <w:color w:val="008000"/>
          <w:sz w:val="20"/>
        </w:rPr>
        <w:t xml:space="preserve">✓ [OK] </w:t>
      </w:r>
      <w:r>
        <w:rPr>
          <w:rFonts w:ascii="Yu Gothic" w:hAnsi="Yu Gothic" w:eastAsia="Yu Gothic"/>
          <w:b/>
          <w:sz w:val="20"/>
        </w:rPr>
        <w:t>過去の持続化補助金の採択実績</w:t>
      </w:r>
    </w:p>
    <w:p>
      <w:pPr>
        <w:spacing w:after="160"/>
        <w:ind w:left="567"/>
      </w:pPr>
      <w:r>
        <w:rPr>
          <w:rFonts w:ascii="Yu Gothic" w:hAnsi="Yu Gothic" w:eastAsia="Yu Gothic"/>
          <w:color w:val="333333"/>
          <w:sz w:val="19"/>
        </w:rPr>
        <w:t>一般型・コロナ特別対応型・低感染リスク型・創業型すべて「いいえ」。</w:t>
        <w:br/>
        <w:t>初回申請であり、重複申請の問題なし。</w:t>
      </w:r>
    </w:p>
    <w:p>
      <w:pPr>
        <w:spacing w:after="80"/>
      </w:pPr>
      <w:r>
        <w:rPr>
          <w:rFonts w:ascii="Yu Gothic" w:hAnsi="Yu Gothic" w:eastAsia="Yu Gothic"/>
          <w:b/>
          <w:color w:val="008000"/>
          <w:sz w:val="20"/>
        </w:rPr>
        <w:t xml:space="preserve">✓ [OK] </w:t>
      </w:r>
      <w:r>
        <w:rPr>
          <w:rFonts w:ascii="Yu Gothic" w:hAnsi="Yu Gothic" w:eastAsia="Yu Gothic"/>
          <w:b/>
          <w:sz w:val="20"/>
        </w:rPr>
        <w:t>様式4（事業支援計画書）の有無</w:t>
      </w:r>
    </w:p>
    <w:p>
      <w:pPr>
        <w:spacing w:after="160"/>
        <w:ind w:left="567"/>
      </w:pPr>
      <w:r>
        <w:rPr>
          <w:rFonts w:ascii="Yu Gothic" w:hAnsi="Yu Gothic" w:eastAsia="Yu Gothic"/>
          <w:color w:val="333333"/>
          <w:sz w:val="19"/>
        </w:rPr>
        <w:t>奈良商工会議所からの様式4が添付済み。必須書類として確認。</w:t>
      </w:r>
    </w:p>
    <w:p>
      <w:pPr>
        <w:spacing w:after="80"/>
      </w:pPr>
      <w:r>
        <w:rPr>
          <w:rFonts w:ascii="Yu Gothic" w:hAnsi="Yu Gothic" w:eastAsia="Yu Gothic"/>
          <w:b/>
          <w:color w:val="CC8800"/>
          <w:sz w:val="20"/>
        </w:rPr>
        <w:t xml:space="preserve">▲ [要確認] </w:t>
      </w:r>
      <w:r>
        <w:rPr>
          <w:rFonts w:ascii="Yu Gothic" w:hAnsi="Yu Gothic" w:eastAsia="Yu Gothic"/>
          <w:b/>
          <w:sz w:val="20"/>
        </w:rPr>
        <w:t>大割機のサイズ表記「0.25」と「0.2」の混在</w:t>
      </w:r>
    </w:p>
    <w:p>
      <w:pPr>
        <w:spacing w:after="160"/>
        <w:ind w:left="567"/>
      </w:pPr>
      <w:r>
        <w:rPr>
          <w:rFonts w:ascii="Yu Gothic" w:hAnsi="Yu Gothic" w:eastAsia="Yu Gothic"/>
          <w:color w:val="333333"/>
          <w:sz w:val="19"/>
        </w:rPr>
        <w:t>補助事業計画では「オカダアイヨン製0.25大割機」と記載されているが、</w:t>
        <w:br/>
        <w:t>経費明細表では「オカダアイヨン0.2大割機」と記載。</w:t>
        <w:br/>
        <w:t>0.25と0.2のどちらが正しいか確認し、統一が必要。</w:t>
        <w:br/>
        <w:t>見積書の型番「TSWD720V FR」との整合も再確認を推奨。</w:t>
      </w:r>
    </w:p>
    <w:p>
      <w:pPr>
        <w:pStyle w:val="Heading1"/>
      </w:pPr>
      <w:r>
        <w:rPr>
          <w:rFonts w:ascii="Yu Gothic" w:hAnsi="Yu Gothic" w:eastAsia="Yu Gothic"/>
        </w:rPr>
        <w:t>7. 修正推奨事項まとめ（優先度順）</w:t>
      </w:r>
    </w:p>
    <w:p>
      <w:pPr>
        <w:spacing w:after="40"/>
      </w:pPr>
      <w:r>
        <w:rPr>
          <w:rFonts w:ascii="Yu Gothic" w:hAnsi="Yu Gothic" w:eastAsia="Yu Gothic"/>
          <w:b/>
          <w:sz w:val="21"/>
        </w:rPr>
        <w:t>1. 【高】大割機のサイズ表記統一</w:t>
      </w:r>
    </w:p>
    <w:p>
      <w:pPr>
        <w:spacing w:after="200"/>
        <w:ind w:left="454"/>
      </w:pPr>
      <w:r>
        <w:rPr>
          <w:rFonts w:ascii="Yu Gothic" w:hAnsi="Yu Gothic" w:eastAsia="Yu Gothic"/>
          <w:sz w:val="19"/>
        </w:rPr>
        <w:t>補助事業計画「0.25大割機」↔ 経費明細表「0.2大割機」の不一致を解消。型番との整合を確認の上、全箇所統一。</w:t>
      </w:r>
    </w:p>
    <w:p>
      <w:pPr>
        <w:spacing w:after="40"/>
      </w:pPr>
      <w:r>
        <w:rPr>
          <w:rFonts w:ascii="Yu Gothic" w:hAnsi="Yu Gothic" w:eastAsia="Yu Gothic"/>
          <w:b/>
          <w:sz w:val="21"/>
        </w:rPr>
        <w:t>2. 【中】出典「2040年4兆円予測」の正確な出典元確認</w:t>
      </w:r>
    </w:p>
    <w:p>
      <w:pPr>
        <w:spacing w:after="200"/>
        <w:ind w:left="454"/>
      </w:pPr>
      <w:r>
        <w:rPr>
          <w:rFonts w:ascii="Yu Gothic" w:hAnsi="Yu Gothic" w:eastAsia="Yu Gothic"/>
          <w:sz w:val="19"/>
        </w:rPr>
        <w:t>国土交通省「建築物ストック統計」からの直接引用でない可能性。出典元を確認し修正。</w:t>
      </w:r>
    </w:p>
    <w:p>
      <w:pPr>
        <w:spacing w:after="40"/>
      </w:pPr>
      <w:r>
        <w:rPr>
          <w:rFonts w:ascii="Yu Gothic" w:hAnsi="Yu Gothic" w:eastAsia="Yu Gothic"/>
          <w:b/>
          <w:sz w:val="21"/>
        </w:rPr>
        <w:t>3. 【中】出典「NEWSCAST」の一次情報源への差し替え</w:t>
      </w:r>
    </w:p>
    <w:p>
      <w:pPr>
        <w:spacing w:after="200"/>
        <w:ind w:left="454"/>
      </w:pPr>
      <w:r>
        <w:rPr>
          <w:rFonts w:ascii="Yu Gothic" w:hAnsi="Yu Gothic" w:eastAsia="Yu Gothic"/>
          <w:sz w:val="19"/>
        </w:rPr>
        <w:t>プレスリリース配信サービスではなく、元の調査レポート発行元を出典にすることを推奨。</w:t>
      </w:r>
    </w:p>
    <w:p>
      <w:pPr>
        <w:spacing w:after="40"/>
      </w:pPr>
      <w:r>
        <w:rPr>
          <w:rFonts w:ascii="Yu Gothic" w:hAnsi="Yu Gothic" w:eastAsia="Yu Gothic"/>
          <w:b/>
          <w:sz w:val="21"/>
        </w:rPr>
        <w:t>4. 【低】連絡先住所の表記統一</w:t>
      </w:r>
    </w:p>
    <w:p>
      <w:pPr>
        <w:spacing w:after="200"/>
        <w:ind w:left="454"/>
      </w:pPr>
      <w:r>
        <w:rPr>
          <w:rFonts w:ascii="Yu Gothic" w:hAnsi="Yu Gothic" w:eastAsia="Yu Gothic"/>
          <w:sz w:val="19"/>
        </w:rPr>
        <w:t>「18番7号」と「18−7」の表記ゆれ。公的書類として統一が望ましい。</w:t>
      </w:r>
    </w:p>
    <w:p>
      <w:pPr>
        <w:spacing w:after="40"/>
      </w:pPr>
      <w:r>
        <w:rPr>
          <w:rFonts w:ascii="Yu Gothic" w:hAnsi="Yu Gothic" w:eastAsia="Yu Gothic"/>
          <w:b/>
          <w:sz w:val="21"/>
        </w:rPr>
        <w:t>5. 【低】奈良県環境総合計画の「案」表記確認</w:t>
      </w:r>
    </w:p>
    <w:p>
      <w:pPr>
        <w:spacing w:after="200"/>
        <w:ind w:left="454"/>
      </w:pPr>
      <w:r>
        <w:rPr>
          <w:rFonts w:ascii="Yu Gothic" w:hAnsi="Yu Gothic" w:eastAsia="Yu Gothic"/>
          <w:sz w:val="19"/>
        </w:rPr>
        <w:t>正式決定済みか確認し、適宜修正。</w:t>
      </w:r>
    </w:p>
    <w:p>
      <w:pPr>
        <w:spacing w:after="40"/>
      </w:pPr>
      <w:r>
        <w:rPr>
          <w:rFonts w:ascii="Yu Gothic" w:hAnsi="Yu Gothic" w:eastAsia="Yu Gothic"/>
          <w:b/>
          <w:sz w:val="21"/>
        </w:rPr>
        <w:t>6. 【低】奈良県住生活基本計画（2017年）の最新版確認</w:t>
      </w:r>
    </w:p>
    <w:p>
      <w:pPr>
        <w:spacing w:after="200"/>
        <w:ind w:left="454"/>
      </w:pPr>
      <w:r>
        <w:rPr>
          <w:rFonts w:ascii="Yu Gothic" w:hAnsi="Yu Gothic" w:eastAsia="Yu Gothic"/>
          <w:sz w:val="19"/>
        </w:rPr>
        <w:t>約9年前のデータ。最新版があれば差し替え。</w:t>
      </w:r>
    </w:p>
    <w:p>
      <w:pPr>
        <w:pStyle w:val="Heading1"/>
      </w:pPr>
      <w:r>
        <w:rPr>
          <w:rFonts w:ascii="Yu Gothic" w:hAnsi="Yu Gothic" w:eastAsia="Yu Gothic"/>
        </w:rPr>
        <w:t>8. 結論</w:t>
      </w:r>
    </w:p>
    <w:p>
      <w:pPr>
        <w:spacing w:after="160"/>
      </w:pPr>
      <w:r>
        <w:rPr>
          <w:rFonts w:ascii="Yu Gothic" w:hAnsi="Yu Gothic" w:eastAsia="Yu Gothic"/>
          <w:sz w:val="21"/>
        </w:rPr>
        <w:t>本申請書類は全体として高い完成度にあり、経営計画から補助事業計画への論理展開は一貫しています。補助金額の計算も正確であり、主要な数値に矛盾は見られません。</w:t>
      </w:r>
    </w:p>
    <w:p>
      <w:pPr>
        <w:spacing w:after="160"/>
      </w:pPr>
      <w:r>
        <w:rPr>
          <w:rFonts w:ascii="Yu Gothic" w:hAnsi="Yu Gothic" w:eastAsia="Yu Gothic"/>
          <w:sz w:val="21"/>
        </w:rPr>
        <w:t>最優先で対応すべきは「大割機のサイズ表記（0.25 vs 0.2）」の統一です。経費明細は審査で重点的にチェックされる箇所であり、見積書・カタログとの不一致は減点要因となり得ます。</w:t>
      </w:r>
    </w:p>
    <w:p>
      <w:pPr>
        <w:spacing w:after="160"/>
      </w:pPr>
      <w:r>
        <w:rPr>
          <w:rFonts w:ascii="Yu Gothic" w:hAnsi="Yu Gothic" w:eastAsia="Yu Gothic"/>
          <w:sz w:val="21"/>
        </w:rPr>
        <w:t>出典関連の指摘は、審査員が検証を試みた際の信頼性に関わるものであり、可能な範囲で対応を推奨します。</w:t>
      </w:r>
    </w:p>
    <w:p>
      <w:pPr>
        <w:spacing w:after="160"/>
      </w:pPr>
      <w:r>
        <w:rPr>
          <w:rFonts w:ascii="Yu Gothic" w:hAnsi="Yu Gothic" w:eastAsia="Yu Gothic"/>
          <w:sz w:val="21"/>
        </w:rPr>
        <w:t>※本レポートはPDF上のテキストデータに基づく確認であり、添付ファイル（貸借対照表・損益計算書・賃金台帳等）の内容との突合は含まれていません。別途確認を推奨します。</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