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0056B3"/>
          <w:sz w:val="48"/>
        </w:rPr>
        <w:t>Imairuka 機能一覧</w:t>
      </w:r>
    </w:p>
    <w:p>
      <w:pPr>
        <w:jc w:val="center"/>
      </w:pPr>
      <w:r>
        <w:rPr>
          <w:rFonts w:ascii="Yu Gothic" w:hAnsi="Yu Gothic" w:eastAsia="Yu Gothic"/>
          <w:b w:val="0"/>
          <w:color w:val="5A5A5A"/>
          <w:sz w:val="22"/>
        </w:rPr>
        <w:t>ASP型ローンチ前確認版 / 2026年05月16日</w:t>
      </w:r>
    </w:p>
    <w:p>
      <w:pPr>
        <w:spacing w:after="240"/>
      </w:pPr>
      <w:r>
        <w:rPr>
          <w:rFonts w:ascii="Yu Gothic" w:hAnsi="Yu Gothic" w:eastAsia="Yu Gothic"/>
          <w:b w:val="0"/>
          <w:sz w:val="21"/>
        </w:rPr>
        <w:t>本資料は、現時点の Imairuka 案件管理システムで利用できる主要機能と、ASP型としての運用に必要な管理機能を整理したものです。インストール型は1社専用版として後続対応し、ASP型の完了後にまとめて反映します。</w:t>
      </w:r>
    </w:p>
    <w:p>
      <w:pPr>
        <w:spacing w:after="160"/>
      </w:pPr>
      <w:r>
        <w:rPr>
          <w:rFonts w:ascii="Yu Gothic" w:hAnsi="Yu Gothic" w:eastAsia="Yu Gothic"/>
          <w:b/>
          <w:color w:val="0066CC"/>
          <w:sz w:val="28"/>
        </w:rPr>
        <w:t>1. 利用者向け 基本機能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カテゴリ</w:t>
            </w:r>
          </w:p>
        </w:tc>
        <w:tc>
          <w:tcPr>
            <w:tcW w:type="dxa" w:w="249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機能</w:t>
            </w:r>
          </w:p>
        </w:tc>
        <w:tc>
          <w:tcPr>
            <w:tcW w:type="dxa" w:w="5783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概要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ダッシュボード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利用状況の確認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案件、文書、決済などの利用状況を確認します。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案件一覧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案件検索・一覧表示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案件番号、顧客名、案件名、ステータス、タスク数、課題数、アサイン状況を一覧で確認します。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案件詳細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基本情報の確認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顧客名、案件名、案件概要、ステータスなどを確認します。基本情報は折りたたみ可能です。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プロジェクト管理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ガント・タスク・課題・アサイン管理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各案件に紐づく工程、詳細タスク、課題、担当者を管理します。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AI下書き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工程案の作成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案件概要からAIで大まかなガントチャート案を作成します。会社ごとのAI APIキーを利用します。</w:t>
            </w:r>
          </w:p>
        </w:tc>
      </w:tr>
    </w:tbl>
    <w:p/>
    <w:p>
      <w:pPr>
        <w:spacing w:after="160"/>
      </w:pPr>
      <w:r>
        <w:rPr>
          <w:rFonts w:ascii="Yu Gothic" w:hAnsi="Yu Gothic" w:eastAsia="Yu Gothic"/>
          <w:b/>
          <w:color w:val="0066CC"/>
          <w:sz w:val="28"/>
        </w:rPr>
        <w:t>2. 文書・決済機能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カテゴリ</w:t>
            </w:r>
          </w:p>
        </w:tc>
        <w:tc>
          <w:tcPr>
            <w:tcW w:type="dxa" w:w="249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機能</w:t>
            </w:r>
          </w:p>
        </w:tc>
        <w:tc>
          <w:tcPr>
            <w:tcW w:type="dxa" w:w="5783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概要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見積書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作成・編集・プレビュー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案件名を含めて見積書を作成し、PDFプレビューできます。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納品書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作成・管理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案件に紐づく納品書を作成・管理します。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請求書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作成・管理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案件に紐づく請求書を作成・管理します。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領収書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作成・管理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入金後の領収書を作成・管理します。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決済履歴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Stripe Webhook保存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Stripe決済成功イベントを受け取り、専用の決済履歴として保存・検索します。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請求管理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決済カテゴリ配下に配置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請求関連の管理導線を決済管理カテゴリにまとめています。</w:t>
            </w:r>
          </w:p>
        </w:tc>
      </w:tr>
    </w:tbl>
    <w:p/>
    <w:p>
      <w:pPr>
        <w:spacing w:after="160"/>
      </w:pPr>
      <w:r>
        <w:rPr>
          <w:rFonts w:ascii="Yu Gothic" w:hAnsi="Yu Gothic" w:eastAsia="Yu Gothic"/>
          <w:b/>
          <w:color w:val="0066CC"/>
          <w:sz w:val="28"/>
        </w:rPr>
        <w:t>3. アカウント・権限・契約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カテゴリ</w:t>
            </w:r>
          </w:p>
        </w:tc>
        <w:tc>
          <w:tcPr>
            <w:tcW w:type="dxa" w:w="249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機能</w:t>
            </w:r>
          </w:p>
        </w:tc>
        <w:tc>
          <w:tcPr>
            <w:tcW w:type="dxa" w:w="5783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概要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複数アカウント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ユーザー招待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契約に応じて利用可能なユーザー数を表示し、招待できます。基本契約は1名まで、追加アカウントは別途課金想定です。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権限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管理者・編集者・閲覧者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ユーザーごとに権限を付与できます。閲覧者は編集・削除・追加操作が画面上でも非表示になります。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利用申込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契約候補の自動作成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利用者申込フォームから運営側の契約管理に契約候補を自動作成します。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運営承認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契約開始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運営側が契約候補を確認し、承認後に利用開始できる流れです。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契約管理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運営側専用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運営管理画面は契約管理に集中し、利用者向けの文書作成機能とは分離しています。</w:t>
            </w:r>
          </w:p>
        </w:tc>
      </w:tr>
    </w:tbl>
    <w:p/>
    <w:p>
      <w:pPr>
        <w:spacing w:after="160"/>
      </w:pPr>
      <w:r>
        <w:rPr>
          <w:rFonts w:ascii="Yu Gothic" w:hAnsi="Yu Gothic" w:eastAsia="Yu Gothic"/>
          <w:b/>
          <w:color w:val="0066CC"/>
          <w:sz w:val="28"/>
        </w:rPr>
        <w:t>4. 運営管理・外部連携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カテゴリ</w:t>
            </w:r>
          </w:p>
        </w:tc>
        <w:tc>
          <w:tcPr>
            <w:tcW w:type="dxa" w:w="2494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機能</w:t>
            </w:r>
          </w:p>
        </w:tc>
        <w:tc>
          <w:tcPr>
            <w:tcW w:type="dxa" w:w="5783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概要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Stripe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Connect連携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利用者は自社のStripeアカウントを連携して決済を利用できます。運営側はStripe Connect設定が必要です。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Stripe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本番・テスト切替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本番キーへの切替、Connect審査完了、Webhook本番設定が本番運用の前提です。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AI設定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OpenAI / Claude / Gemini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会社ごとに利用するAIプロバイダーとAPIキーを設定します。Copilotは対象外です。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マルチテナント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会社単位のデータ分離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ASP型では会社ごとに案件・文書・決済・ユーザー情報を分離します。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セキュリティ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閲覧者の書き込み制限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閲覧権限ユーザーはサーバー側でも書き込み処理を拒否します。</w:t>
            </w:r>
          </w:p>
        </w:tc>
      </w:tr>
    </w:tbl>
    <w:p/>
    <w:p>
      <w:pPr>
        <w:spacing w:after="160"/>
      </w:pPr>
      <w:r>
        <w:rPr>
          <w:rFonts w:ascii="Yu Gothic" w:hAnsi="Yu Gothic" w:eastAsia="Yu Gothic"/>
          <w:b/>
          <w:color w:val="0066CC"/>
          <w:sz w:val="28"/>
        </w:rPr>
        <w:t>5. 残確認・後続タスク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優先度</w:t>
            </w:r>
          </w:p>
        </w:tc>
        <w:tc>
          <w:tcPr>
            <w:tcW w:type="dxa" w:w="2948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5783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Stripe本番審査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Connect審査完了後、本番キーとWebhookを最終確認します。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利用申込フロー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申込、契約候補作成、運営承認、利用開始までの画面遷移を確認します。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契約・課金設計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基本1名、追加アカウント課金の表示と運用ルールを詰めます。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操作説明資料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画面キャプチャを追加した利用者向けマニュアルを整備します。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後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インストール型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ASP型完了後、1社専用のインストール版へまとめてアップデートします。</w:t>
            </w:r>
          </w:p>
        </w:tc>
      </w:tr>
    </w:tbl>
    <w:p/>
    <w:p>
      <w:pPr>
        <w:spacing w:after="120"/>
      </w:pPr>
      <w:r>
        <w:rPr>
          <w:rFonts w:ascii="Yu Gothic" w:hAnsi="Yu Gothic" w:eastAsia="Yu Gothic"/>
          <w:b w:val="0"/>
          <w:color w:val="5A5A5A"/>
          <w:sz w:val="19"/>
        </w:rPr>
        <w:t>備考: 本資料は機能整理用の一覧です。正式な販売資料では、画面キャプチャ、料金、サポート範囲、利用開始までの流れを追加します。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