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Executive Summary</w:t>
      </w:r>
    </w:p>
    <w:p>
      <w:pPr>
        <w:pBdr>
          <w:bottom w:val="single" w:color="2F5597" w:sz="10"/>
        </w:pBdr>
        <w:spacing w:after="40"/>
      </w:pPr>
      <w:r>
        <w:rPr>
          <w:rFonts w:ascii="Calibri" w:cs="Calibri" w:eastAsia="Calibri" w:hAnsi="Calibri"/>
          <w:i/>
          <w:iCs/>
          <w:color w:val="2F5597"/>
          <w:sz w:val="21"/>
          <w:szCs w:val="21"/>
        </w:rPr>
        <w:t xml:space="preserve">Modelling Ammonia Volatilization and Indirect Nitrous Oxide across the Cropping Systems of the Trajectoire Platform</w:t>
      </w:r>
    </w:p>
    <w:p>
      <w:pPr>
        <w:spacing w:after="160" w:before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Daniela Zúñiga-Jiménez — AgroParisTech / UMR ECOSYS (INRAE / AgroParisTech, Université Paris-Saclay), 2026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study delivers a transparent, fully reproducible inventory of ammonia (NH₃) volatilization from the seven cropping systems of the Trajectoire experimental platform (2018–2025), its translation into indirect nitrous oxide (N₂O), and a sensitivity analysis. Two complementary models are used by design: the regulatory EMEP/EEA Tier 2 method, which measures absolute emissions, and the process-informed ALFAM2 model, which resolves emission intensity by application method and weather. The guiding question is whether the transition of two systems to methanized (digestate-based) fertilization improves the ammonia balance.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Headline finding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Across 152 fertilization events the corrected inventory totals 1,125.5 kg NH₃-N ha⁻¹ (summed across the seven systems), equivalent to roughly 4,830 kg CO₂-equivalent ha⁻¹ of indirect N₂O.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transition to digestate does not, in itself, reduce emissions.</w:t>
      </w:r>
      <w:r>
        <w:rPr>
          <w:rFonts w:ascii="Calibri" w:cs="Calibri" w:eastAsia="Calibri" w:hAnsi="Calibri"/>
          <w:sz w:val="21"/>
          <w:szCs w:val="21"/>
        </w:rPr>
        <w:t xml:space="preserve"> Although the absolute emissions of the changed systems fall, this reflects less nitrogen applied over a shorter record — not cleaner practice. Measured per unit of nitrogen applied, the only scale-independent metric, emission intensity rises by 21 % to 49 %.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apparent conflict between falling absolute emissions and rising intensity is a statistical mirage created by unequal production scale; once normalized to the productive unit, the two metrics agree and no paradox remains.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two models converge (ALFAM2/EMEP ratio ≈ 1.0) once EMEP is applied correctly with its band-spreading abatement, so the process model confirms rather than contradicts the regulatory inventory.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dominant hotspot is warm-season broadcast application of liquid digestate, which loses on the order of 83 % of its ammoniacal nitrogen.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inventory total is most sensitive to the UAN emission factor; the climate estimate is most sensitive to the IPCC EF4 range.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Strategic implication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Switching the broadcast digestate applications to band spreading (trailing hose) — verified by re-running ALFAM2 under the events’ real weather — keeps about 30 kg N ha⁻¹ in the soil rather than the air (≈130 kg CO₂-eq of avoided indirect N₂O). This is at once an agronomic, a regulatory and a financial gain: retained nitrogen is fertilizer that need not be repurchased, higher nutrient-use efficiency lowers cost per unit of yield, low-emission application hedges tightening European restrictions on broadcast spreading, and reduced volatilization protects the climate credential of methanized fertilizer. For farmers and for organic-fertilizer investors alike, band application is a lever that aligns economic return with decarbonization rather than trading one against the other.</w:t>
      </w:r>
    </w:p>
    <w:p>
      <w:pPr>
        <w:pBdr>
          <w:top w:val="single" w:color="2F5597" w:sz="8"/>
          <w:bottom w:val="single" w:color="2F5597" w:sz="8"/>
          <w:left w:val="single" w:color="2F5597" w:sz="8"/>
          <w:right w:val="single" w:color="2F5597" w:sz="8"/>
        </w:pBdr>
        <w:shd w:fill="EAF0FA" w:color="auto" w:val="clear"/>
        <w:spacing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Bottom line.  </w:t>
      </w:r>
      <w:r>
        <w:rPr>
          <w:rFonts w:ascii="Calibri" w:cs="Calibri" w:eastAsia="Calibri" w:hAnsi="Calibri"/>
          <w:sz w:val="21"/>
          <w:szCs w:val="21"/>
        </w:rPr>
        <w:t xml:space="preserve">On the Trajectoire platform, keeping nitrogen in the soil is simultaneously the cleaner, the cheaper and the more defensible choice. All data and code are shared for full reproducibility.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- Trajectoire NH3</dc:title>
  <dc:creator>Daniela Zuniga-Jimenez</dc:creator>
  <cp:lastModifiedBy>Un-named</cp:lastModifiedBy>
  <cp:revision>1</cp:revision>
  <dcterms:created xsi:type="dcterms:W3CDTF">2026-07-06T11:37:54.809Z</dcterms:created>
  <dcterms:modified xsi:type="dcterms:W3CDTF">2026-07-06T11:37:54.824Z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