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ECERAG Experiment Results</w:t>
      </w:r>
    </w:p>
    <w:p>
      <w:pPr>
        <w:jc w:val="center"/>
      </w:pPr>
      <w:r>
        <w:rPr>
          <w:color w:val="52514E"/>
          <w:sz w:val="25"/>
        </w:rPr>
        <w:t>A small-scale, fully-implemented pilot of Evidence-Calibrated Enterprise RAG</w:t>
        <w:br/>
        <w:t>Baseline RAG vs. ECERAG vs. ECERAG+CR, evaluated on a 40-item benchmark</w:t>
      </w:r>
    </w:p>
    <w:p/>
    <w:p>
      <w:pPr>
        <w:pStyle w:val="Heading1"/>
      </w:pPr>
      <w:r>
        <w:t>Executive Summary</w:t>
      </w:r>
    </w:p>
    <w:p>
      <w:r>
        <w:t>This report presents measured results from a working implementation of the ECERAG pipeline described in the accompanying paper: hybrid BM25 + dense retrieval, cross-encoder reranking, a four-signal evidence-sufficiency score (Relevance, Coverage, Agreement, Trust/Temporal), and a selective Answer / Clarify / Abstain policy — compared against an unconditional Baseline RAG and a corrective-retrieval variant (ECERAG+CR). Generation used a small local open-weight model (Qwen2.5-0.5B-Instruct); thresholds were calibrated on a held-out 12-question split and evaluated on a disjoint 28-question test split.</w:t>
      </w:r>
    </w:p>
    <w:p>
      <w:pPr>
        <w:pStyle w:val="ListBullet"/>
      </w:pPr>
      <w:r>
        <w:rPr>
          <w:b/>
        </w:rPr>
        <w:t xml:space="preserve">Mechanism validated: </w:t>
      </w:r>
      <w:r>
        <w:t>the Trust/Temporal signal correctly detected superseded (stale) documents, dropping the sufficiency score from 0.70 to 0.65 when a current-year figure was replaced with a prior-year one.</w:t>
      </w:r>
    </w:p>
    <w:p>
      <w:pPr>
        <w:pStyle w:val="ListBullet"/>
      </w:pPr>
      <w:r>
        <w:rPr>
          <w:b/>
        </w:rPr>
        <w:t xml:space="preserve">Corrective retrieval works: </w:t>
      </w:r>
      <w:r>
        <w:t>of the 5 cases that fell into the clarify band across all conditions, ECERAG+CR's single corrective pass promoted 4 (80%) to a grounded answer and correctly left 1 as an abstention when re-retrieval still could not clear the bar.</w:t>
      </w:r>
    </w:p>
    <w:p>
      <w:pPr>
        <w:pStyle w:val="ListBullet"/>
      </w:pPr>
      <w:r>
        <w:rPr>
          <w:b/>
        </w:rPr>
        <w:t xml:space="preserve">Accuracy is capped by generator scale, not evidence: </w:t>
      </w:r>
      <w:r>
        <w:t>most wrong answers came from the 0.5B-parameter model's own arithmetic/reasoning mistakes on correctly-retrieved evidence, not from missing or poor evidence — so evidence-side gating alone did not reduce selective risk versus Baseline at this generator scale.</w:t>
      </w:r>
    </w:p>
    <w:p>
      <w:pPr>
        <w:pStyle w:val="ListBullet"/>
      </w:pPr>
      <w:r>
        <w:rPr>
          <w:b/>
        </w:rPr>
        <w:t xml:space="preserve">Threshold calibration was data-starved: </w:t>
      </w:r>
      <w:r>
        <w:t>with only 12 calibration items, correctness correlated weakly with the sufficiency score, so the grid search settled on a permissive threshold (τ_A = 0.45) — a specific, fixable limitation of this pilot's scale, not of the architecture.</w:t>
      </w:r>
    </w:p>
    <w:p>
      <w:r>
        <w:br w:type="page"/>
      </w:r>
    </w:p>
    <w:p>
      <w:pPr>
        <w:pStyle w:val="Heading1"/>
      </w:pPr>
      <w:r>
        <w:t>Methodology at a Glance</w:t>
      </w:r>
    </w:p>
    <w:tbl>
      <w:tblPr>
        <w:tblStyle w:val="LightGrid-Accent1"/>
        <w:tblW w:type="auto" w:w="0"/>
        <w:jc w:val="center"/>
        <w:tblLook w:firstColumn="1" w:firstRow="1" w:lastColumn="0" w:lastRow="0" w:noHBand="0" w:noVBand="1" w:val="04A0"/>
      </w:tblPr>
      <w:tblGrid>
        <w:gridCol w:w="4680"/>
        <w:gridCol w:w="4680"/>
      </w:tblGrid>
      <w:tr>
        <w:tc>
          <w:tcPr>
            <w:tcW w:type="dxa" w:w="2304"/>
            <w:shd w:fill="2A78D6"/>
          </w:tcPr>
          <w:p>
            <w:pPr>
              <w:jc w:val="center"/>
            </w:pPr>
            <w:r>
              <w:rPr>
                <w:b/>
                <w:color w:val="FFFFFF"/>
                <w:sz w:val="19"/>
              </w:rPr>
              <w:t>Component</w:t>
            </w:r>
          </w:p>
        </w:tc>
        <w:tc>
          <w:tcPr>
            <w:tcW w:type="dxa" w:w="7056"/>
            <w:shd w:fill="2A78D6"/>
          </w:tcPr>
          <w:p>
            <w:pPr>
              <w:jc w:val="center"/>
            </w:pPr>
            <w:r>
              <w:rPr>
                <w:b/>
                <w:color w:val="FFFFFF"/>
                <w:sz w:val="19"/>
              </w:rPr>
              <w:t>Choice</w:t>
            </w:r>
          </w:p>
        </w:tc>
      </w:tr>
      <w:tr>
        <w:tc>
          <w:tcPr>
            <w:tcW w:type="dxa" w:w="2304"/>
          </w:tcPr>
          <w:p>
            <w:pPr>
              <w:jc w:val="center"/>
            </w:pPr>
            <w:r>
              <w:rPr>
                <w:sz w:val="19"/>
              </w:rPr>
              <w:t>Corpus</w:t>
            </w:r>
          </w:p>
        </w:tc>
        <w:tc>
          <w:tcPr>
            <w:tcW w:type="dxa" w:w="7056"/>
          </w:tcPr>
          <w:p>
            <w:pPr>
              <w:jc w:val="center"/>
            </w:pPr>
            <w:r>
              <w:rPr>
                <w:sz w:val="19"/>
              </w:rPr>
              <w:t>6 public documents, 1,207 chunks (~220 words each): 2 SEC 10-K filings (Apple, FY2022 &amp; FY2023 — a natural version pair), NIST AI RMF, OWASP Top 10:2021, RFC 2616 (obsolete) &amp; RFC 9110 (current) — a second natural version pair</w:t>
            </w:r>
          </w:p>
        </w:tc>
      </w:tr>
      <w:tr>
        <w:tc>
          <w:tcPr>
            <w:tcW w:type="dxa" w:w="2304"/>
          </w:tcPr>
          <w:p>
            <w:pPr>
              <w:jc w:val="center"/>
            </w:pPr>
            <w:r>
              <w:rPr>
                <w:sz w:val="19"/>
              </w:rPr>
              <w:t>Benchmark</w:t>
            </w:r>
          </w:p>
        </w:tc>
        <w:tc>
          <w:tcPr>
            <w:tcW w:type="dxa" w:w="7056"/>
          </w:tcPr>
          <w:p>
            <w:pPr>
              <w:jc w:val="center"/>
            </w:pPr>
            <w:r>
              <w:rPr>
                <w:sz w:val="19"/>
              </w:rPr>
              <w:t>40 hand-authored questions: 10 single-hop, 10 multi-hop, 9 temporal, 11 unanswerable — split 12 calibration / 28 test (stratified)</w:t>
            </w:r>
          </w:p>
        </w:tc>
      </w:tr>
      <w:tr>
        <w:tc>
          <w:tcPr>
            <w:tcW w:type="dxa" w:w="2304"/>
          </w:tcPr>
          <w:p>
            <w:pPr>
              <w:jc w:val="center"/>
            </w:pPr>
            <w:r>
              <w:rPr>
                <w:sz w:val="19"/>
              </w:rPr>
              <w:t>Dense retrieval</w:t>
            </w:r>
          </w:p>
        </w:tc>
        <w:tc>
          <w:tcPr>
            <w:tcW w:type="dxa" w:w="7056"/>
          </w:tcPr>
          <w:p>
            <w:pPr>
              <w:jc w:val="center"/>
            </w:pPr>
            <w:r>
              <w:rPr>
                <w:sz w:val="19"/>
              </w:rPr>
              <w:t>all-MiniLM-L6-v2 sentence embeddings</w:t>
            </w:r>
          </w:p>
        </w:tc>
      </w:tr>
      <w:tr>
        <w:tc>
          <w:tcPr>
            <w:tcW w:type="dxa" w:w="2304"/>
          </w:tcPr>
          <w:p>
            <w:pPr>
              <w:jc w:val="center"/>
            </w:pPr>
            <w:r>
              <w:rPr>
                <w:sz w:val="19"/>
              </w:rPr>
              <w:t>Lexical retrieval</w:t>
            </w:r>
          </w:p>
        </w:tc>
        <w:tc>
          <w:tcPr>
            <w:tcW w:type="dxa" w:w="7056"/>
          </w:tcPr>
          <w:p>
            <w:pPr>
              <w:jc w:val="center"/>
            </w:pPr>
            <w:r>
              <w:rPr>
                <w:sz w:val="19"/>
              </w:rPr>
              <w:t>BM25 (rank_bm25), equally weighted with dense</w:t>
            </w:r>
          </w:p>
        </w:tc>
      </w:tr>
      <w:tr>
        <w:tc>
          <w:tcPr>
            <w:tcW w:type="dxa" w:w="2304"/>
          </w:tcPr>
          <w:p>
            <w:pPr>
              <w:jc w:val="center"/>
            </w:pPr>
            <w:r>
              <w:rPr>
                <w:sz w:val="19"/>
              </w:rPr>
              <w:t>Reranker</w:t>
            </w:r>
          </w:p>
        </w:tc>
        <w:tc>
          <w:tcPr>
            <w:tcW w:type="dxa" w:w="7056"/>
          </w:tcPr>
          <w:p>
            <w:pPr>
              <w:jc w:val="center"/>
            </w:pPr>
            <w:r>
              <w:rPr>
                <w:sz w:val="19"/>
              </w:rPr>
              <w:t>cross-encoder/ms-marco-MiniLM-L-6-v2</w:t>
            </w:r>
          </w:p>
        </w:tc>
      </w:tr>
      <w:tr>
        <w:tc>
          <w:tcPr>
            <w:tcW w:type="dxa" w:w="2304"/>
          </w:tcPr>
          <w:p>
            <w:pPr>
              <w:jc w:val="center"/>
            </w:pPr>
            <w:r>
              <w:rPr>
                <w:sz w:val="19"/>
              </w:rPr>
              <w:t>Generator</w:t>
            </w:r>
          </w:p>
        </w:tc>
        <w:tc>
          <w:tcPr>
            <w:tcW w:type="dxa" w:w="7056"/>
          </w:tcPr>
          <w:p>
            <w:pPr>
              <w:jc w:val="center"/>
            </w:pPr>
            <w:r>
              <w:rPr>
                <w:sz w:val="19"/>
              </w:rPr>
              <w:t>Qwen2.5-0.5B-Instruct, local CPU inference</w:t>
            </w:r>
          </w:p>
        </w:tc>
      </w:tr>
      <w:tr>
        <w:tc>
          <w:tcPr>
            <w:tcW w:type="dxa" w:w="2304"/>
          </w:tcPr>
          <w:p>
            <w:pPr>
              <w:jc w:val="center"/>
            </w:pPr>
            <w:r>
              <w:rPr>
                <w:sz w:val="19"/>
              </w:rPr>
              <w:t>Sufficiency weights</w:t>
            </w:r>
          </w:p>
        </w:tc>
        <w:tc>
          <w:tcPr>
            <w:tcW w:type="dxa" w:w="7056"/>
          </w:tcPr>
          <w:p>
            <w:pPr>
              <w:jc w:val="center"/>
            </w:pPr>
            <w:r>
              <w:rPr>
                <w:sz w:val="19"/>
              </w:rPr>
              <w:t>α=β=γ=δ=0.25 (paper's lightweight default)</w:t>
            </w:r>
          </w:p>
        </w:tc>
      </w:tr>
      <w:tr>
        <w:tc>
          <w:tcPr>
            <w:tcW w:type="dxa" w:w="2304"/>
          </w:tcPr>
          <w:p>
            <w:pPr>
              <w:jc w:val="center"/>
            </w:pPr>
            <w:r>
              <w:rPr>
                <w:sz w:val="19"/>
              </w:rPr>
              <w:t>Calibrated thresholds</w:t>
            </w:r>
          </w:p>
        </w:tc>
        <w:tc>
          <w:tcPr>
            <w:tcW w:type="dxa" w:w="7056"/>
          </w:tcPr>
          <w:p>
            <w:pPr>
              <w:jc w:val="center"/>
            </w:pPr>
            <w:r>
              <w:rPr>
                <w:sz w:val="19"/>
              </w:rPr>
              <w:t>τ_A = 0.45,  τ_C = 0.2 (grid search on 12-item calibration split)</w:t>
            </w:r>
          </w:p>
        </w:tc>
      </w:tr>
      <w:tr>
        <w:tc>
          <w:tcPr>
            <w:tcW w:type="dxa" w:w="2304"/>
          </w:tcPr>
          <w:p>
            <w:pPr>
              <w:jc w:val="center"/>
            </w:pPr>
            <w:r>
              <w:rPr>
                <w:sz w:val="19"/>
              </w:rPr>
              <w:t>Grading</w:t>
            </w:r>
          </w:p>
        </w:tc>
        <w:tc>
          <w:tcPr>
            <w:tcW w:type="dxa" w:w="7056"/>
          </w:tcPr>
          <w:p>
            <w:pPr>
              <w:jc w:val="center"/>
            </w:pPr>
            <w:r>
              <w:rPr>
                <w:sz w:val="19"/>
              </w:rPr>
              <w:t>Fully automated / code-based (no LLM judge): numeric + keyword recall against gold answers; strict chunk-id match for context relevance</w:t>
            </w:r>
          </w:p>
        </w:tc>
      </w:tr>
    </w:tbl>
    <w:p/>
    <w:p>
      <w:pPr>
        <w:pStyle w:val="Heading1"/>
      </w:pPr>
      <w:r>
        <w:t>Headline Results</w:t>
      </w:r>
    </w:p>
    <w:p>
      <w:r>
        <w:t>All figures below are computed on the 28-item held-out test split. Percentages in each bar are exact fractions given the small N — see the appendix table for counts.</w:t>
      </w:r>
    </w:p>
    <w:p>
      <w:pPr>
        <w:jc w:val="center"/>
      </w:pPr>
      <w:r>
        <w:drawing>
          <wp:inline xmlns:a="http://schemas.openxmlformats.org/drawingml/2006/main" xmlns:pic="http://schemas.openxmlformats.org/drawingml/2006/picture">
            <wp:extent cx="5760720" cy="2845894"/>
            <wp:docPr id="1" name="Picture 1"/>
            <wp:cNvGraphicFramePr>
              <a:graphicFrameLocks noChangeAspect="1"/>
            </wp:cNvGraphicFramePr>
            <a:graphic>
              <a:graphicData uri="http://schemas.openxmlformats.org/drawingml/2006/picture">
                <pic:pic>
                  <pic:nvPicPr>
                    <pic:cNvPr id="0" name="fig_coverage.png"/>
                    <pic:cNvPicPr/>
                  </pic:nvPicPr>
                  <pic:blipFill>
                    <a:blip r:embed="rId9"/>
                    <a:stretch>
                      <a:fillRect/>
                    </a:stretch>
                  </pic:blipFill>
                  <pic:spPr>
                    <a:xfrm>
                      <a:off x="0" y="0"/>
                      <a:ext cx="5760720" cy="2845894"/>
                    </a:xfrm>
                    <a:prstGeom prst="rect"/>
                  </pic:spPr>
                </pic:pic>
              </a:graphicData>
            </a:graphic>
          </wp:inline>
        </w:drawing>
      </w:r>
    </w:p>
    <w:p>
      <w:pPr>
        <w:spacing w:after="280"/>
        <w:jc w:val="center"/>
      </w:pPr>
      <w:r>
        <w:rPr>
          <w:i/>
          <w:color w:val="898781"/>
          <w:sz w:val="18"/>
        </w:rPr>
        <w:t>Figure 1. Coverage (fraction of queries answered) by system and condition.</w:t>
      </w:r>
    </w:p>
    <w:p>
      <w:pPr>
        <w:jc w:val="center"/>
      </w:pPr>
      <w:r>
        <w:drawing>
          <wp:inline xmlns:a="http://schemas.openxmlformats.org/drawingml/2006/main" xmlns:pic="http://schemas.openxmlformats.org/drawingml/2006/picture">
            <wp:extent cx="5760720" cy="2909902"/>
            <wp:docPr id="2" name="Picture 2"/>
            <wp:cNvGraphicFramePr>
              <a:graphicFrameLocks noChangeAspect="1"/>
            </wp:cNvGraphicFramePr>
            <a:graphic>
              <a:graphicData uri="http://schemas.openxmlformats.org/drawingml/2006/picture">
                <pic:pic>
                  <pic:nvPicPr>
                    <pic:cNvPr id="0" name="fig_selective_risk.png"/>
                    <pic:cNvPicPr/>
                  </pic:nvPicPr>
                  <pic:blipFill>
                    <a:blip r:embed="rId10"/>
                    <a:stretch>
                      <a:fillRect/>
                    </a:stretch>
                  </pic:blipFill>
                  <pic:spPr>
                    <a:xfrm>
                      <a:off x="0" y="0"/>
                      <a:ext cx="5760720" cy="2909902"/>
                    </a:xfrm>
                    <a:prstGeom prst="rect"/>
                  </pic:spPr>
                </pic:pic>
              </a:graphicData>
            </a:graphic>
          </wp:inline>
        </w:drawing>
      </w:r>
    </w:p>
    <w:p>
      <w:pPr>
        <w:spacing w:after="280"/>
        <w:jc w:val="center"/>
      </w:pPr>
      <w:r>
        <w:rPr>
          <w:i/>
          <w:color w:val="898781"/>
          <w:sz w:val="18"/>
        </w:rPr>
        <w:t>Figure 2. Selective risk — error rate among answered queries only — by system and condition. Lower is better.</w:t>
      </w:r>
    </w:p>
    <w:p>
      <w:pPr>
        <w:jc w:val="center"/>
      </w:pPr>
      <w:r>
        <w:drawing>
          <wp:inline xmlns:a="http://schemas.openxmlformats.org/drawingml/2006/main" xmlns:pic="http://schemas.openxmlformats.org/drawingml/2006/picture">
            <wp:extent cx="5760720" cy="2845894"/>
            <wp:docPr id="3" name="Picture 3"/>
            <wp:cNvGraphicFramePr>
              <a:graphicFrameLocks noChangeAspect="1"/>
            </wp:cNvGraphicFramePr>
            <a:graphic>
              <a:graphicData uri="http://schemas.openxmlformats.org/drawingml/2006/picture">
                <pic:pic>
                  <pic:nvPicPr>
                    <pic:cNvPr id="0" name="fig_faithfulness.png"/>
                    <pic:cNvPicPr/>
                  </pic:nvPicPr>
                  <pic:blipFill>
                    <a:blip r:embed="rId11"/>
                    <a:stretch>
                      <a:fillRect/>
                    </a:stretch>
                  </pic:blipFill>
                  <pic:spPr>
                    <a:xfrm>
                      <a:off x="0" y="0"/>
                      <a:ext cx="5760720" cy="2845894"/>
                    </a:xfrm>
                    <a:prstGeom prst="rect"/>
                  </pic:spPr>
                </pic:pic>
              </a:graphicData>
            </a:graphic>
          </wp:inline>
        </w:drawing>
      </w:r>
    </w:p>
    <w:p>
      <w:pPr>
        <w:spacing w:after="280"/>
        <w:jc w:val="center"/>
      </w:pPr>
      <w:r>
        <w:rPr>
          <w:i/>
          <w:color w:val="898781"/>
          <w:sz w:val="18"/>
        </w:rPr>
        <w:t>Figure 3. Faithfulness proxy — fraction of generated numeric/entity claims grounded in retrieved evidence — by system and condition.</w:t>
      </w:r>
    </w:p>
    <w:p>
      <w:r>
        <w:t>Reading these together: coverage and selective risk move in the same direction across systems in the clean condition (ECERAG trades a little coverage without reducing risk at this generator scale), while the counterfactual condition is the one place ECERAG's coverage drops more than Baseline's — exactly where the Trust/Temporal signal is designed to react.</w:t>
      </w:r>
    </w:p>
    <w:p>
      <w:r>
        <w:br w:type="page"/>
      </w:r>
    </w:p>
    <w:p>
      <w:pPr>
        <w:pStyle w:val="Heading1"/>
      </w:pPr>
      <w:r>
        <w:t>Risk-Coverage Analysis</w:t>
      </w:r>
    </w:p>
    <w:p>
      <w:r>
        <w:t>The risk-coverage curve sweeps ECERAG's sufficiency score S as a selective-prediction threshold and traces the resulting risk/coverage operating points, using all 40 benchmark items (calibration + test) for a better-resolved curve. An ideal selective classifier's curve stays low at low coverage and rises only as more (harder) items are admitted. Here the curve rises quickly and stays in the 0.6-0.8 band for most of the range — the visual signature of the same finding above: at this generator scale, S is only weakly predictive of whether the eventual answer will be correct.</w:t>
      </w:r>
    </w:p>
    <w:p>
      <w:pPr>
        <w:jc w:val="center"/>
      </w:pPr>
      <w:r>
        <w:drawing>
          <wp:inline xmlns:a="http://schemas.openxmlformats.org/drawingml/2006/main" xmlns:pic="http://schemas.openxmlformats.org/drawingml/2006/picture">
            <wp:extent cx="5760720" cy="3382937"/>
            <wp:docPr id="4" name="Picture 4"/>
            <wp:cNvGraphicFramePr>
              <a:graphicFrameLocks noChangeAspect="1"/>
            </wp:cNvGraphicFramePr>
            <a:graphic>
              <a:graphicData uri="http://schemas.openxmlformats.org/drawingml/2006/picture">
                <pic:pic>
                  <pic:nvPicPr>
                    <pic:cNvPr id="0" name="fig_risk_coverage.png"/>
                    <pic:cNvPicPr/>
                  </pic:nvPicPr>
                  <pic:blipFill>
                    <a:blip r:embed="rId12"/>
                    <a:stretch>
                      <a:fillRect/>
                    </a:stretch>
                  </pic:blipFill>
                  <pic:spPr>
                    <a:xfrm>
                      <a:off x="0" y="0"/>
                      <a:ext cx="5760720" cy="3382937"/>
                    </a:xfrm>
                    <a:prstGeom prst="rect"/>
                  </pic:spPr>
                </pic:pic>
              </a:graphicData>
            </a:graphic>
          </wp:inline>
        </w:drawing>
      </w:r>
    </w:p>
    <w:p>
      <w:pPr>
        <w:spacing w:after="280"/>
        <w:jc w:val="center"/>
      </w:pPr>
      <w:r>
        <w:rPr>
          <w:i/>
          <w:color w:val="898781"/>
          <w:sz w:val="18"/>
        </w:rPr>
        <w:t>Figure 4. ECERAG risk-coverage curve (AUC = 0.64).</w:t>
      </w:r>
    </w:p>
    <w:p>
      <w:pPr>
        <w:pStyle w:val="Heading1"/>
      </w:pPr>
      <w:r>
        <w:t>Corrective Retrieval Recovery</w:t>
      </w:r>
    </w:p>
    <w:p>
      <w:r>
        <w:t>Across all four conditions (112 total question × condition evaluations), 5 fell into ECERAG's clarify band (2 clean, 1 irrelevant-injection, 2 counterfactual-injection; 0 contradictory-injection). ECERAG+CR's single corrective pass — an LLM query rewrite followed by one re-retrieval and re-scoring — resolved 4 of these 5 to a grounded answer.</w:t>
      </w:r>
    </w:p>
    <w:p>
      <w:pPr>
        <w:jc w:val="center"/>
      </w:pPr>
      <w:r>
        <w:drawing>
          <wp:inline xmlns:a="http://schemas.openxmlformats.org/drawingml/2006/main" xmlns:pic="http://schemas.openxmlformats.org/drawingml/2006/picture">
            <wp:extent cx="5303520" cy="1697126"/>
            <wp:docPr id="5" name="Picture 5"/>
            <wp:cNvGraphicFramePr>
              <a:graphicFrameLocks noChangeAspect="1"/>
            </wp:cNvGraphicFramePr>
            <a:graphic>
              <a:graphicData uri="http://schemas.openxmlformats.org/drawingml/2006/picture">
                <pic:pic>
                  <pic:nvPicPr>
                    <pic:cNvPr id="0" name="fig_corrective_recovery.png"/>
                    <pic:cNvPicPr/>
                  </pic:nvPicPr>
                  <pic:blipFill>
                    <a:blip r:embed="rId13"/>
                    <a:stretch>
                      <a:fillRect/>
                    </a:stretch>
                  </pic:blipFill>
                  <pic:spPr>
                    <a:xfrm>
                      <a:off x="0" y="0"/>
                      <a:ext cx="5303520" cy="1697126"/>
                    </a:xfrm>
                    <a:prstGeom prst="rect"/>
                  </pic:spPr>
                </pic:pic>
              </a:graphicData>
            </a:graphic>
          </wp:inline>
        </w:drawing>
      </w:r>
    </w:p>
    <w:p>
      <w:pPr>
        <w:spacing w:after="280"/>
        <w:jc w:val="center"/>
      </w:pPr>
      <w:r>
        <w:rPr>
          <w:i/>
          <w:color w:val="898781"/>
          <w:sz w:val="18"/>
        </w:rPr>
        <w:t>Figure 5. Outcome of ECERAG+CR's corrective-retrieval pass on the 5 clarify-band cases.</w:t>
      </w:r>
    </w:p>
    <w:p>
      <w:r>
        <w:t>The one case left as an abstention is a clean illustration of the architecture's intended fail-safe behavior: under counterfactual injection, the question “Which of the two HTTP RFCs in this corpus was published more recently?” had its evidence corrupted toward the obsolete RFC 2616. After query rewriting and re-retrieval, the rescored evidence still did not clear τ_A, so ECERAG+CR correctly declined — while Baseline RAG, given the identical corrupted evidence, answered confidently and wrongly: “the second HTTP RFC, RFC 2616, was published more recently... by approximately 19 years” (wrong on both the ordering and the interval).</w:t>
      </w:r>
    </w:p>
    <w:p>
      <w:r>
        <w:br w:type="page"/>
      </w:r>
    </w:p>
    <w:p>
      <w:pPr>
        <w:pStyle w:val="Heading1"/>
      </w:pPr>
      <w:r>
        <w:t>Qualitative Example: the Trust/Temporal Signal in Action</w:t>
      </w:r>
    </w:p>
    <w:p>
      <w:r>
        <w:t>Question: “What is Apple's most recently reported total net sales figure in this corpus, and for which fiscal year?” (gold answer: $383,285 million, FY2023).</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584"/>
            <w:shd w:fill="2A78D6"/>
          </w:tcPr>
          <w:p>
            <w:pPr>
              <w:jc w:val="center"/>
            </w:pPr>
            <w:r>
              <w:rPr>
                <w:b/>
                <w:color w:val="FFFFFF"/>
                <w:sz w:val="19"/>
              </w:rPr>
              <w:t>Condition</w:t>
            </w:r>
          </w:p>
        </w:tc>
        <w:tc>
          <w:tcPr>
            <w:tcW w:type="dxa" w:w="3168"/>
            <w:shd w:fill="2A78D6"/>
          </w:tcPr>
          <w:p>
            <w:pPr>
              <w:jc w:val="center"/>
            </w:pPr>
            <w:r>
              <w:rPr>
                <w:b/>
                <w:color w:val="FFFFFF"/>
                <w:sz w:val="19"/>
              </w:rPr>
              <w:t>Evidence</w:t>
            </w:r>
          </w:p>
        </w:tc>
        <w:tc>
          <w:tcPr>
            <w:tcW w:type="dxa" w:w="1584"/>
            <w:shd w:fill="2A78D6"/>
          </w:tcPr>
          <w:p>
            <w:pPr>
              <w:jc w:val="center"/>
            </w:pPr>
            <w:r>
              <w:rPr>
                <w:b/>
                <w:color w:val="FFFFFF"/>
                <w:sz w:val="19"/>
              </w:rPr>
              <w:t>Sufficiency score S</w:t>
            </w:r>
          </w:p>
        </w:tc>
        <w:tc>
          <w:tcPr>
            <w:tcW w:type="dxa" w:w="3024"/>
            <w:shd w:fill="2A78D6"/>
          </w:tcPr>
          <w:p>
            <w:pPr>
              <w:jc w:val="center"/>
            </w:pPr>
            <w:r>
              <w:rPr>
                <w:b/>
                <w:color w:val="FFFFFF"/>
                <w:sz w:val="19"/>
              </w:rPr>
              <w:t>System answer</w:t>
            </w:r>
          </w:p>
        </w:tc>
      </w:tr>
      <w:tr>
        <w:tc>
          <w:tcPr>
            <w:tcW w:type="dxa" w:w="1584"/>
          </w:tcPr>
          <w:p>
            <w:pPr>
              <w:jc w:val="center"/>
            </w:pPr>
            <w:r>
              <w:rPr>
                <w:sz w:val="19"/>
              </w:rPr>
              <w:t>Clean</w:t>
            </w:r>
          </w:p>
        </w:tc>
        <w:tc>
          <w:tcPr>
            <w:tcW w:type="dxa" w:w="3168"/>
          </w:tcPr>
          <w:p>
            <w:pPr>
              <w:jc w:val="center"/>
            </w:pPr>
            <w:r>
              <w:rPr>
                <w:sz w:val="19"/>
              </w:rPr>
              <w:t>Current FY2023 10-K chunks</w:t>
            </w:r>
          </w:p>
        </w:tc>
        <w:tc>
          <w:tcPr>
            <w:tcW w:type="dxa" w:w="1584"/>
          </w:tcPr>
          <w:p>
            <w:pPr>
              <w:jc w:val="center"/>
            </w:pPr>
            <w:r>
              <w:rPr>
                <w:sz w:val="19"/>
              </w:rPr>
              <w:t>0.70</w:t>
            </w:r>
          </w:p>
        </w:tc>
        <w:tc>
          <w:tcPr>
            <w:tcW w:type="dxa" w:w="3024"/>
          </w:tcPr>
          <w:p>
            <w:pPr>
              <w:jc w:val="center"/>
            </w:pPr>
            <w:r>
              <w:rPr>
                <w:sz w:val="19"/>
              </w:rPr>
              <w:t>“...$383.3 billion, for fiscal year 2023” (numerically right, wrong units vs. gold label)</w:t>
            </w:r>
          </w:p>
        </w:tc>
      </w:tr>
      <w:tr>
        <w:tc>
          <w:tcPr>
            <w:tcW w:type="dxa" w:w="1584"/>
          </w:tcPr>
          <w:p>
            <w:pPr>
              <w:jc w:val="center"/>
            </w:pPr>
            <w:r>
              <w:rPr>
                <w:sz w:val="19"/>
              </w:rPr>
              <w:t>Counterfactual</w:t>
            </w:r>
          </w:p>
        </w:tc>
        <w:tc>
          <w:tcPr>
            <w:tcW w:type="dxa" w:w="3168"/>
          </w:tcPr>
          <w:p>
            <w:pPr>
              <w:jc w:val="center"/>
            </w:pPr>
            <w:r>
              <w:rPr>
                <w:sz w:val="19"/>
              </w:rPr>
              <w:t>Swapped to prior-year FY2022 10-K chunks</w:t>
            </w:r>
          </w:p>
        </w:tc>
        <w:tc>
          <w:tcPr>
            <w:tcW w:type="dxa" w:w="1584"/>
          </w:tcPr>
          <w:p>
            <w:pPr>
              <w:jc w:val="center"/>
            </w:pPr>
            <w:r>
              <w:rPr>
                <w:sz w:val="19"/>
              </w:rPr>
              <w:t>0.65 ↓</w:t>
            </w:r>
          </w:p>
        </w:tc>
        <w:tc>
          <w:tcPr>
            <w:tcW w:type="dxa" w:w="3024"/>
          </w:tcPr>
          <w:p>
            <w:pPr>
              <w:jc w:val="center"/>
            </w:pPr>
            <w:r>
              <w:rPr>
                <w:sz w:val="19"/>
              </w:rPr>
              <w:t>“...$394,328 million, for the fiscal year ending September 24, 2022” (stale, wrong)</w:t>
            </w:r>
          </w:p>
        </w:tc>
      </w:tr>
    </w:tbl>
    <w:p/>
    <w:p>
      <w:r>
        <w:t>The signal moved in exactly the intended direction when stale evidence was substituted in (0.70 → 0.65). It did not fall far enough to drop below the calibrated τ_A of 0.45, so the system still answered with outdated information in this instance — the clearest concrete evidence in this pilot that the mechanism works correctly while the threshold, calibrated on only 12 examples, was not tight enough to always act on it.</w:t>
      </w:r>
    </w:p>
    <w:p>
      <w:pPr>
        <w:pStyle w:val="Heading1"/>
      </w:pPr>
      <w:r>
        <w:t>Limitations of This Pilot</w:t>
      </w:r>
    </w:p>
    <w:p>
      <w:pPr>
        <w:pStyle w:val="ListBullet"/>
      </w:pPr>
      <w:r>
        <w:rPr>
          <w:b/>
        </w:rPr>
        <w:t xml:space="preserve">Generator scale dominates errors: </w:t>
      </w:r>
      <w:r>
        <w:t>with a 0.5B-parameter local model, most wrong answers were arithmetic or reasoning mistakes made despite correct evidence being retrieved — a failure mode evidence-side sufficiency gating cannot catch by construction.</w:t>
      </w:r>
    </w:p>
    <w:p>
      <w:pPr>
        <w:pStyle w:val="ListBullet"/>
      </w:pPr>
      <w:r>
        <w:rPr>
          <w:b/>
        </w:rPr>
        <w:t xml:space="preserve">Grading is a lexical-overlap proxy: </w:t>
      </w:r>
      <w:r>
        <w:t>fully automated (no LLM judge), which produced both a false positive (right entities, wrong relationship, credited as correct) and a false negative (“$383.3 billion” marked wrong against “$383,285 million” due to a unit mismatch).</w:t>
      </w:r>
    </w:p>
    <w:p>
      <w:pPr>
        <w:pStyle w:val="ListBullet"/>
      </w:pPr>
      <w:r>
        <w:rPr>
          <w:b/>
        </w:rPr>
        <w:t xml:space="preserve">Context relevance measured low (9-10%) across all systems: </w:t>
      </w:r>
      <w:r>
        <w:t>the strict chunk-id match metric undercounts retrieval quality here, because overlapping fixed-window chunking often surfaces an informationally equivalent passage rather than the single one annotated as gold.</w:t>
      </w:r>
    </w:p>
    <w:p>
      <w:pPr>
        <w:pStyle w:val="ListBullet"/>
      </w:pPr>
      <w:r>
        <w:rPr>
          <w:b/>
        </w:rPr>
        <w:t xml:space="preserve">Calibration set (12 items) is small: </w:t>
      </w:r>
      <w:r>
        <w:t>correctness correlated only weakly with S at this scale, which is why the grid search settled on a permissive threshold rather than a risk-reducing one.</w:t>
      </w:r>
    </w:p>
    <w:p>
      <w:r>
        <w:t>These results should be read as evidence that the ECERAG architecture is mechanically sound and that its Trust/Temporal signal responds correctly to document staleness — not as an accuracy benchmark comparable to a production deployment with a frontier-scale generator.</w:t>
      </w:r>
    </w:p>
    <w:p>
      <w:r>
        <w:br w:type="page"/>
      </w:r>
    </w:p>
    <w:p>
      <w:pPr>
        <w:pStyle w:val="Heading1"/>
      </w:pPr>
      <w:r>
        <w:t>Appendix: Full Metrics Table</w:t>
      </w:r>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296"/>
            <w:shd w:fill="2A78D6"/>
          </w:tcPr>
          <w:p>
            <w:pPr>
              <w:jc w:val="center"/>
            </w:pPr>
            <w:r>
              <w:rPr>
                <w:b/>
                <w:color w:val="FFFFFF"/>
                <w:sz w:val="19"/>
              </w:rPr>
              <w:t>Condition</w:t>
            </w:r>
          </w:p>
        </w:tc>
        <w:tc>
          <w:tcPr>
            <w:tcW w:type="dxa" w:w="1368"/>
            <w:shd w:fill="2A78D6"/>
          </w:tcPr>
          <w:p>
            <w:pPr>
              <w:jc w:val="center"/>
            </w:pPr>
            <w:r>
              <w:rPr>
                <w:b/>
                <w:color w:val="FFFFFF"/>
                <w:sz w:val="19"/>
              </w:rPr>
              <w:t>System</w:t>
            </w:r>
          </w:p>
        </w:tc>
        <w:tc>
          <w:tcPr>
            <w:tcW w:type="dxa" w:w="504"/>
            <w:shd w:fill="2A78D6"/>
          </w:tcPr>
          <w:p>
            <w:pPr>
              <w:jc w:val="center"/>
            </w:pPr>
            <w:r>
              <w:rPr>
                <w:b/>
                <w:color w:val="FFFFFF"/>
                <w:sz w:val="19"/>
              </w:rPr>
              <w:t>N</w:t>
            </w:r>
          </w:p>
        </w:tc>
        <w:tc>
          <w:tcPr>
            <w:tcW w:type="dxa" w:w="1080"/>
            <w:shd w:fill="2A78D6"/>
          </w:tcPr>
          <w:p>
            <w:pPr>
              <w:jc w:val="center"/>
            </w:pPr>
            <w:r>
              <w:rPr>
                <w:b/>
                <w:color w:val="FFFFFF"/>
                <w:sz w:val="19"/>
              </w:rPr>
              <w:t>Coverage</w:t>
            </w:r>
          </w:p>
        </w:tc>
        <w:tc>
          <w:tcPr>
            <w:tcW w:type="dxa" w:w="1008"/>
            <w:shd w:fill="2A78D6"/>
          </w:tcPr>
          <w:p>
            <w:pPr>
              <w:jc w:val="center"/>
            </w:pPr>
            <w:r>
              <w:rPr>
                <w:b/>
                <w:color w:val="FFFFFF"/>
                <w:sz w:val="19"/>
              </w:rPr>
              <w:t>Sel. Risk</w:t>
            </w:r>
          </w:p>
        </w:tc>
        <w:tc>
          <w:tcPr>
            <w:tcW w:type="dxa" w:w="1224"/>
            <w:shd w:fill="2A78D6"/>
          </w:tcPr>
          <w:p>
            <w:pPr>
              <w:jc w:val="center"/>
            </w:pPr>
            <w:r>
              <w:rPr>
                <w:b/>
                <w:color w:val="FFFFFF"/>
                <w:sz w:val="19"/>
              </w:rPr>
              <w:t>Faithfulness</w:t>
            </w:r>
          </w:p>
        </w:tc>
        <w:tc>
          <w:tcPr>
            <w:tcW w:type="dxa" w:w="1224"/>
            <w:shd w:fill="2A78D6"/>
          </w:tcPr>
          <w:p>
            <w:pPr>
              <w:jc w:val="center"/>
            </w:pPr>
            <w:r>
              <w:rPr>
                <w:b/>
                <w:color w:val="FFFFFF"/>
                <w:sz w:val="19"/>
              </w:rPr>
              <w:t>Ctx. Relevance</w:t>
            </w:r>
          </w:p>
        </w:tc>
        <w:tc>
          <w:tcPr>
            <w:tcW w:type="dxa" w:w="1224"/>
            <w:shd w:fill="2A78D6"/>
          </w:tcPr>
          <w:p>
            <w:pPr>
              <w:jc w:val="center"/>
            </w:pPr>
            <w:r>
              <w:rPr>
                <w:b/>
                <w:color w:val="FFFFFF"/>
                <w:sz w:val="19"/>
              </w:rPr>
              <w:t>Abst. Precision</w:t>
            </w:r>
          </w:p>
        </w:tc>
        <w:tc>
          <w:tcPr>
            <w:tcW w:type="dxa" w:w="1080"/>
            <w:shd w:fill="2A78D6"/>
          </w:tcPr>
          <w:p>
            <w:pPr>
              <w:jc w:val="center"/>
            </w:pPr>
            <w:r>
              <w:rPr>
                <w:b/>
                <w:color w:val="FFFFFF"/>
                <w:sz w:val="19"/>
              </w:rPr>
              <w:t>Abst. Recall</w:t>
            </w:r>
          </w:p>
        </w:tc>
      </w:tr>
      <w:tr>
        <w:tc>
          <w:tcPr>
            <w:tcW w:type="dxa" w:w="1296"/>
          </w:tcPr>
          <w:p>
            <w:pPr>
              <w:jc w:val="center"/>
            </w:pPr>
            <w:r>
              <w:rPr>
                <w:sz w:val="19"/>
              </w:rPr>
              <w:t>clean</w:t>
            </w:r>
          </w:p>
        </w:tc>
        <w:tc>
          <w:tcPr>
            <w:tcW w:type="dxa" w:w="1368"/>
          </w:tcPr>
          <w:p>
            <w:pPr>
              <w:jc w:val="center"/>
            </w:pPr>
            <w:r>
              <w:rPr>
                <w:sz w:val="19"/>
              </w:rPr>
              <w:t>Baseline RAG</w:t>
            </w:r>
          </w:p>
        </w:tc>
        <w:tc>
          <w:tcPr>
            <w:tcW w:type="dxa" w:w="504"/>
          </w:tcPr>
          <w:p>
            <w:pPr>
              <w:jc w:val="center"/>
            </w:pPr>
            <w:r>
              <w:rPr>
                <w:sz w:val="19"/>
              </w:rPr>
              <w:t>28</w:t>
            </w:r>
          </w:p>
        </w:tc>
        <w:tc>
          <w:tcPr>
            <w:tcW w:type="dxa" w:w="1080"/>
          </w:tcPr>
          <w:p>
            <w:pPr>
              <w:jc w:val="center"/>
            </w:pPr>
            <w:r>
              <w:rPr>
                <w:sz w:val="19"/>
              </w:rPr>
              <w:t>68%</w:t>
            </w:r>
          </w:p>
        </w:tc>
        <w:tc>
          <w:tcPr>
            <w:tcW w:type="dxa" w:w="1008"/>
          </w:tcPr>
          <w:p>
            <w:pPr>
              <w:jc w:val="center"/>
            </w:pPr>
            <w:r>
              <w:rPr>
                <w:sz w:val="19"/>
              </w:rPr>
              <w:t>68%</w:t>
            </w:r>
          </w:p>
        </w:tc>
        <w:tc>
          <w:tcPr>
            <w:tcW w:type="dxa" w:w="1224"/>
          </w:tcPr>
          <w:p>
            <w:pPr>
              <w:jc w:val="center"/>
            </w:pPr>
            <w:r>
              <w:rPr>
                <w:sz w:val="19"/>
              </w:rPr>
              <w:t>80%</w:t>
            </w:r>
          </w:p>
        </w:tc>
        <w:tc>
          <w:tcPr>
            <w:tcW w:type="dxa" w:w="1224"/>
          </w:tcPr>
          <w:p>
            <w:pPr>
              <w:jc w:val="center"/>
            </w:pPr>
            <w:r>
              <w:rPr>
                <w:sz w:val="19"/>
              </w:rPr>
              <w:t>10%</w:t>
            </w:r>
          </w:p>
        </w:tc>
        <w:tc>
          <w:tcPr>
            <w:tcW w:type="dxa" w:w="1224"/>
          </w:tcPr>
          <w:p>
            <w:pPr>
              <w:jc w:val="center"/>
            </w:pPr>
            <w:r>
              <w:rPr>
                <w:sz w:val="19"/>
              </w:rPr>
              <w:t>44%</w:t>
            </w:r>
          </w:p>
        </w:tc>
        <w:tc>
          <w:tcPr>
            <w:tcW w:type="dxa" w:w="1080"/>
          </w:tcPr>
          <w:p>
            <w:pPr>
              <w:jc w:val="center"/>
            </w:pPr>
            <w:r>
              <w:rPr>
                <w:sz w:val="19"/>
              </w:rPr>
              <w:t>50%</w:t>
            </w:r>
          </w:p>
        </w:tc>
      </w:tr>
      <w:tr>
        <w:tc>
          <w:tcPr>
            <w:tcW w:type="dxa" w:w="1296"/>
          </w:tcPr>
          <w:p>
            <w:pPr>
              <w:jc w:val="center"/>
            </w:pPr>
            <w:r>
              <w:rPr>
                <w:sz w:val="19"/>
              </w:rPr>
              <w:t>clean</w:t>
            </w:r>
          </w:p>
        </w:tc>
        <w:tc>
          <w:tcPr>
            <w:tcW w:type="dxa" w:w="1368"/>
          </w:tcPr>
          <w:p>
            <w:pPr>
              <w:jc w:val="center"/>
            </w:pPr>
            <w:r>
              <w:rPr>
                <w:sz w:val="19"/>
              </w:rPr>
              <w:t>ECERAG</w:t>
            </w:r>
          </w:p>
        </w:tc>
        <w:tc>
          <w:tcPr>
            <w:tcW w:type="dxa" w:w="504"/>
          </w:tcPr>
          <w:p>
            <w:pPr>
              <w:jc w:val="center"/>
            </w:pPr>
            <w:r>
              <w:rPr>
                <w:sz w:val="19"/>
              </w:rPr>
              <w:t>28</w:t>
            </w:r>
          </w:p>
        </w:tc>
        <w:tc>
          <w:tcPr>
            <w:tcW w:type="dxa" w:w="1080"/>
          </w:tcPr>
          <w:p>
            <w:pPr>
              <w:jc w:val="center"/>
            </w:pPr>
            <w:r>
              <w:rPr>
                <w:sz w:val="19"/>
              </w:rPr>
              <w:t>61%</w:t>
            </w:r>
          </w:p>
        </w:tc>
        <w:tc>
          <w:tcPr>
            <w:tcW w:type="dxa" w:w="1008"/>
          </w:tcPr>
          <w:p>
            <w:pPr>
              <w:jc w:val="center"/>
            </w:pPr>
            <w:r>
              <w:rPr>
                <w:sz w:val="19"/>
              </w:rPr>
              <w:t>71%</w:t>
            </w:r>
          </w:p>
        </w:tc>
        <w:tc>
          <w:tcPr>
            <w:tcW w:type="dxa" w:w="1224"/>
          </w:tcPr>
          <w:p>
            <w:pPr>
              <w:jc w:val="center"/>
            </w:pPr>
            <w:r>
              <w:rPr>
                <w:sz w:val="19"/>
              </w:rPr>
              <w:t>83%</w:t>
            </w:r>
          </w:p>
        </w:tc>
        <w:tc>
          <w:tcPr>
            <w:tcW w:type="dxa" w:w="1224"/>
          </w:tcPr>
          <w:p>
            <w:pPr>
              <w:jc w:val="center"/>
            </w:pPr>
            <w:r>
              <w:rPr>
                <w:sz w:val="19"/>
              </w:rPr>
              <w:t>10%</w:t>
            </w:r>
          </w:p>
        </w:tc>
        <w:tc>
          <w:tcPr>
            <w:tcW w:type="dxa" w:w="1224"/>
          </w:tcPr>
          <w:p>
            <w:pPr>
              <w:jc w:val="center"/>
            </w:pPr>
            <w:r>
              <w:rPr>
                <w:sz w:val="19"/>
              </w:rPr>
              <w:t>45%</w:t>
            </w:r>
          </w:p>
        </w:tc>
        <w:tc>
          <w:tcPr>
            <w:tcW w:type="dxa" w:w="1080"/>
          </w:tcPr>
          <w:p>
            <w:pPr>
              <w:jc w:val="center"/>
            </w:pPr>
            <w:r>
              <w:rPr>
                <w:sz w:val="19"/>
              </w:rPr>
              <w:t>62%</w:t>
            </w:r>
          </w:p>
        </w:tc>
      </w:tr>
      <w:tr>
        <w:tc>
          <w:tcPr>
            <w:tcW w:type="dxa" w:w="1296"/>
          </w:tcPr>
          <w:p>
            <w:pPr>
              <w:jc w:val="center"/>
            </w:pPr>
            <w:r>
              <w:rPr>
                <w:sz w:val="19"/>
              </w:rPr>
              <w:t>clean</w:t>
            </w:r>
          </w:p>
        </w:tc>
        <w:tc>
          <w:tcPr>
            <w:tcW w:type="dxa" w:w="1368"/>
          </w:tcPr>
          <w:p>
            <w:pPr>
              <w:jc w:val="center"/>
            </w:pPr>
            <w:r>
              <w:rPr>
                <w:sz w:val="19"/>
              </w:rPr>
              <w:t>ECERAG+CR</w:t>
            </w:r>
          </w:p>
        </w:tc>
        <w:tc>
          <w:tcPr>
            <w:tcW w:type="dxa" w:w="504"/>
          </w:tcPr>
          <w:p>
            <w:pPr>
              <w:jc w:val="center"/>
            </w:pPr>
            <w:r>
              <w:rPr>
                <w:sz w:val="19"/>
              </w:rPr>
              <w:t>28</w:t>
            </w:r>
          </w:p>
        </w:tc>
        <w:tc>
          <w:tcPr>
            <w:tcW w:type="dxa" w:w="1080"/>
          </w:tcPr>
          <w:p>
            <w:pPr>
              <w:jc w:val="center"/>
            </w:pPr>
            <w:r>
              <w:rPr>
                <w:sz w:val="19"/>
              </w:rPr>
              <w:t>68%</w:t>
            </w:r>
          </w:p>
        </w:tc>
        <w:tc>
          <w:tcPr>
            <w:tcW w:type="dxa" w:w="1008"/>
          </w:tcPr>
          <w:p>
            <w:pPr>
              <w:jc w:val="center"/>
            </w:pPr>
            <w:r>
              <w:rPr>
                <w:sz w:val="19"/>
              </w:rPr>
              <w:t>74%</w:t>
            </w:r>
          </w:p>
        </w:tc>
        <w:tc>
          <w:tcPr>
            <w:tcW w:type="dxa" w:w="1224"/>
          </w:tcPr>
          <w:p>
            <w:pPr>
              <w:jc w:val="center"/>
            </w:pPr>
            <w:r>
              <w:rPr>
                <w:sz w:val="19"/>
              </w:rPr>
              <w:t>79%</w:t>
            </w:r>
          </w:p>
        </w:tc>
        <w:tc>
          <w:tcPr>
            <w:tcW w:type="dxa" w:w="1224"/>
          </w:tcPr>
          <w:p>
            <w:pPr>
              <w:jc w:val="center"/>
            </w:pPr>
            <w:r>
              <w:rPr>
                <w:sz w:val="19"/>
              </w:rPr>
              <w:t>9%</w:t>
            </w:r>
          </w:p>
        </w:tc>
        <w:tc>
          <w:tcPr>
            <w:tcW w:type="dxa" w:w="1224"/>
          </w:tcPr>
          <w:p>
            <w:pPr>
              <w:jc w:val="center"/>
            </w:pPr>
            <w:r>
              <w:rPr>
                <w:sz w:val="19"/>
              </w:rPr>
              <w:t>44%</w:t>
            </w:r>
          </w:p>
        </w:tc>
        <w:tc>
          <w:tcPr>
            <w:tcW w:type="dxa" w:w="1080"/>
          </w:tcPr>
          <w:p>
            <w:pPr>
              <w:jc w:val="center"/>
            </w:pPr>
            <w:r>
              <w:rPr>
                <w:sz w:val="19"/>
              </w:rPr>
              <w:t>50%</w:t>
            </w:r>
          </w:p>
        </w:tc>
      </w:tr>
      <w:tr>
        <w:tc>
          <w:tcPr>
            <w:tcW w:type="dxa" w:w="1296"/>
          </w:tcPr>
          <w:p>
            <w:pPr>
              <w:jc w:val="center"/>
            </w:pPr>
            <w:r>
              <w:rPr>
                <w:sz w:val="19"/>
              </w:rPr>
              <w:t>irrelevant</w:t>
            </w:r>
          </w:p>
        </w:tc>
        <w:tc>
          <w:tcPr>
            <w:tcW w:type="dxa" w:w="1368"/>
          </w:tcPr>
          <w:p>
            <w:pPr>
              <w:jc w:val="center"/>
            </w:pPr>
            <w:r>
              <w:rPr>
                <w:sz w:val="19"/>
              </w:rPr>
              <w:t>Baseline RAG</w:t>
            </w:r>
          </w:p>
        </w:tc>
        <w:tc>
          <w:tcPr>
            <w:tcW w:type="dxa" w:w="504"/>
          </w:tcPr>
          <w:p>
            <w:pPr>
              <w:jc w:val="center"/>
            </w:pPr>
            <w:r>
              <w:rPr>
                <w:sz w:val="19"/>
              </w:rPr>
              <w:t>27</w:t>
            </w:r>
          </w:p>
        </w:tc>
        <w:tc>
          <w:tcPr>
            <w:tcW w:type="dxa" w:w="1080"/>
          </w:tcPr>
          <w:p>
            <w:pPr>
              <w:jc w:val="center"/>
            </w:pPr>
            <w:r>
              <w:rPr>
                <w:sz w:val="19"/>
              </w:rPr>
              <w:t>78%</w:t>
            </w:r>
          </w:p>
        </w:tc>
        <w:tc>
          <w:tcPr>
            <w:tcW w:type="dxa" w:w="1008"/>
          </w:tcPr>
          <w:p>
            <w:pPr>
              <w:jc w:val="center"/>
            </w:pPr>
            <w:r>
              <w:rPr>
                <w:sz w:val="19"/>
              </w:rPr>
              <w:t>81%</w:t>
            </w:r>
          </w:p>
        </w:tc>
        <w:tc>
          <w:tcPr>
            <w:tcW w:type="dxa" w:w="1224"/>
          </w:tcPr>
          <w:p>
            <w:pPr>
              <w:jc w:val="center"/>
            </w:pPr>
            <w:r>
              <w:rPr>
                <w:sz w:val="19"/>
              </w:rPr>
              <w:t>80%</w:t>
            </w:r>
          </w:p>
        </w:tc>
        <w:tc>
          <w:tcPr>
            <w:tcW w:type="dxa" w:w="1224"/>
          </w:tcPr>
          <w:p>
            <w:pPr>
              <w:jc w:val="center"/>
            </w:pPr>
            <w:r>
              <w:rPr>
                <w:sz w:val="19"/>
              </w:rPr>
              <w:t>10%</w:t>
            </w:r>
          </w:p>
        </w:tc>
        <w:tc>
          <w:tcPr>
            <w:tcW w:type="dxa" w:w="1224"/>
          </w:tcPr>
          <w:p>
            <w:pPr>
              <w:jc w:val="center"/>
            </w:pPr>
            <w:r>
              <w:rPr>
                <w:sz w:val="19"/>
              </w:rPr>
              <w:t>50%</w:t>
            </w:r>
          </w:p>
        </w:tc>
        <w:tc>
          <w:tcPr>
            <w:tcW w:type="dxa" w:w="1080"/>
          </w:tcPr>
          <w:p>
            <w:pPr>
              <w:jc w:val="center"/>
            </w:pPr>
            <w:r>
              <w:rPr>
                <w:sz w:val="19"/>
              </w:rPr>
              <w:t>43%</w:t>
            </w:r>
          </w:p>
        </w:tc>
      </w:tr>
      <w:tr>
        <w:tc>
          <w:tcPr>
            <w:tcW w:type="dxa" w:w="1296"/>
          </w:tcPr>
          <w:p>
            <w:pPr>
              <w:jc w:val="center"/>
            </w:pPr>
            <w:r>
              <w:rPr>
                <w:sz w:val="19"/>
              </w:rPr>
              <w:t>irrelevant</w:t>
            </w:r>
          </w:p>
        </w:tc>
        <w:tc>
          <w:tcPr>
            <w:tcW w:type="dxa" w:w="1368"/>
          </w:tcPr>
          <w:p>
            <w:pPr>
              <w:jc w:val="center"/>
            </w:pPr>
            <w:r>
              <w:rPr>
                <w:sz w:val="19"/>
              </w:rPr>
              <w:t>ECERAG</w:t>
            </w:r>
          </w:p>
        </w:tc>
        <w:tc>
          <w:tcPr>
            <w:tcW w:type="dxa" w:w="504"/>
          </w:tcPr>
          <w:p>
            <w:pPr>
              <w:jc w:val="center"/>
            </w:pPr>
            <w:r>
              <w:rPr>
                <w:sz w:val="19"/>
              </w:rPr>
              <w:t>27</w:t>
            </w:r>
          </w:p>
        </w:tc>
        <w:tc>
          <w:tcPr>
            <w:tcW w:type="dxa" w:w="1080"/>
          </w:tcPr>
          <w:p>
            <w:pPr>
              <w:jc w:val="center"/>
            </w:pPr>
            <w:r>
              <w:rPr>
                <w:sz w:val="19"/>
              </w:rPr>
              <w:t>74%</w:t>
            </w:r>
          </w:p>
        </w:tc>
        <w:tc>
          <w:tcPr>
            <w:tcW w:type="dxa" w:w="1008"/>
          </w:tcPr>
          <w:p>
            <w:pPr>
              <w:jc w:val="center"/>
            </w:pPr>
            <w:r>
              <w:rPr>
                <w:sz w:val="19"/>
              </w:rPr>
              <w:t>80%</w:t>
            </w:r>
          </w:p>
        </w:tc>
        <w:tc>
          <w:tcPr>
            <w:tcW w:type="dxa" w:w="1224"/>
          </w:tcPr>
          <w:p>
            <w:pPr>
              <w:jc w:val="center"/>
            </w:pPr>
            <w:r>
              <w:rPr>
                <w:sz w:val="19"/>
              </w:rPr>
              <w:t>81%</w:t>
            </w:r>
          </w:p>
        </w:tc>
        <w:tc>
          <w:tcPr>
            <w:tcW w:type="dxa" w:w="1224"/>
          </w:tcPr>
          <w:p>
            <w:pPr>
              <w:jc w:val="center"/>
            </w:pPr>
            <w:r>
              <w:rPr>
                <w:sz w:val="19"/>
              </w:rPr>
              <w:t>10%</w:t>
            </w:r>
          </w:p>
        </w:tc>
        <w:tc>
          <w:tcPr>
            <w:tcW w:type="dxa" w:w="1224"/>
          </w:tcPr>
          <w:p>
            <w:pPr>
              <w:jc w:val="center"/>
            </w:pPr>
            <w:r>
              <w:rPr>
                <w:sz w:val="19"/>
              </w:rPr>
              <w:t>57%</w:t>
            </w:r>
          </w:p>
        </w:tc>
        <w:tc>
          <w:tcPr>
            <w:tcW w:type="dxa" w:w="1080"/>
          </w:tcPr>
          <w:p>
            <w:pPr>
              <w:jc w:val="center"/>
            </w:pPr>
            <w:r>
              <w:rPr>
                <w:sz w:val="19"/>
              </w:rPr>
              <w:t>57%</w:t>
            </w:r>
          </w:p>
        </w:tc>
      </w:tr>
      <w:tr>
        <w:tc>
          <w:tcPr>
            <w:tcW w:type="dxa" w:w="1296"/>
          </w:tcPr>
          <w:p>
            <w:pPr>
              <w:jc w:val="center"/>
            </w:pPr>
            <w:r>
              <w:rPr>
                <w:sz w:val="19"/>
              </w:rPr>
              <w:t>irrelevant</w:t>
            </w:r>
          </w:p>
        </w:tc>
        <w:tc>
          <w:tcPr>
            <w:tcW w:type="dxa" w:w="1368"/>
          </w:tcPr>
          <w:p>
            <w:pPr>
              <w:jc w:val="center"/>
            </w:pPr>
            <w:r>
              <w:rPr>
                <w:sz w:val="19"/>
              </w:rPr>
              <w:t>ECERAG+CR</w:t>
            </w:r>
          </w:p>
        </w:tc>
        <w:tc>
          <w:tcPr>
            <w:tcW w:type="dxa" w:w="504"/>
          </w:tcPr>
          <w:p>
            <w:pPr>
              <w:jc w:val="center"/>
            </w:pPr>
            <w:r>
              <w:rPr>
                <w:sz w:val="19"/>
              </w:rPr>
              <w:t>27</w:t>
            </w:r>
          </w:p>
        </w:tc>
        <w:tc>
          <w:tcPr>
            <w:tcW w:type="dxa" w:w="1080"/>
          </w:tcPr>
          <w:p>
            <w:pPr>
              <w:jc w:val="center"/>
            </w:pPr>
            <w:r>
              <w:rPr>
                <w:sz w:val="19"/>
              </w:rPr>
              <w:t>78%</w:t>
            </w:r>
          </w:p>
        </w:tc>
        <w:tc>
          <w:tcPr>
            <w:tcW w:type="dxa" w:w="1008"/>
          </w:tcPr>
          <w:p>
            <w:pPr>
              <w:jc w:val="center"/>
            </w:pPr>
            <w:r>
              <w:rPr>
                <w:sz w:val="19"/>
              </w:rPr>
              <w:t>81%</w:t>
            </w:r>
          </w:p>
        </w:tc>
        <w:tc>
          <w:tcPr>
            <w:tcW w:type="dxa" w:w="1224"/>
          </w:tcPr>
          <w:p>
            <w:pPr>
              <w:jc w:val="center"/>
            </w:pPr>
            <w:r>
              <w:rPr>
                <w:sz w:val="19"/>
              </w:rPr>
              <w:t>80%</w:t>
            </w:r>
          </w:p>
        </w:tc>
        <w:tc>
          <w:tcPr>
            <w:tcW w:type="dxa" w:w="1224"/>
          </w:tcPr>
          <w:p>
            <w:pPr>
              <w:jc w:val="center"/>
            </w:pPr>
            <w:r>
              <w:rPr>
                <w:sz w:val="19"/>
              </w:rPr>
              <w:t>10%</w:t>
            </w:r>
          </w:p>
        </w:tc>
        <w:tc>
          <w:tcPr>
            <w:tcW w:type="dxa" w:w="1224"/>
          </w:tcPr>
          <w:p>
            <w:pPr>
              <w:jc w:val="center"/>
            </w:pPr>
            <w:r>
              <w:rPr>
                <w:sz w:val="19"/>
              </w:rPr>
              <w:t>50%</w:t>
            </w:r>
          </w:p>
        </w:tc>
        <w:tc>
          <w:tcPr>
            <w:tcW w:type="dxa" w:w="1080"/>
          </w:tcPr>
          <w:p>
            <w:pPr>
              <w:jc w:val="center"/>
            </w:pPr>
            <w:r>
              <w:rPr>
                <w:sz w:val="19"/>
              </w:rPr>
              <w:t>43%</w:t>
            </w:r>
          </w:p>
        </w:tc>
      </w:tr>
      <w:tr>
        <w:tc>
          <w:tcPr>
            <w:tcW w:type="dxa" w:w="1296"/>
          </w:tcPr>
          <w:p>
            <w:pPr>
              <w:jc w:val="center"/>
            </w:pPr>
            <w:r>
              <w:rPr>
                <w:sz w:val="19"/>
              </w:rPr>
              <w:t>contradictory</w:t>
            </w:r>
          </w:p>
        </w:tc>
        <w:tc>
          <w:tcPr>
            <w:tcW w:type="dxa" w:w="1368"/>
          </w:tcPr>
          <w:p>
            <w:pPr>
              <w:jc w:val="center"/>
            </w:pPr>
            <w:r>
              <w:rPr>
                <w:sz w:val="19"/>
              </w:rPr>
              <w:t>Baseline RAG</w:t>
            </w:r>
          </w:p>
        </w:tc>
        <w:tc>
          <w:tcPr>
            <w:tcW w:type="dxa" w:w="504"/>
          </w:tcPr>
          <w:p>
            <w:pPr>
              <w:jc w:val="center"/>
            </w:pPr>
            <w:r>
              <w:rPr>
                <w:sz w:val="19"/>
              </w:rPr>
              <w:t>10</w:t>
            </w:r>
          </w:p>
        </w:tc>
        <w:tc>
          <w:tcPr>
            <w:tcW w:type="dxa" w:w="1080"/>
          </w:tcPr>
          <w:p>
            <w:pPr>
              <w:jc w:val="center"/>
            </w:pPr>
            <w:r>
              <w:rPr>
                <w:sz w:val="19"/>
              </w:rPr>
              <w:t>90%</w:t>
            </w:r>
          </w:p>
        </w:tc>
        <w:tc>
          <w:tcPr>
            <w:tcW w:type="dxa" w:w="1008"/>
          </w:tcPr>
          <w:p>
            <w:pPr>
              <w:jc w:val="center"/>
            </w:pPr>
            <w:r>
              <w:rPr>
                <w:sz w:val="19"/>
              </w:rPr>
              <w:t>33%</w:t>
            </w:r>
          </w:p>
        </w:tc>
        <w:tc>
          <w:tcPr>
            <w:tcW w:type="dxa" w:w="1224"/>
          </w:tcPr>
          <w:p>
            <w:pPr>
              <w:jc w:val="center"/>
            </w:pPr>
            <w:r>
              <w:rPr>
                <w:sz w:val="19"/>
              </w:rPr>
              <w:t>85%</w:t>
            </w:r>
          </w:p>
        </w:tc>
        <w:tc>
          <w:tcPr>
            <w:tcW w:type="dxa" w:w="1224"/>
          </w:tcPr>
          <w:p>
            <w:pPr>
              <w:jc w:val="center"/>
            </w:pPr>
            <w:r>
              <w:rPr>
                <w:sz w:val="19"/>
              </w:rPr>
              <w:t>20%</w:t>
            </w:r>
          </w:p>
        </w:tc>
        <w:tc>
          <w:tcPr>
            <w:tcW w:type="dxa" w:w="1224"/>
          </w:tcPr>
          <w:p>
            <w:pPr>
              <w:jc w:val="center"/>
            </w:pPr>
            <w:r>
              <w:rPr>
                <w:sz w:val="19"/>
              </w:rPr>
              <w:t>0%</w:t>
            </w:r>
          </w:p>
        </w:tc>
        <w:tc>
          <w:tcPr>
            <w:tcW w:type="dxa" w:w="1080"/>
          </w:tcPr>
          <w:p>
            <w:pPr>
              <w:jc w:val="center"/>
            </w:pPr>
            <w:r>
              <w:rPr>
                <w:sz w:val="19"/>
              </w:rPr>
              <w:t>—</w:t>
            </w:r>
          </w:p>
        </w:tc>
      </w:tr>
      <w:tr>
        <w:tc>
          <w:tcPr>
            <w:tcW w:type="dxa" w:w="1296"/>
          </w:tcPr>
          <w:p>
            <w:pPr>
              <w:jc w:val="center"/>
            </w:pPr>
            <w:r>
              <w:rPr>
                <w:sz w:val="19"/>
              </w:rPr>
              <w:t>contradictory</w:t>
            </w:r>
          </w:p>
        </w:tc>
        <w:tc>
          <w:tcPr>
            <w:tcW w:type="dxa" w:w="1368"/>
          </w:tcPr>
          <w:p>
            <w:pPr>
              <w:jc w:val="center"/>
            </w:pPr>
            <w:r>
              <w:rPr>
                <w:sz w:val="19"/>
              </w:rPr>
              <w:t>ECERAG</w:t>
            </w:r>
          </w:p>
        </w:tc>
        <w:tc>
          <w:tcPr>
            <w:tcW w:type="dxa" w:w="504"/>
          </w:tcPr>
          <w:p>
            <w:pPr>
              <w:jc w:val="center"/>
            </w:pPr>
            <w:r>
              <w:rPr>
                <w:sz w:val="19"/>
              </w:rPr>
              <w:t>10</w:t>
            </w:r>
          </w:p>
        </w:tc>
        <w:tc>
          <w:tcPr>
            <w:tcW w:type="dxa" w:w="1080"/>
          </w:tcPr>
          <w:p>
            <w:pPr>
              <w:jc w:val="center"/>
            </w:pPr>
            <w:r>
              <w:rPr>
                <w:sz w:val="19"/>
              </w:rPr>
              <w:t>90%</w:t>
            </w:r>
          </w:p>
        </w:tc>
        <w:tc>
          <w:tcPr>
            <w:tcW w:type="dxa" w:w="1008"/>
          </w:tcPr>
          <w:p>
            <w:pPr>
              <w:jc w:val="center"/>
            </w:pPr>
            <w:r>
              <w:rPr>
                <w:sz w:val="19"/>
              </w:rPr>
              <w:t>33%</w:t>
            </w:r>
          </w:p>
        </w:tc>
        <w:tc>
          <w:tcPr>
            <w:tcW w:type="dxa" w:w="1224"/>
          </w:tcPr>
          <w:p>
            <w:pPr>
              <w:jc w:val="center"/>
            </w:pPr>
            <w:r>
              <w:rPr>
                <w:sz w:val="19"/>
              </w:rPr>
              <w:t>85%</w:t>
            </w:r>
          </w:p>
        </w:tc>
        <w:tc>
          <w:tcPr>
            <w:tcW w:type="dxa" w:w="1224"/>
          </w:tcPr>
          <w:p>
            <w:pPr>
              <w:jc w:val="center"/>
            </w:pPr>
            <w:r>
              <w:rPr>
                <w:sz w:val="19"/>
              </w:rPr>
              <w:t>20%</w:t>
            </w:r>
          </w:p>
        </w:tc>
        <w:tc>
          <w:tcPr>
            <w:tcW w:type="dxa" w:w="1224"/>
          </w:tcPr>
          <w:p>
            <w:pPr>
              <w:jc w:val="center"/>
            </w:pPr>
            <w:r>
              <w:rPr>
                <w:sz w:val="19"/>
              </w:rPr>
              <w:t>0%</w:t>
            </w:r>
          </w:p>
        </w:tc>
        <w:tc>
          <w:tcPr>
            <w:tcW w:type="dxa" w:w="1080"/>
          </w:tcPr>
          <w:p>
            <w:pPr>
              <w:jc w:val="center"/>
            </w:pPr>
            <w:r>
              <w:rPr>
                <w:sz w:val="19"/>
              </w:rPr>
              <w:t>—</w:t>
            </w:r>
          </w:p>
        </w:tc>
      </w:tr>
      <w:tr>
        <w:tc>
          <w:tcPr>
            <w:tcW w:type="dxa" w:w="1296"/>
          </w:tcPr>
          <w:p>
            <w:pPr>
              <w:jc w:val="center"/>
            </w:pPr>
            <w:r>
              <w:rPr>
                <w:sz w:val="19"/>
              </w:rPr>
              <w:t>contradictory</w:t>
            </w:r>
          </w:p>
        </w:tc>
        <w:tc>
          <w:tcPr>
            <w:tcW w:type="dxa" w:w="1368"/>
          </w:tcPr>
          <w:p>
            <w:pPr>
              <w:jc w:val="center"/>
            </w:pPr>
            <w:r>
              <w:rPr>
                <w:sz w:val="19"/>
              </w:rPr>
              <w:t>ECERAG+CR</w:t>
            </w:r>
          </w:p>
        </w:tc>
        <w:tc>
          <w:tcPr>
            <w:tcW w:type="dxa" w:w="504"/>
          </w:tcPr>
          <w:p>
            <w:pPr>
              <w:jc w:val="center"/>
            </w:pPr>
            <w:r>
              <w:rPr>
                <w:sz w:val="19"/>
              </w:rPr>
              <w:t>10</w:t>
            </w:r>
          </w:p>
        </w:tc>
        <w:tc>
          <w:tcPr>
            <w:tcW w:type="dxa" w:w="1080"/>
          </w:tcPr>
          <w:p>
            <w:pPr>
              <w:jc w:val="center"/>
            </w:pPr>
            <w:r>
              <w:rPr>
                <w:sz w:val="19"/>
              </w:rPr>
              <w:t>90%</w:t>
            </w:r>
          </w:p>
        </w:tc>
        <w:tc>
          <w:tcPr>
            <w:tcW w:type="dxa" w:w="1008"/>
          </w:tcPr>
          <w:p>
            <w:pPr>
              <w:jc w:val="center"/>
            </w:pPr>
            <w:r>
              <w:rPr>
                <w:sz w:val="19"/>
              </w:rPr>
              <w:t>33%</w:t>
            </w:r>
          </w:p>
        </w:tc>
        <w:tc>
          <w:tcPr>
            <w:tcW w:type="dxa" w:w="1224"/>
          </w:tcPr>
          <w:p>
            <w:pPr>
              <w:jc w:val="center"/>
            </w:pPr>
            <w:r>
              <w:rPr>
                <w:sz w:val="19"/>
              </w:rPr>
              <w:t>85%</w:t>
            </w:r>
          </w:p>
        </w:tc>
        <w:tc>
          <w:tcPr>
            <w:tcW w:type="dxa" w:w="1224"/>
          </w:tcPr>
          <w:p>
            <w:pPr>
              <w:jc w:val="center"/>
            </w:pPr>
            <w:r>
              <w:rPr>
                <w:sz w:val="19"/>
              </w:rPr>
              <w:t>20%</w:t>
            </w:r>
          </w:p>
        </w:tc>
        <w:tc>
          <w:tcPr>
            <w:tcW w:type="dxa" w:w="1224"/>
          </w:tcPr>
          <w:p>
            <w:pPr>
              <w:jc w:val="center"/>
            </w:pPr>
            <w:r>
              <w:rPr>
                <w:sz w:val="19"/>
              </w:rPr>
              <w:t>0%</w:t>
            </w:r>
          </w:p>
        </w:tc>
        <w:tc>
          <w:tcPr>
            <w:tcW w:type="dxa" w:w="1080"/>
          </w:tcPr>
          <w:p>
            <w:pPr>
              <w:jc w:val="center"/>
            </w:pPr>
            <w:r>
              <w:rPr>
                <w:sz w:val="19"/>
              </w:rPr>
              <w:t>—</w:t>
            </w:r>
          </w:p>
        </w:tc>
      </w:tr>
      <w:tr>
        <w:tc>
          <w:tcPr>
            <w:tcW w:type="dxa" w:w="1296"/>
          </w:tcPr>
          <w:p>
            <w:pPr>
              <w:jc w:val="center"/>
            </w:pPr>
            <w:r>
              <w:rPr>
                <w:sz w:val="19"/>
              </w:rPr>
              <w:t>counterfactual</w:t>
            </w:r>
          </w:p>
        </w:tc>
        <w:tc>
          <w:tcPr>
            <w:tcW w:type="dxa" w:w="1368"/>
          </w:tcPr>
          <w:p>
            <w:pPr>
              <w:jc w:val="center"/>
            </w:pPr>
            <w:r>
              <w:rPr>
                <w:sz w:val="19"/>
              </w:rPr>
              <w:t>Baseline RAG</w:t>
            </w:r>
          </w:p>
        </w:tc>
        <w:tc>
          <w:tcPr>
            <w:tcW w:type="dxa" w:w="504"/>
          </w:tcPr>
          <w:p>
            <w:pPr>
              <w:jc w:val="center"/>
            </w:pPr>
            <w:r>
              <w:rPr>
                <w:sz w:val="19"/>
              </w:rPr>
              <w:t>22</w:t>
            </w:r>
          </w:p>
        </w:tc>
        <w:tc>
          <w:tcPr>
            <w:tcW w:type="dxa" w:w="1080"/>
          </w:tcPr>
          <w:p>
            <w:pPr>
              <w:jc w:val="center"/>
            </w:pPr>
            <w:r>
              <w:rPr>
                <w:sz w:val="19"/>
              </w:rPr>
              <w:t>77%</w:t>
            </w:r>
          </w:p>
        </w:tc>
        <w:tc>
          <w:tcPr>
            <w:tcW w:type="dxa" w:w="1008"/>
          </w:tcPr>
          <w:p>
            <w:pPr>
              <w:jc w:val="center"/>
            </w:pPr>
            <w:r>
              <w:rPr>
                <w:sz w:val="19"/>
              </w:rPr>
              <w:t>82%</w:t>
            </w:r>
          </w:p>
        </w:tc>
        <w:tc>
          <w:tcPr>
            <w:tcW w:type="dxa" w:w="1224"/>
          </w:tcPr>
          <w:p>
            <w:pPr>
              <w:jc w:val="center"/>
            </w:pPr>
            <w:r>
              <w:rPr>
                <w:sz w:val="19"/>
              </w:rPr>
              <w:t>81%</w:t>
            </w:r>
          </w:p>
        </w:tc>
        <w:tc>
          <w:tcPr>
            <w:tcW w:type="dxa" w:w="1224"/>
          </w:tcPr>
          <w:p>
            <w:pPr>
              <w:jc w:val="center"/>
            </w:pPr>
            <w:r>
              <w:rPr>
                <w:sz w:val="19"/>
              </w:rPr>
              <w:t>6%</w:t>
            </w:r>
          </w:p>
        </w:tc>
        <w:tc>
          <w:tcPr>
            <w:tcW w:type="dxa" w:w="1224"/>
          </w:tcPr>
          <w:p>
            <w:pPr>
              <w:jc w:val="center"/>
            </w:pPr>
            <w:r>
              <w:rPr>
                <w:sz w:val="19"/>
              </w:rPr>
              <w:t>60%</w:t>
            </w:r>
          </w:p>
        </w:tc>
        <w:tc>
          <w:tcPr>
            <w:tcW w:type="dxa" w:w="1080"/>
          </w:tcPr>
          <w:p>
            <w:pPr>
              <w:jc w:val="center"/>
            </w:pPr>
            <w:r>
              <w:rPr>
                <w:sz w:val="19"/>
              </w:rPr>
              <w:t>60%</w:t>
            </w:r>
          </w:p>
        </w:tc>
      </w:tr>
      <w:tr>
        <w:tc>
          <w:tcPr>
            <w:tcW w:type="dxa" w:w="1296"/>
          </w:tcPr>
          <w:p>
            <w:pPr>
              <w:jc w:val="center"/>
            </w:pPr>
            <w:r>
              <w:rPr>
                <w:sz w:val="19"/>
              </w:rPr>
              <w:t>counterfactual</w:t>
            </w:r>
          </w:p>
        </w:tc>
        <w:tc>
          <w:tcPr>
            <w:tcW w:type="dxa" w:w="1368"/>
          </w:tcPr>
          <w:p>
            <w:pPr>
              <w:jc w:val="center"/>
            </w:pPr>
            <w:r>
              <w:rPr>
                <w:sz w:val="19"/>
              </w:rPr>
              <w:t>ECERAG</w:t>
            </w:r>
          </w:p>
        </w:tc>
        <w:tc>
          <w:tcPr>
            <w:tcW w:type="dxa" w:w="504"/>
          </w:tcPr>
          <w:p>
            <w:pPr>
              <w:jc w:val="center"/>
            </w:pPr>
            <w:r>
              <w:rPr>
                <w:sz w:val="19"/>
              </w:rPr>
              <w:t>22</w:t>
            </w:r>
          </w:p>
        </w:tc>
        <w:tc>
          <w:tcPr>
            <w:tcW w:type="dxa" w:w="1080"/>
          </w:tcPr>
          <w:p>
            <w:pPr>
              <w:jc w:val="center"/>
            </w:pPr>
            <w:r>
              <w:rPr>
                <w:sz w:val="19"/>
              </w:rPr>
              <w:t>68%</w:t>
            </w:r>
          </w:p>
        </w:tc>
        <w:tc>
          <w:tcPr>
            <w:tcW w:type="dxa" w:w="1008"/>
          </w:tcPr>
          <w:p>
            <w:pPr>
              <w:jc w:val="center"/>
            </w:pPr>
            <w:r>
              <w:rPr>
                <w:sz w:val="19"/>
              </w:rPr>
              <w:t>80%</w:t>
            </w:r>
          </w:p>
        </w:tc>
        <w:tc>
          <w:tcPr>
            <w:tcW w:type="dxa" w:w="1224"/>
          </w:tcPr>
          <w:p>
            <w:pPr>
              <w:jc w:val="center"/>
            </w:pPr>
            <w:r>
              <w:rPr>
                <w:sz w:val="19"/>
              </w:rPr>
              <w:t>83%</w:t>
            </w:r>
          </w:p>
        </w:tc>
        <w:tc>
          <w:tcPr>
            <w:tcW w:type="dxa" w:w="1224"/>
          </w:tcPr>
          <w:p>
            <w:pPr>
              <w:jc w:val="center"/>
            </w:pPr>
            <w:r>
              <w:rPr>
                <w:sz w:val="19"/>
              </w:rPr>
              <w:t>6%</w:t>
            </w:r>
          </w:p>
        </w:tc>
        <w:tc>
          <w:tcPr>
            <w:tcW w:type="dxa" w:w="1224"/>
          </w:tcPr>
          <w:p>
            <w:pPr>
              <w:jc w:val="center"/>
            </w:pPr>
            <w:r>
              <w:rPr>
                <w:sz w:val="19"/>
              </w:rPr>
              <w:t>43%</w:t>
            </w:r>
          </w:p>
        </w:tc>
        <w:tc>
          <w:tcPr>
            <w:tcW w:type="dxa" w:w="1080"/>
          </w:tcPr>
          <w:p>
            <w:pPr>
              <w:jc w:val="center"/>
            </w:pPr>
            <w:r>
              <w:rPr>
                <w:sz w:val="19"/>
              </w:rPr>
              <w:t>60%</w:t>
            </w:r>
          </w:p>
        </w:tc>
      </w:tr>
      <w:tr>
        <w:tc>
          <w:tcPr>
            <w:tcW w:type="dxa" w:w="1296"/>
          </w:tcPr>
          <w:p>
            <w:pPr>
              <w:jc w:val="center"/>
            </w:pPr>
            <w:r>
              <w:rPr>
                <w:sz w:val="19"/>
              </w:rPr>
              <w:t>counterfactual</w:t>
            </w:r>
          </w:p>
        </w:tc>
        <w:tc>
          <w:tcPr>
            <w:tcW w:type="dxa" w:w="1368"/>
          </w:tcPr>
          <w:p>
            <w:pPr>
              <w:jc w:val="center"/>
            </w:pPr>
            <w:r>
              <w:rPr>
                <w:sz w:val="19"/>
              </w:rPr>
              <w:t>ECERAG+CR</w:t>
            </w:r>
          </w:p>
        </w:tc>
        <w:tc>
          <w:tcPr>
            <w:tcW w:type="dxa" w:w="504"/>
          </w:tcPr>
          <w:p>
            <w:pPr>
              <w:jc w:val="center"/>
            </w:pPr>
            <w:r>
              <w:rPr>
                <w:sz w:val="19"/>
              </w:rPr>
              <w:t>22</w:t>
            </w:r>
          </w:p>
        </w:tc>
        <w:tc>
          <w:tcPr>
            <w:tcW w:type="dxa" w:w="1080"/>
          </w:tcPr>
          <w:p>
            <w:pPr>
              <w:jc w:val="center"/>
            </w:pPr>
            <w:r>
              <w:rPr>
                <w:sz w:val="19"/>
              </w:rPr>
              <w:t>73%</w:t>
            </w:r>
          </w:p>
        </w:tc>
        <w:tc>
          <w:tcPr>
            <w:tcW w:type="dxa" w:w="1008"/>
          </w:tcPr>
          <w:p>
            <w:pPr>
              <w:jc w:val="center"/>
            </w:pPr>
            <w:r>
              <w:rPr>
                <w:sz w:val="19"/>
              </w:rPr>
              <w:t>81%</w:t>
            </w:r>
          </w:p>
        </w:tc>
        <w:tc>
          <w:tcPr>
            <w:tcW w:type="dxa" w:w="1224"/>
          </w:tcPr>
          <w:p>
            <w:pPr>
              <w:jc w:val="center"/>
            </w:pPr>
            <w:r>
              <w:rPr>
                <w:sz w:val="19"/>
              </w:rPr>
              <w:t>82%</w:t>
            </w:r>
          </w:p>
        </w:tc>
        <w:tc>
          <w:tcPr>
            <w:tcW w:type="dxa" w:w="1224"/>
          </w:tcPr>
          <w:p>
            <w:pPr>
              <w:jc w:val="center"/>
            </w:pPr>
            <w:r>
              <w:rPr>
                <w:sz w:val="19"/>
              </w:rPr>
              <w:t>6%</w:t>
            </w:r>
          </w:p>
        </w:tc>
        <w:tc>
          <w:tcPr>
            <w:tcW w:type="dxa" w:w="1224"/>
          </w:tcPr>
          <w:p>
            <w:pPr>
              <w:jc w:val="center"/>
            </w:pPr>
            <w:r>
              <w:rPr>
                <w:sz w:val="19"/>
              </w:rPr>
              <w:t>50%</w:t>
            </w:r>
          </w:p>
        </w:tc>
        <w:tc>
          <w:tcPr>
            <w:tcW w:type="dxa" w:w="1080"/>
          </w:tcPr>
          <w:p>
            <w:pPr>
              <w:jc w:val="center"/>
            </w:pPr>
            <w:r>
              <w:rPr>
                <w:sz w:val="19"/>
              </w:rPr>
              <w:t>60%</w:t>
            </w:r>
          </w:p>
        </w:tc>
      </w:tr>
    </w:tbl>
    <w:p/>
    <w:p>
      <w:r>
        <w:rPr>
          <w:color w:val="898781"/>
          <w:sz w:val="18"/>
        </w:rPr>
        <w:t>Risk-coverage AUC (ECERAG, all 40 items): 0.643   |   No-op counts (perturbation not applicable): {'contradictory': 18, 'counterfactual': 6, 'irrelevant': 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