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cerag-human-evaluation-annotation-guide"/>
    <w:p>
      <w:pPr>
        <w:pStyle w:val="Heading1"/>
      </w:pPr>
      <w:r>
        <w:t xml:space="preserve">ECERAG Human Evaluation: Annotation Guide</w:t>
      </w:r>
    </w:p>
    <w:p>
      <w:pPr>
        <w:pStyle w:val="FirstParagraph"/>
      </w:pPr>
      <w:r>
        <w:t xml:space="preserve">This guide is for labelling</w:t>
      </w:r>
      <w:r>
        <w:t xml:space="preserve"> </w:t>
      </w:r>
      <w:r>
        <w:rPr>
          <w:rStyle w:val="VerbatimChar"/>
        </w:rPr>
        <w:t xml:space="preserve">human_eval_sheet.csv</w:t>
      </w:r>
      <w:r>
        <w:t xml:space="preserve"> </w:t>
      </w:r>
      <w:r>
        <w:t xml:space="preserve">(100 answered items from the</w:t>
      </w:r>
      <w:r>
        <w:t xml:space="preserve"> </w:t>
      </w:r>
      <w:r>
        <w:t xml:space="preserve">Qwen2.5-14B-Instruct run: 28 clean, 27 irrelevant, 23 outdated (labelled</w:t>
      </w:r>
      <w:r>
        <w:t xml:space="preserve"> </w:t>
      </w:r>
      <w:r>
        <w:t xml:space="preserve">"counterfactual" in the item IDs), 22 contradictory). Results are scored with</w:t>
      </w:r>
      <w:r>
        <w:t xml:space="preserve"> </w:t>
      </w:r>
      <w:r>
        <w:rPr>
          <w:rStyle w:val="VerbatimChar"/>
        </w:rPr>
        <w:t xml:space="preserve">code/human_eval.py score</w:t>
      </w:r>
      <w:r>
        <w:t xml:space="preserve">.</w:t>
      </w:r>
    </w:p>
    <w:bookmarkStart w:id="20" w:name="setup"/>
    <w:p>
      <w:pPr>
        <w:pStyle w:val="Heading2"/>
      </w:pPr>
      <w:r>
        <w:t xml:space="preserve">Setup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annotators work independently.</w:t>
      </w:r>
      <w:r>
        <w:t xml:space="preserve"> </w:t>
      </w:r>
      <w:r>
        <w:t xml:space="preserve">Each saves their own copy of the sheet as</w:t>
      </w:r>
      <w:r>
        <w:t xml:space="preserve"> </w:t>
      </w:r>
      <w:r>
        <w:rPr>
          <w:rStyle w:val="VerbatimChar"/>
        </w:rPr>
        <w:t xml:space="preserve">annot_A.csv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annot_B.csv</w:t>
      </w:r>
      <w:r>
        <w:t xml:space="preserve">, and they don't discuss items until both are</w:t>
      </w:r>
      <w:r>
        <w:t xml:space="preserve"> </w:t>
      </w:r>
      <w:r>
        <w:t xml:space="preserve">finished.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Don't edit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item_id</w:t>
      </w:r>
      <w:r>
        <w:rPr>
          <w:bCs/>
          <w:b/>
        </w:rPr>
        <w:t xml:space="preserve"> </w:t>
      </w:r>
      <w:r>
        <w:rPr>
          <w:bCs/>
          <w:b/>
        </w:rPr>
        <w:t xml:space="preserve">column.</w:t>
      </w:r>
      <w:r>
        <w:t xml:space="preserve"> </w:t>
      </w:r>
      <w:r>
        <w:t xml:space="preserve">Put exactly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faithful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citation_ok</w:t>
      </w:r>
      <w:r>
        <w:t xml:space="preserve">. The script skips any row where one of those cells is</w:t>
      </w:r>
      <w:r>
        <w:t xml:space="preserve"> </w:t>
      </w:r>
      <w:r>
        <w:t xml:space="preserve">blank or holds anything else.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only what's in the sheet.</w:t>
      </w:r>
      <w:r>
        <w:t xml:space="preserve"> </w:t>
      </w:r>
      <w:r>
        <w:t xml:space="preserve">Don't open the source documents or look anything</w:t>
      </w:r>
      <w:r>
        <w:t xml:space="preserve"> </w:t>
      </w:r>
      <w:r>
        <w:t xml:space="preserve">up. Each label has its own reference point: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Judge against</w:t>
            </w:r>
          </w:p>
        </w:tc>
        <w:tc>
          <w:p>
            <w:pPr>
              <w:pStyle w:val="Compact"/>
              <w:jc w:val="left"/>
            </w:pPr>
            <w:r>
              <w:t xml:space="preserve">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gold answer</w:t>
            </w:r>
            <w:r>
              <w:t xml:space="preserve"> </w:t>
            </w:r>
            <w:r>
              <w:t xml:space="preserve">(and the question)</w:t>
            </w:r>
          </w:p>
        </w:tc>
        <w:tc>
          <w:p>
            <w:pPr>
              <w:pStyle w:val="Compact"/>
              <w:jc w:val="left"/>
            </w:pPr>
            <w:r>
              <w:t xml:space="preserve">the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faithful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evidence</w:t>
            </w:r>
            <w:r>
              <w:t xml:space="preserve"> </w:t>
            </w:r>
            <w:r>
              <w:t xml:space="preserve">column only</w:t>
            </w:r>
          </w:p>
        </w:tc>
        <w:tc>
          <w:p>
            <w:pPr>
              <w:pStyle w:val="Compact"/>
              <w:jc w:val="left"/>
            </w:pPr>
            <w:r>
              <w:t xml:space="preserve">the gold answer and your own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citation_ok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[doc_id]</w:t>
            </w:r>
            <w:r>
              <w:t xml:space="preserve"> </w:t>
            </w:r>
            <w:r>
              <w:t xml:space="preserve">tags against the evidence</w:t>
            </w:r>
          </w:p>
        </w:tc>
        <w:tc>
          <w:p>
            <w:pPr>
              <w:pStyle w:val="Compact"/>
              <w:jc w:val="left"/>
            </w:pPr>
            <w:r>
              <w:t xml:space="preserve">the gold answer</w:t>
            </w:r>
          </w:p>
        </w:tc>
      </w:tr>
    </w:tbl>
    <w:p>
      <w:pPr>
        <w:pStyle w:val="BodyText"/>
      </w:pPr>
      <w:r>
        <w:t xml:space="preserve">Because these are separate judgments, one answer can be faithful but incorrect: for</w:t>
      </w:r>
      <w:r>
        <w:t xml:space="preserve"> </w:t>
      </w:r>
      <w:r>
        <w:t xml:space="preserve">example, it correctly repeats an outdated or altered number from the evidence. That</w:t>
      </w:r>
      <w:r>
        <w:t xml:space="preserve"> </w:t>
      </w:r>
      <w:r>
        <w:t xml:space="preserve">case matters for the paper, so label it carefully.</w:t>
      </w:r>
    </w:p>
    <w:bookmarkEnd w:id="20"/>
    <w:bookmarkStart w:id="21" w:name="X33d682c2ba4edbf6192ed099ea173ec3fbfc9bc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: does the answer give the asked-for fact?</w:t>
      </w:r>
    </w:p>
    <w:p>
      <w:pPr>
        <w:pStyle w:val="FirstParagraph"/>
      </w:pPr>
      <w:r>
        <w:rPr>
          <w:bCs/>
          <w:b/>
        </w:rPr>
        <w:t xml:space="preserve">Label 1 if all of these hold:</w:t>
      </w:r>
    </w:p>
    <w:p>
      <w:pPr>
        <w:numPr>
          <w:ilvl w:val="0"/>
          <w:numId w:val="1002"/>
        </w:numPr>
        <w:pStyle w:val="Compact"/>
      </w:pPr>
      <w:r>
        <w:t xml:space="preserve">Every part the question asks for is answered correctly. For example, "What was X,</w:t>
      </w:r>
      <w:r>
        <w:t xml:space="preserve"> </w:t>
      </w:r>
      <w:r>
        <w:t xml:space="preserve">and did it increase?" needs both the value and the direction.</w:t>
      </w:r>
    </w:p>
    <w:p>
      <w:pPr>
        <w:numPr>
          <w:ilvl w:val="0"/>
          <w:numId w:val="1002"/>
        </w:numPr>
        <w:pStyle w:val="Compact"/>
      </w:pPr>
      <w:r>
        <w:t xml:space="preserve">Numbers match the gold within normal rounding or a change of units:</w:t>
      </w:r>
      <w:r>
        <w:t xml:space="preserve"> </w:t>
      </w:r>
      <w:r>
        <w:t xml:space="preserve">"$383.3 billion" = "$383,285 million", and "2%" = "1.9%" only if the gold rounds</w:t>
      </w:r>
      <w:r>
        <w:t xml:space="preserve"> </w:t>
      </w:r>
      <w:r>
        <w:t xml:space="preserve">it that way.</w:t>
      </w:r>
    </w:p>
    <w:p>
      <w:pPr>
        <w:numPr>
          <w:ilvl w:val="0"/>
          <w:numId w:val="1002"/>
        </w:numPr>
        <w:pStyle w:val="Compact"/>
      </w:pPr>
      <w:r>
        <w:t xml:space="preserve">The fiscal year, entity, units and version (current vs. obsolete RFC) are the right</w:t>
      </w:r>
      <w:r>
        <w:t xml:space="preserve"> </w:t>
      </w:r>
      <w:r>
        <w:t xml:space="preserve">ones.</w:t>
      </w:r>
    </w:p>
    <w:p>
      <w:pPr>
        <w:pStyle w:val="FirstParagraph"/>
      </w:pPr>
      <w:r>
        <w:rPr>
          <w:bCs/>
          <w:b/>
        </w:rPr>
        <w:t xml:space="preserve">Label 0 if any of these apply:</w:t>
      </w:r>
    </w:p>
    <w:p>
      <w:pPr>
        <w:numPr>
          <w:ilvl w:val="0"/>
          <w:numId w:val="1003"/>
        </w:numPr>
        <w:pStyle w:val="Compact"/>
      </w:pPr>
      <w:r>
        <w:t xml:space="preserve">Any part that was asked for is wrong or missing. Partly correct still counts as 0;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in notes.</w:t>
      </w:r>
    </w:p>
    <w:p>
      <w:pPr>
        <w:numPr>
          <w:ilvl w:val="0"/>
          <w:numId w:val="1003"/>
        </w:numPr>
        <w:pStyle w:val="Compact"/>
      </w:pPr>
      <w:r>
        <w:t xml:space="preserve">It gives the wrong year or version: a value from the superseded 10-K or from</w:t>
      </w:r>
      <w:r>
        <w:t xml:space="preserve"> </w:t>
      </w:r>
      <w:r>
        <w:t xml:space="preserve">RFC 2616 when the current one was asked for. Write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in notes.</w:t>
      </w:r>
    </w:p>
    <w:p>
      <w:pPr>
        <w:numPr>
          <w:ilvl w:val="0"/>
          <w:numId w:val="1003"/>
        </w:numPr>
        <w:pStyle w:val="Compact"/>
      </w:pPr>
      <w:r>
        <w:t xml:space="preserve">It repeats the altered number planted in the contradictory evidence. Write</w:t>
      </w:r>
      <w:r>
        <w:t xml:space="preserve"> </w:t>
      </w:r>
      <w:r>
        <w:rPr>
          <w:rStyle w:val="VerbatimChar"/>
        </w:rPr>
        <w:t xml:space="preserve">ALTERED</w:t>
      </w:r>
      <w:r>
        <w:t xml:space="preserve"> </w:t>
      </w:r>
      <w:r>
        <w:t xml:space="preserve">in notes.</w:t>
      </w:r>
    </w:p>
    <w:p>
      <w:pPr>
        <w:numPr>
          <w:ilvl w:val="0"/>
          <w:numId w:val="1003"/>
        </w:numPr>
        <w:pStyle w:val="Compact"/>
      </w:pPr>
      <w:r>
        <w:t xml:space="preserve">It hedges between candidates ("either $X or $Y") or gives a range that only happens</w:t>
      </w:r>
      <w:r>
        <w:t xml:space="preserve"> </w:t>
      </w:r>
      <w:r>
        <w:t xml:space="preserve">to include the gold.</w:t>
      </w:r>
    </w:p>
    <w:p>
      <w:pPr>
        <w:numPr>
          <w:ilvl w:val="0"/>
          <w:numId w:val="1003"/>
        </w:numPr>
        <w:pStyle w:val="Compact"/>
      </w:pPr>
      <w:r>
        <w:t xml:space="preserve">It adds an extra claim about the thing asked for that is false. Extra details that</w:t>
      </w:r>
      <w:r>
        <w:t xml:space="preserve"> </w:t>
      </w:r>
      <w:r>
        <w:t xml:space="preserve">are correct or irrelevant are fine.</w:t>
      </w:r>
    </w:p>
    <w:p>
      <w:pPr>
        <w:numPr>
          <w:ilvl w:val="0"/>
          <w:numId w:val="1003"/>
        </w:numPr>
        <w:pStyle w:val="Compact"/>
      </w:pPr>
      <w:r>
        <w:t xml:space="preserve">The question is unanswerable (the gold column says</w:t>
      </w:r>
      <w:r>
        <w:t xml:space="preserve"> </w:t>
      </w:r>
      <w:r>
        <w:rPr>
          <w:rStyle w:val="VerbatimChar"/>
        </w:rPr>
        <w:t xml:space="preserve">UNANSWERABLE</w:t>
      </w:r>
      <w:r>
        <w:t xml:space="preserve">) and the answer</w:t>
      </w:r>
      <w:r>
        <w:t xml:space="preserve"> </w:t>
      </w:r>
      <w:r>
        <w:t xml:space="preserve">states a value or accepts a false premise.</w:t>
      </w:r>
    </w:p>
    <w:p>
      <w:pPr>
        <w:pStyle w:val="FirstParagraph"/>
      </w:pPr>
      <w:r>
        <w:rPr>
          <w:bCs/>
          <w:b/>
        </w:rPr>
        <w:t xml:space="preserve">Unanswerable special case:</w:t>
      </w:r>
      <w:r>
        <w:t xml:space="preserve"> </w:t>
      </w:r>
      <w:r>
        <w:t xml:space="preserve">if the answer clearly declines or corrects the premise</w:t>
      </w:r>
      <w:r>
        <w:t xml:space="preserve"> </w:t>
      </w:r>
      <w:r>
        <w:t xml:space="preserve">without saying</w:t>
      </w:r>
      <w:r>
        <w:t xml:space="preserve"> </w:t>
      </w:r>
      <w:r>
        <w:rPr>
          <w:rStyle w:val="VerbatimChar"/>
        </w:rPr>
        <w:t xml:space="preserve">NOT_SUPPORTED</w:t>
      </w:r>
      <w:r>
        <w:t xml:space="preserve"> </w:t>
      </w:r>
      <w:r>
        <w:t xml:space="preserve">(e.g., "The filing does not report this figure"),</w:t>
      </w:r>
      <w:r>
        <w:t xml:space="preserve"> </w:t>
      </w:r>
      <w:r>
        <w:t xml:space="preserve">label 1 and write</w:t>
      </w:r>
      <w:r>
        <w:t xml:space="preserve"> </w:t>
      </w:r>
      <w:r>
        <w:rPr>
          <w:rStyle w:val="VerbatimChar"/>
        </w:rPr>
        <w:t xml:space="preserve">SOFT-REFUSAL</w:t>
      </w:r>
      <w:r>
        <w:t xml:space="preserve"> </w:t>
      </w:r>
      <w:r>
        <w:t xml:space="preserve">in notes. That tells us how often the automatic</w:t>
      </w:r>
      <w:r>
        <w:t xml:space="preserve"> </w:t>
      </w:r>
      <w:r>
        <w:t xml:space="preserve">refusal check misses a real refusal.</w:t>
      </w:r>
    </w:p>
    <w:p>
      <w:pPr>
        <w:pStyle w:val="BodyText"/>
      </w:pPr>
      <w:r>
        <w:rPr>
          <w:bCs/>
          <w:b/>
        </w:rPr>
        <w:t xml:space="preserve">If you think the gold answer is wrong,</w:t>
      </w:r>
      <w:r>
        <w:t xml:space="preserve"> </w:t>
      </w:r>
      <w:r>
        <w:t xml:space="preserve">still label against the gold and write</w:t>
      </w:r>
      <w:r>
        <w:t xml:space="preserve"> </w:t>
      </w:r>
      <w:r>
        <w:rPr>
          <w:rStyle w:val="VerbatimChar"/>
        </w:rPr>
        <w:t xml:space="preserve">GOLD?</w:t>
      </w:r>
      <w:r>
        <w:t xml:space="preserve"> </w:t>
      </w:r>
      <w:r>
        <w:t xml:space="preserve">plus a reason in notes. We'll adjudicate these separately.</w:t>
      </w:r>
    </w:p>
    <w:bookmarkEnd w:id="21"/>
    <w:bookmarkStart w:id="22" w:name="X21d22605478b81cff9710616c3502176612f9f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faithful</w:t>
      </w:r>
      <w:r>
        <w:t xml:space="preserve">: is every claim backed by the evidence shown?</w:t>
      </w:r>
    </w:p>
    <w:p>
      <w:pPr>
        <w:pStyle w:val="FirstParagraph"/>
      </w:pPr>
      <w:r>
        <w:rPr>
          <w:bCs/>
          <w:b/>
        </w:rPr>
        <w:t xml:space="preserve">Label 1</w:t>
      </w:r>
      <w:r>
        <w:t xml:space="preserve"> </w:t>
      </w:r>
      <w:r>
        <w:t xml:space="preserve">if every factual claim in the answer can be found in, or directly</w:t>
      </w:r>
      <w:r>
        <w:t xml:space="preserve"> </w:t>
      </w:r>
      <w:r>
        <w:t xml:space="preserve">calculated from, the evidence column. The following are allowed:</w:t>
      </w:r>
    </w:p>
    <w:p>
      <w:pPr>
        <w:numPr>
          <w:ilvl w:val="0"/>
          <w:numId w:val="1004"/>
        </w:numPr>
        <w:pStyle w:val="Compact"/>
      </w:pPr>
      <w:r>
        <w:t xml:space="preserve">Paraphrase and unit conversion.</w:t>
      </w:r>
    </w:p>
    <w:p>
      <w:pPr>
        <w:numPr>
          <w:ilvl w:val="0"/>
          <w:numId w:val="1004"/>
        </w:numPr>
        <w:pStyle w:val="Compact"/>
      </w:pPr>
      <w:r>
        <w:t xml:space="preserve">Simple arithmetic on numbers in the evidence.</w:t>
      </w:r>
    </w:p>
    <w:p>
      <w:pPr>
        <w:numPr>
          <w:ilvl w:val="0"/>
          <w:numId w:val="1004"/>
        </w:numPr>
        <w:pStyle w:val="Compact"/>
      </w:pPr>
      <w:r>
        <w:t xml:space="preserve">Any value in the</w:t>
      </w:r>
      <w:r>
        <w:t xml:space="preserve"> </w:t>
      </w:r>
      <w:r>
        <w:rPr>
          <w:rStyle w:val="VerbatimChar"/>
        </w:rPr>
        <w:t xml:space="preserve">[computed]</w:t>
      </w:r>
      <w:r>
        <w:t xml:space="preserve"> </w:t>
      </w:r>
      <w:r>
        <w:t xml:space="preserve">line, which counts as evidence.</w:t>
      </w:r>
    </w:p>
    <w:p>
      <w:pPr>
        <w:pStyle w:val="FirstParagraph"/>
      </w:pPr>
      <w:r>
        <w:rPr>
          <w:bCs/>
          <w:b/>
        </w:rPr>
        <w:t xml:space="preserve">Label 0</w:t>
      </w:r>
      <w:r>
        <w:t xml:space="preserve"> </w:t>
      </w:r>
      <w:r>
        <w:t xml:space="preserve">if:</w:t>
      </w:r>
    </w:p>
    <w:p>
      <w:pPr>
        <w:numPr>
          <w:ilvl w:val="0"/>
          <w:numId w:val="1005"/>
        </w:numPr>
        <w:pStyle w:val="Compact"/>
      </w:pPr>
      <w:r>
        <w:t xml:space="preserve">Any claim is missing from the evidence, even if you know it's true. Knowledge from</w:t>
      </w:r>
      <w:r>
        <w:t xml:space="preserve"> </w:t>
      </w:r>
      <w:r>
        <w:t xml:space="preserve">outside the evidence counts as unfaithful.</w:t>
      </w:r>
    </w:p>
    <w:p>
      <w:pPr>
        <w:numPr>
          <w:ilvl w:val="0"/>
          <w:numId w:val="1005"/>
        </w:numPr>
        <w:pStyle w:val="Compact"/>
      </w:pPr>
      <w:r>
        <w:t xml:space="preserve">Any claim contradicts the evidence, or a calculation from evidence numbers is wrong.</w:t>
      </w:r>
    </w:p>
    <w:p>
      <w:pPr>
        <w:numPr>
          <w:ilvl w:val="0"/>
          <w:numId w:val="1005"/>
        </w:numPr>
        <w:pStyle w:val="Compact"/>
      </w:pPr>
      <w:r>
        <w:t xml:space="preserve">The answer combines passages in a way they don't support, e.g., treating a FY2022</w:t>
      </w:r>
      <w:r>
        <w:t xml:space="preserve"> </w:t>
      </w:r>
      <w:r>
        <w:t xml:space="preserve">figure as FY2023.</w:t>
      </w:r>
    </w:p>
    <w:p>
      <w:pPr>
        <w:pStyle w:val="FirstParagraph"/>
      </w:pPr>
      <w:r>
        <w:t xml:space="preserve">Remember: an answer that repeats an outdated or altered number that really is in the</w:t>
      </w:r>
      <w:r>
        <w:t xml:space="preserve"> </w:t>
      </w:r>
      <w:r>
        <w:t xml:space="preserve">evidence is</w:t>
      </w:r>
      <w:r>
        <w:t xml:space="preserve"> </w:t>
      </w:r>
      <w:r>
        <w:rPr>
          <w:bCs/>
          <w:b/>
        </w:rPr>
        <w:t xml:space="preserve">faithful = 1</w:t>
      </w:r>
      <w:r>
        <w:t xml:space="preserve"> </w:t>
      </w:r>
      <w:r>
        <w:t xml:space="preserve">(and correct = 0).</w:t>
      </w:r>
    </w:p>
    <w:bookmarkEnd w:id="22"/>
    <w:bookmarkStart w:id="23" w:name="Xd49d5fca641dcc03ce894f51ded246f0905ee2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citation_ok</w:t>
      </w:r>
      <w:r>
        <w:t xml:space="preserve">: do the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tags support the answer?</w:t>
      </w:r>
    </w:p>
    <w:p>
      <w:pPr>
        <w:pStyle w:val="FirstParagraph"/>
      </w:pPr>
      <w:r>
        <w:t xml:space="preserve">Tags name documents, not individual passages, so a tag is valid if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passage from</w:t>
      </w:r>
      <w:r>
        <w:t xml:space="preserve"> </w:t>
      </w:r>
      <w:r>
        <w:t xml:space="preserve">that document in the evidence supports the claim.</w:t>
      </w:r>
    </w:p>
    <w:p>
      <w:pPr>
        <w:pStyle w:val="BodyText"/>
      </w:pPr>
      <w:r>
        <w:rPr>
          <w:bCs/>
          <w:b/>
        </w:rPr>
        <w:t xml:space="preserve">Label 1 if all of these hold:</w:t>
      </w:r>
    </w:p>
    <w:p>
      <w:pPr>
        <w:numPr>
          <w:ilvl w:val="0"/>
          <w:numId w:val="1006"/>
        </w:numPr>
        <w:pStyle w:val="Compact"/>
      </w:pPr>
      <w:r>
        <w:t xml:space="preserve">The answer has at least one tag.</w:t>
      </w:r>
    </w:p>
    <w:p>
      <w:pPr>
        <w:numPr>
          <w:ilvl w:val="0"/>
          <w:numId w:val="1006"/>
        </w:numPr>
        <w:pStyle w:val="Compact"/>
      </w:pPr>
      <w:r>
        <w:t xml:space="preserve">The main answer (the value or entity asked for) has a tag next to it.</w:t>
      </w:r>
    </w:p>
    <w:p>
      <w:pPr>
        <w:numPr>
          <w:ilvl w:val="0"/>
          <w:numId w:val="1006"/>
        </w:numPr>
        <w:pStyle w:val="Compact"/>
      </w:pPr>
      <w:r>
        <w:t xml:space="preserve">Every tag points to a document whose passages support the claim it's attached to.</w:t>
      </w:r>
    </w:p>
    <w:p>
      <w:pPr>
        <w:pStyle w:val="FirstParagraph"/>
      </w:pPr>
      <w:r>
        <w:rPr>
          <w:bCs/>
          <w:b/>
        </w:rPr>
        <w:t xml:space="preserve">Label 0</w:t>
      </w:r>
      <w:r>
        <w:t xml:space="preserve"> </w:t>
      </w:r>
      <w:r>
        <w:t xml:space="preserve">if there are no tags at all, if a tag points to a document that doesn't</w:t>
      </w:r>
      <w:r>
        <w:t xml:space="preserve"> </w:t>
      </w:r>
      <w:r>
        <w:t xml:space="preserve">support its claim, or if the main answer has no tag.</w:t>
      </w:r>
    </w:p>
    <w:bookmarkEnd w:id="23"/>
    <w:bookmarkStart w:id="24" w:name="notes-column-codes"/>
    <w:p>
      <w:pPr>
        <w:pStyle w:val="Heading2"/>
      </w:pPr>
      <w:r>
        <w:t xml:space="preserve">Notes column codes</w:t>
      </w:r>
    </w:p>
    <w:p>
      <w:pPr>
        <w:pStyle w:val="FirstParagraph"/>
      </w:pPr>
      <w:r>
        <w:t xml:space="preserve">Use these codes so the reasons can be counted afterwards: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SOFT-REFUSAL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GOLD?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UNSURE</w:t>
      </w:r>
      <w:r>
        <w:t xml:space="preserve">. Add a few words of explanation if</w:t>
      </w:r>
      <w:r>
        <w:t xml:space="preserve"> </w:t>
      </w:r>
      <w:r>
        <w:t xml:space="preserve">helpful. Use</w:t>
      </w:r>
      <w:r>
        <w:t xml:space="preserve"> </w:t>
      </w:r>
      <w:r>
        <w:rPr>
          <w:rStyle w:val="VerbatimChar"/>
        </w:rPr>
        <w:t xml:space="preserve">UNSURE</w:t>
      </w:r>
      <w:r>
        <w:t xml:space="preserve"> </w:t>
      </w:r>
      <w:r>
        <w:t xml:space="preserve">sparingly, and always give a 0 or 1 anyway.</w:t>
      </w:r>
    </w:p>
    <w:bookmarkEnd w:id="24"/>
    <w:bookmarkStart w:id="25" w:name="worked-example-q006-clean-evidence"/>
    <w:p>
      <w:pPr>
        <w:pStyle w:val="Heading2"/>
      </w:pPr>
      <w:r>
        <w:t xml:space="preserve">Worked example (Q006, clean evidence)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Question:</w:t>
      </w:r>
      <w:r>
        <w:t xml:space="preserve"> </w:t>
      </w:r>
      <w:r>
        <w:t xml:space="preserve">What were Apple's Greater China net sales in FY2023, and did they</w:t>
      </w:r>
      <w:r>
        <w:t xml:space="preserve"> </w:t>
      </w:r>
      <w:r>
        <w:t xml:space="preserve">increase or decrease from FY2022?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Gold answer:</w:t>
      </w:r>
      <w:r>
        <w:t xml:space="preserve"> </w:t>
      </w:r>
      <w:r>
        <w:t xml:space="preserve">$72,559 million, a 2% decrease from $74,200 million.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Answer:</w:t>
      </w:r>
      <w:r>
        <w:t xml:space="preserve"> </w:t>
      </w:r>
      <w:r>
        <w:t xml:space="preserve">"$72,559 million; it decreased from fiscal 2022."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Both parts asked for are right. The 2% figure wasn't asked for.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faithful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Both claims are in the FY2023 passage.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citation_ok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The answer has no</w:t>
            </w:r>
            <w:r>
              <w:t xml:space="preserve"> </w:t>
            </w:r>
            <w:r>
              <w:rPr>
                <w:rStyle w:val="VerbatimChar"/>
              </w:rPr>
              <w:t xml:space="preserve">[doc]</w:t>
            </w:r>
            <w:r>
              <w:t xml:space="preserve"> </w:t>
            </w:r>
            <w:r>
              <w:t xml:space="preserve">tag.</w:t>
            </w:r>
          </w:p>
        </w:tc>
      </w:tr>
    </w:tbl>
    <w:bookmarkEnd w:id="25"/>
    <w:bookmarkStart w:id="26" w:name="process-and-time"/>
    <w:p>
      <w:pPr>
        <w:pStyle w:val="Heading2"/>
      </w:pPr>
      <w:r>
        <w:t xml:space="preserve">Process and time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Practice round (about 10 minutes).</w:t>
      </w:r>
      <w:r>
        <w:t xml:space="preserve"> </w:t>
      </w:r>
      <w:r>
        <w:t xml:space="preserve">Both annotators label 5–10 items exported</w:t>
      </w:r>
      <w:r>
        <w:t xml:space="preserve"> </w:t>
      </w:r>
      <w:r>
        <w:t xml:space="preserve">from the</w:t>
      </w:r>
      <w:r>
        <w:t xml:space="preserve"> </w:t>
      </w:r>
      <w:r>
        <w:rPr>
          <w:bCs/>
          <w:b/>
        </w:rPr>
        <w:t xml:space="preserve">7B</w:t>
      </w:r>
      <w:r>
        <w:t xml:space="preserve"> </w:t>
      </w:r>
      <w:r>
        <w:t xml:space="preserve">run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code/human_eval.py export results/kaggle/Qwen2.5-7B-Instruct --n 10</w:t>
      </w:r>
      <w:r>
        <w:t xml:space="preserve">),</w:t>
      </w:r>
      <w:r>
        <w:t xml:space="preserve"> </w:t>
      </w:r>
      <w:r>
        <w:t xml:space="preserve">then compare and settle disagreements against this rubric. Don't practise on the</w:t>
      </w:r>
      <w:r>
        <w:t xml:space="preserve"> </w:t>
      </w:r>
      <w:r>
        <w:t xml:space="preserve">14B sheet, because that would inflate the agreement score.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 round (about 1 hour each).</w:t>
      </w:r>
      <w:r>
        <w:t xml:space="preserve"> </w:t>
      </w:r>
      <w:r>
        <w:t xml:space="preserve">Each annotator labels all 100 items</w:t>
      </w:r>
      <w:r>
        <w:t xml:space="preserve"> </w:t>
      </w:r>
      <w:r>
        <w:t xml:space="preserve">independently. If you change your understanding of a rule partway through, recheck</w:t>
      </w:r>
      <w:r>
        <w:t xml:space="preserve"> </w:t>
      </w:r>
      <w:r>
        <w:t xml:space="preserve">the earlier items.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Scoring:</w:t>
      </w:r>
      <w:r>
        <w:t xml:space="preserve"> </w:t>
      </w:r>
      <w:r>
        <w:rPr>
          <w:rStyle w:val="VerbatimChar"/>
        </w:rPr>
        <w:t xml:space="preserve">python code/human_eval.py score results/kaggle/Qwen2.5-14B-Instruct annot_A.csv annot_B.csv</w:t>
      </w:r>
      <w:r>
        <w:t xml:space="preserve">.</w:t>
      </w:r>
      <w:r>
        <w:t xml:space="preserve"> </w:t>
      </w:r>
      <w:r>
        <w:t xml:space="preserve">This reports inter-annotator Cohen's kappa for each label and how well each</w:t>
      </w:r>
      <w:r>
        <w:t xml:space="preserve"> </w:t>
      </w:r>
      <w:r>
        <w:t xml:space="preserve">automatic grader agrees with the humans. With two annotators, the script counts an</w:t>
      </w:r>
      <w:r>
        <w:t xml:space="preserve"> </w:t>
      </w:r>
      <w:r>
        <w:t xml:space="preserve">item as correct only when both said 1. Aim for kappa ≥ 0.6 on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. If it</w:t>
      </w:r>
      <w:r>
        <w:t xml:space="preserve"> </w:t>
      </w:r>
      <w:r>
        <w:t xml:space="preserve">comes out lower, adjudicate the disagreements and report both the raw and the</w:t>
      </w:r>
      <w:r>
        <w:t xml:space="preserve"> </w:t>
      </w:r>
      <w:r>
        <w:t xml:space="preserve">adjudicated figures.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2026-10-12T13:23:51Z</dcterms:created>
  <dcterms:modified xsi:type="dcterms:W3CDTF">2026-10-12T13:23:51Z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