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DAY 15 — ENTERPRISE IAM CYBERSECURITY ENGINEERING</w:t>
      </w:r>
    </w:p>
    <w:p>
      <w:pPr>
        <w:jc w:val="center"/>
      </w:pPr>
      <w:r>
        <w:rPr>
          <w:b/>
          <w:sz w:val="26"/>
        </w:rPr>
        <w:t>Identity Architecture — Draw.io Build &amp; Independent Practice Guide</w:t>
      </w:r>
    </w:p>
    <w:p>
      <w:r>
        <w:t>This is the exact free-time practice guide for reproducing the Day 15 identity architecture. The residency session should focus on engineering reasoning and validation, not spending an hour manually formatting boxes.</w:t>
      </w:r>
    </w:p>
    <w:p>
      <w:pPr>
        <w:pStyle w:val="Heading1"/>
      </w:pPr>
      <w:r>
        <w:t>1. Target Architecture</w:t>
      </w:r>
    </w:p>
    <w:p>
      <w:r>
        <w:t>CONTOSO HOLDINGS — ENTERPRISE IAM CYBERSECURITY ARCHITECTURE</w:t>
        <w:br/>
        <w:br/>
        <w:t>HUMAN IDENTITIES</w:t>
        <w:br/>
        <w:t xml:space="preserve">        ↓</w:t>
        <w:br/>
        <w:t>MICROSOFT ENTRA ID</w:t>
        <w:br/>
        <w:t xml:space="preserve">        ↓</w:t>
        <w:br/>
        <w:t>AUTHENTICATION</w:t>
        <w:br/>
        <w:t xml:space="preserve">        ↓</w:t>
        <w:br/>
        <w:t>AUTHORIZATION</w:t>
        <w:br/>
        <w:t xml:space="preserve">     ↙       ↘</w:t>
        <w:br/>
        <w:t>STANDARD     PRIVILEGED ACCESS / PIM</w:t>
        <w:br/>
        <w:t>ACCESS          ↘       ↙</w:t>
        <w:br/>
        <w:t xml:space="preserve">        AZURE RESOURCES</w:t>
        <w:br/>
        <w:t xml:space="preserve">              ↓</w:t>
        <w:br/>
        <w:t xml:space="preserve">     MONITORING &amp; RESPONSE</w:t>
        <w:br/>
        <w:br/>
        <w:t>APPLICATIONS / WORKLOADS</w:t>
        <w:br/>
        <w:t xml:space="preserve">        ↓</w:t>
        <w:br/>
        <w:t>WORKLOAD IDENTITY</w:t>
        <w:br/>
        <w:t>(Managed Identity / OIDC)</w:t>
        <w:br/>
        <w:t xml:space="preserve">        ↓</w:t>
        <w:br/>
        <w:t>AZURE RESOURCES</w:t>
      </w:r>
    </w:p>
    <w:p>
      <w:pPr>
        <w:pStyle w:val="Heading1"/>
      </w:pPr>
      <w:r>
        <w:t>2. Exact Draw.io Click-by-Click Practice</w:t>
      </w:r>
    </w:p>
    <w:p>
      <w:r>
        <w:rPr>
          <w:b/>
        </w:rPr>
        <w:t xml:space="preserve">1. Open Draw.io: </w:t>
      </w:r>
      <w:r>
        <w:t>Open https://app.diagrams.net/. If prompted for storage, choose Device.</w:t>
      </w:r>
    </w:p>
    <w:p>
      <w:r>
        <w:rPr>
          <w:b/>
        </w:rPr>
        <w:t xml:space="preserve">2. Open the supplied diagram: </w:t>
      </w:r>
      <w:r>
        <w:t>Choose File → Open From → Device and select identity-architecture.drawio.</w:t>
      </w:r>
    </w:p>
    <w:p>
      <w:r>
        <w:rPr>
          <w:b/>
        </w:rPr>
        <w:t xml:space="preserve">3. Enable General shapes: </w:t>
      </w:r>
      <w:r>
        <w:t>In the left Shapes panel, click More Shapes, tick General, then click Apply.</w:t>
      </w:r>
    </w:p>
    <w:p>
      <w:r>
        <w:rPr>
          <w:b/>
        </w:rPr>
        <w:t xml:space="preserve">4. Choose the box type: </w:t>
      </w:r>
      <w:r>
        <w:t>Use General → Rectangle for every main architecture component. Do not use UML classes or decorative cloud shapes.</w:t>
      </w:r>
    </w:p>
    <w:p>
      <w:r>
        <w:rPr>
          <w:b/>
        </w:rPr>
        <w:t xml:space="preserve">5. Create HUMAN IDENTITIES: </w:t>
      </w:r>
      <w:r>
        <w:t>Drag Rectangle to the canvas. Double-click it. Type HUMAN IDENTITIES, press Enter, type Employees / Contractors, then click outside.</w:t>
      </w:r>
    </w:p>
    <w:p>
      <w:r>
        <w:rPr>
          <w:b/>
        </w:rPr>
        <w:t xml:space="preserve">6. Create MICROSOFT ENTRA ID: </w:t>
      </w:r>
      <w:r>
        <w:t>Drag another Rectangle below it. Type MICROSOFT ENTRA ID, press Enter, then Users / Groups / Devices.</w:t>
      </w:r>
    </w:p>
    <w:p>
      <w:r>
        <w:rPr>
          <w:b/>
        </w:rPr>
        <w:t xml:space="preserve">7. Create AUTHENTICATION: </w:t>
      </w:r>
      <w:r>
        <w:t>Drag Rectangle below Entra ID. Type AUTHENTICATION, press Enter, then MFA / Passwordless / Conditional Access.</w:t>
      </w:r>
    </w:p>
    <w:p>
      <w:r>
        <w:rPr>
          <w:b/>
        </w:rPr>
        <w:t xml:space="preserve">8. Create AUTHORIZATION: </w:t>
      </w:r>
      <w:r>
        <w:t>Drag Rectangle below Authentication. Type AUTHORIZATION, press Enter, then RBAC / Least Privilege.</w:t>
      </w:r>
    </w:p>
    <w:p>
      <w:r>
        <w:rPr>
          <w:b/>
        </w:rPr>
        <w:t xml:space="preserve">9. Create STANDARD ACCESS: </w:t>
      </w:r>
      <w:r>
        <w:t>Drag Rectangle down-left from Authorization. Type STANDARD ACCESS, press Enter, then Normal day-to-day permissions.</w:t>
      </w:r>
    </w:p>
    <w:p>
      <w:r>
        <w:rPr>
          <w:b/>
        </w:rPr>
        <w:t xml:space="preserve">10. Create PRIVILEGED ACCESS / PIM: </w:t>
      </w:r>
      <w:r>
        <w:t>Drag Rectangle down-right from Authorization. Type PRIVILEGED ACCESS / PIM, press Enter, then Temporary administrative access.</w:t>
      </w:r>
    </w:p>
    <w:p>
      <w:r>
        <w:rPr>
          <w:b/>
        </w:rPr>
        <w:t xml:space="preserve">11. Create AZURE RESOURCES: </w:t>
      </w:r>
      <w:r>
        <w:t>Drag a wider Rectangle below the two access boxes. Type AZURE RESOURCES, press Enter, then Resource Groups / Storage / Platform Services.</w:t>
      </w:r>
    </w:p>
    <w:p>
      <w:r>
        <w:rPr>
          <w:b/>
        </w:rPr>
        <w:t xml:space="preserve">12. Create MONITORING &amp; RESPONSE: </w:t>
      </w:r>
      <w:r>
        <w:t>Drag Rectangle below Azure Resources. Type MONITORING &amp; RESPONSE, press Enter, then Logs / Detection / Incident Response.</w:t>
      </w:r>
    </w:p>
    <w:p>
      <w:r>
        <w:rPr>
          <w:b/>
        </w:rPr>
        <w:t xml:space="preserve">13. Create APPLICATIONS / WORKLOADS: </w:t>
      </w:r>
      <w:r>
        <w:t>Drag Rectangle to the left of Azure Resources. Type APPLICATIONS / WORKLOADS, press Enter, then Services / Automation / CI/CD.</w:t>
      </w:r>
    </w:p>
    <w:p>
      <w:r>
        <w:rPr>
          <w:b/>
        </w:rPr>
        <w:t xml:space="preserve">14. Create WORKLOAD IDENTITY: </w:t>
      </w:r>
      <w:r>
        <w:t>Drag Rectangle between Applications/Workloads and Azure Resources. Type WORKLOAD IDENTITY, press Enter, then Managed Identity / OIDC.</w:t>
      </w:r>
    </w:p>
    <w:p>
      <w:r>
        <w:rPr>
          <w:b/>
        </w:rPr>
        <w:t xml:space="preserve">15. Connect shapes: </w:t>
      </w:r>
      <w:r>
        <w:t>Hover over a source shape until the blue connection arrows appear. Drag from a blue arrow to the destination shape. Repeat for each required relationship.</w:t>
      </w:r>
    </w:p>
    <w:p>
      <w:r>
        <w:rPr>
          <w:b/>
        </w:rPr>
        <w:t xml:space="preserve">16. Main flow: </w:t>
      </w:r>
      <w:r>
        <w:t>Connect HUMAN IDENTITIES → MICROSOFT ENTRA ID → AUTHENTICATION → AUTHORIZATION.</w:t>
      </w:r>
    </w:p>
    <w:p>
      <w:r>
        <w:rPr>
          <w:b/>
        </w:rPr>
        <w:t xml:space="preserve">17. Authorization branches: </w:t>
      </w:r>
      <w:r>
        <w:t>Connect AUTHORIZATION → STANDARD ACCESS and AUTHORIZATION → PRIVILEGED ACCESS / PIM.</w:t>
      </w:r>
    </w:p>
    <w:p>
      <w:r>
        <w:rPr>
          <w:b/>
        </w:rPr>
        <w:t xml:space="preserve">18. Resource convergence: </w:t>
      </w:r>
      <w:r>
        <w:t>Connect STANDARD ACCESS → AZURE RESOURCES and PRIVILEGED ACCESS / PIM → AZURE RESOURCES.</w:t>
      </w:r>
    </w:p>
    <w:p>
      <w:r>
        <w:rPr>
          <w:b/>
        </w:rPr>
        <w:t xml:space="preserve">19. Operations: </w:t>
      </w:r>
      <w:r>
        <w:t>Connect AZURE RESOURCES → MONITORING &amp; RESPONSE.</w:t>
      </w:r>
    </w:p>
    <w:p>
      <w:r>
        <w:rPr>
          <w:b/>
        </w:rPr>
        <w:t xml:space="preserve">20. Workload flow: </w:t>
      </w:r>
      <w:r>
        <w:t>Connect APPLICATIONS / WORKLOADS → WORKLOAD IDENTITY → AZURE RESOURCES.</w:t>
      </w:r>
    </w:p>
    <w:p>
      <w:r>
        <w:rPr>
          <w:b/>
        </w:rPr>
        <w:t xml:space="preserve">21. Add title: </w:t>
      </w:r>
      <w:r>
        <w:t>Use the Text tool and type CONTOSO HOLDINGS — ENTERPRISE IAM CYBERSECURITY ARCHITECTURE above the diagram.</w:t>
      </w:r>
    </w:p>
    <w:p>
      <w:r>
        <w:rPr>
          <w:b/>
        </w:rPr>
        <w:t xml:space="preserve">22. Save to repository: </w:t>
      </w:r>
      <w:r>
        <w:t>File → Save As → Device. Save as architecture/identity-architecture.drawio inside the Enterprise-Azure-Platform repository.</w:t>
      </w:r>
    </w:p>
    <w:p>
      <w:pPr>
        <w:pStyle w:val="Heading1"/>
      </w:pPr>
      <w:r>
        <w:t>3. Why Rectangle is the Correct Shape</w:t>
      </w:r>
    </w:p>
    <w:p>
      <w:r>
        <w:t>This is an IAM security architecture, not an Azure service catalogue. Basic rectangles make identity boundaries, controls and trust relationships explicit. Azure-specific technologies are named inside the boxes. This prevents decorative service icons from hiding the security model.</w:t>
      </w:r>
    </w:p>
    <w:p>
      <w:pPr>
        <w:pStyle w:val="Heading1"/>
      </w:pPr>
      <w:r>
        <w:t>4. What Each Component Means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Component</w:t>
            </w:r>
          </w:p>
        </w:tc>
        <w:tc>
          <w:tcPr>
            <w:tcW w:type="dxa" w:w="5184"/>
          </w:tcPr>
          <w:p>
            <w:r>
              <w:t>Engineering meaning</w:t>
            </w:r>
          </w:p>
        </w:tc>
      </w:tr>
      <w:tr>
        <w:tc>
          <w:tcPr>
            <w:tcW w:type="dxa" w:w="5184"/>
          </w:tcPr>
          <w:p>
            <w:r>
              <w:t>Human Identities</w:t>
            </w:r>
          </w:p>
        </w:tc>
        <w:tc>
          <w:tcPr>
            <w:tcW w:type="dxa" w:w="5184"/>
          </w:tcPr>
          <w:p>
            <w:r>
              <w:t>Employees and contractors requesting access.</w:t>
            </w:r>
          </w:p>
        </w:tc>
      </w:tr>
      <w:tr>
        <w:tc>
          <w:tcPr>
            <w:tcW w:type="dxa" w:w="5184"/>
          </w:tcPr>
          <w:p>
            <w:r>
              <w:t>Microsoft Entra ID</w:t>
            </w:r>
          </w:p>
        </w:tc>
        <w:tc>
          <w:tcPr>
            <w:tcW w:type="dxa" w:w="5184"/>
          </w:tcPr>
          <w:p>
            <w:r>
              <w:t>Enterprise identity directory/control boundary.</w:t>
            </w:r>
          </w:p>
        </w:tc>
      </w:tr>
      <w:tr>
        <w:tc>
          <w:tcPr>
            <w:tcW w:type="dxa" w:w="5184"/>
          </w:tcPr>
          <w:p>
            <w:r>
              <w:t>Authentication</w:t>
            </w:r>
          </w:p>
        </w:tc>
        <w:tc>
          <w:tcPr>
            <w:tcW w:type="dxa" w:w="5184"/>
          </w:tcPr>
          <w:p>
            <w:r>
              <w:t>Proves the requester is the claimed identity.</w:t>
            </w:r>
          </w:p>
        </w:tc>
      </w:tr>
      <w:tr>
        <w:tc>
          <w:tcPr>
            <w:tcW w:type="dxa" w:w="5184"/>
          </w:tcPr>
          <w:p>
            <w:r>
              <w:t>Authorization</w:t>
            </w:r>
          </w:p>
        </w:tc>
        <w:tc>
          <w:tcPr>
            <w:tcW w:type="dxa" w:w="5184"/>
          </w:tcPr>
          <w:p>
            <w:r>
              <w:t>Determines what the authenticated identity may do.</w:t>
            </w:r>
          </w:p>
        </w:tc>
      </w:tr>
      <w:tr>
        <w:tc>
          <w:tcPr>
            <w:tcW w:type="dxa" w:w="5184"/>
          </w:tcPr>
          <w:p>
            <w:r>
              <w:t>Standard Access</w:t>
            </w:r>
          </w:p>
        </w:tc>
        <w:tc>
          <w:tcPr>
            <w:tcW w:type="dxa" w:w="5184"/>
          </w:tcPr>
          <w:p>
            <w:r>
              <w:t>Normal day-to-day permissions.</w:t>
            </w:r>
          </w:p>
        </w:tc>
      </w:tr>
      <w:tr>
        <w:tc>
          <w:tcPr>
            <w:tcW w:type="dxa" w:w="5184"/>
          </w:tcPr>
          <w:p>
            <w:r>
              <w:t>Privileged Access / PIM</w:t>
            </w:r>
          </w:p>
        </w:tc>
        <w:tc>
          <w:tcPr>
            <w:tcW w:type="dxa" w:w="5184"/>
          </w:tcPr>
          <w:p>
            <w:r>
              <w:t>Controlled, higher-risk administrative access.</w:t>
            </w:r>
          </w:p>
        </w:tc>
      </w:tr>
      <w:tr>
        <w:tc>
          <w:tcPr>
            <w:tcW w:type="dxa" w:w="5184"/>
          </w:tcPr>
          <w:p>
            <w:r>
              <w:t>Azure Resources</w:t>
            </w:r>
          </w:p>
        </w:tc>
        <w:tc>
          <w:tcPr>
            <w:tcW w:type="dxa" w:w="5184"/>
          </w:tcPr>
          <w:p>
            <w:r>
              <w:t>Resources protected by the identity controls.</w:t>
            </w:r>
          </w:p>
        </w:tc>
      </w:tr>
      <w:tr>
        <w:tc>
          <w:tcPr>
            <w:tcW w:type="dxa" w:w="5184"/>
          </w:tcPr>
          <w:p>
            <w:r>
              <w:t>Applications / Workloads</w:t>
            </w:r>
          </w:p>
        </w:tc>
        <w:tc>
          <w:tcPr>
            <w:tcW w:type="dxa" w:w="5184"/>
          </w:tcPr>
          <w:p>
            <w:r>
              <w:t>Non-human actors requiring resource access.</w:t>
            </w:r>
          </w:p>
        </w:tc>
      </w:tr>
      <w:tr>
        <w:tc>
          <w:tcPr>
            <w:tcW w:type="dxa" w:w="5184"/>
          </w:tcPr>
          <w:p>
            <w:r>
              <w:t>Workload Identity</w:t>
            </w:r>
          </w:p>
        </w:tc>
        <w:tc>
          <w:tcPr>
            <w:tcW w:type="dxa" w:w="5184"/>
          </w:tcPr>
          <w:p>
            <w:r>
              <w:t>Managed Identity/OIDC-based identity for workloads without unsafe long-lived credentials.</w:t>
            </w:r>
          </w:p>
        </w:tc>
      </w:tr>
      <w:tr>
        <w:tc>
          <w:tcPr>
            <w:tcW w:type="dxa" w:w="5184"/>
          </w:tcPr>
          <w:p>
            <w:r>
              <w:t>Monitoring &amp; Response</w:t>
            </w:r>
          </w:p>
        </w:tc>
        <w:tc>
          <w:tcPr>
            <w:tcW w:type="dxa" w:w="5184"/>
          </w:tcPr>
          <w:p>
            <w:r>
              <w:t>Telemetry used to detect, investigate and respond to identity abuse.</w:t>
            </w:r>
          </w:p>
        </w:tc>
      </w:tr>
    </w:tbl>
    <w:p>
      <w:pPr>
        <w:pStyle w:val="Heading1"/>
      </w:pPr>
      <w:r>
        <w:t>5. Day 15 Time Tracker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Block</w:t>
            </w:r>
          </w:p>
        </w:tc>
        <w:tc>
          <w:tcPr>
            <w:tcW w:type="dxa" w:w="3456"/>
          </w:tcPr>
          <w:p>
            <w:r>
              <w:t>Target</w:t>
            </w:r>
          </w:p>
        </w:tc>
        <w:tc>
          <w:tcPr>
            <w:tcW w:type="dxa" w:w="3456"/>
          </w:tcPr>
          <w:p>
            <w:r>
              <w:t>Status</w:t>
            </w:r>
          </w:p>
        </w:tc>
      </w:tr>
      <w:tr>
        <w:tc>
          <w:tcPr>
            <w:tcW w:type="dxa" w:w="3456"/>
          </w:tcPr>
          <w:p>
            <w:r>
              <w:t>IAM professional briefing</w:t>
            </w:r>
          </w:p>
        </w:tc>
        <w:tc>
          <w:tcPr>
            <w:tcW w:type="dxa" w:w="3456"/>
          </w:tcPr>
          <w:p>
            <w:r>
              <w:t>30 min</w:t>
            </w:r>
          </w:p>
        </w:tc>
        <w:tc>
          <w:tcPr>
            <w:tcW w:type="dxa" w:w="3456"/>
          </w:tcPr>
          <w:p>
            <w:r>
              <w:t>🟢 Complete</w:t>
            </w:r>
          </w:p>
        </w:tc>
      </w:tr>
      <w:tr>
        <w:tc>
          <w:tcPr>
            <w:tcW w:type="dxa" w:w="3456"/>
          </w:tcPr>
          <w:p>
            <w:r>
              <w:t>Existing platform inspection</w:t>
            </w:r>
          </w:p>
        </w:tc>
        <w:tc>
          <w:tcPr>
            <w:tcW w:type="dxa" w:w="3456"/>
          </w:tcPr>
          <w:p>
            <w:r>
              <w:t>15 min</w:t>
            </w:r>
          </w:p>
        </w:tc>
        <w:tc>
          <w:tcPr>
            <w:tcW w:type="dxa" w:w="3456"/>
          </w:tcPr>
          <w:p>
            <w:r>
              <w:t>🟢 Complete</w:t>
            </w:r>
          </w:p>
        </w:tc>
      </w:tr>
      <w:tr>
        <w:tc>
          <w:tcPr>
            <w:tcW w:type="dxa" w:w="3456"/>
          </w:tcPr>
          <w:p>
            <w:r>
              <w:t>Architecture design/build</w:t>
            </w:r>
          </w:p>
        </w:tc>
        <w:tc>
          <w:tcPr>
            <w:tcW w:type="dxa" w:w="3456"/>
          </w:tcPr>
          <w:p>
            <w:r>
              <w:t>60 min</w:t>
            </w:r>
          </w:p>
        </w:tc>
        <w:tc>
          <w:tcPr>
            <w:tcW w:type="dxa" w:w="3456"/>
          </w:tcPr>
          <w:p>
            <w:r>
              <w:t>🟡 In progress</w:t>
            </w:r>
          </w:p>
        </w:tc>
      </w:tr>
      <w:tr>
        <w:tc>
          <w:tcPr>
            <w:tcW w:type="dxa" w:w="3456"/>
          </w:tcPr>
          <w:p>
            <w:r>
              <w:t>Test/challenge</w:t>
            </w:r>
          </w:p>
        </w:tc>
        <w:tc>
          <w:tcPr>
            <w:tcW w:type="dxa" w:w="3456"/>
          </w:tcPr>
          <w:p>
            <w:r>
              <w:t>30 min</w:t>
            </w:r>
          </w:p>
        </w:tc>
        <w:tc>
          <w:tcPr>
            <w:tcW w:type="dxa" w:w="3456"/>
          </w:tcPr>
          <w:p>
            <w:r>
              <w:t>⬜</w:t>
            </w:r>
          </w:p>
        </w:tc>
      </w:tr>
      <w:tr>
        <w:tc>
          <w:tcPr>
            <w:tcW w:type="dxa" w:w="3456"/>
          </w:tcPr>
          <w:p>
            <w:r>
              <w:t>Documentation</w:t>
            </w:r>
          </w:p>
        </w:tc>
        <w:tc>
          <w:tcPr>
            <w:tcW w:type="dxa" w:w="3456"/>
          </w:tcPr>
          <w:p>
            <w:r>
              <w:t>20 min</w:t>
            </w:r>
          </w:p>
        </w:tc>
        <w:tc>
          <w:tcPr>
            <w:tcW w:type="dxa" w:w="3456"/>
          </w:tcPr>
          <w:p>
            <w:r>
              <w:t>⬜</w:t>
            </w:r>
          </w:p>
        </w:tc>
      </w:tr>
      <w:tr>
        <w:tc>
          <w:tcPr>
            <w:tcW w:type="dxa" w:w="3456"/>
          </w:tcPr>
          <w:p>
            <w:r>
              <w:t>Git + PR</w:t>
            </w:r>
          </w:p>
        </w:tc>
        <w:tc>
          <w:tcPr>
            <w:tcW w:type="dxa" w:w="3456"/>
          </w:tcPr>
          <w:p>
            <w:r>
              <w:t>20 min</w:t>
            </w:r>
          </w:p>
        </w:tc>
        <w:tc>
          <w:tcPr>
            <w:tcW w:type="dxa" w:w="3456"/>
          </w:tcPr>
          <w:p>
            <w:r>
              <w:t>⬜</w:t>
            </w:r>
          </w:p>
        </w:tc>
      </w:tr>
      <w:tr>
        <w:tc>
          <w:tcPr>
            <w:tcW w:type="dxa" w:w="3456"/>
          </w:tcPr>
          <w:p>
            <w:r>
              <w:t>Contingency</w:t>
            </w:r>
          </w:p>
        </w:tc>
        <w:tc>
          <w:tcPr>
            <w:tcW w:type="dxa" w:w="3456"/>
          </w:tcPr>
          <w:p>
            <w:r>
              <w:t>Within 4-hour cap</w:t>
            </w:r>
          </w:p>
        </w:tc>
        <w:tc>
          <w:tcPr>
            <w:tcW w:type="dxa" w:w="3456"/>
          </w:tcPr>
          <w:p>
            <w:r>
              <w:t>⬜</w:t>
            </w:r>
          </w:p>
        </w:tc>
      </w:tr>
    </w:tbl>
    <w:p>
      <w:pPr>
        <w:pStyle w:val="Heading1"/>
      </w:pPr>
      <w:r>
        <w:t>6. Practice Verification</w:t>
      </w:r>
    </w:p>
    <w:p>
      <w:r>
        <w:rPr>
          <w:b/>
        </w:rPr>
        <w:t xml:space="preserve">☐ </w:t>
      </w:r>
      <w:r>
        <w:t>Authentication is shown before authorization.</w:t>
      </w:r>
    </w:p>
    <w:p>
      <w:r>
        <w:rPr>
          <w:b/>
        </w:rPr>
        <w:t xml:space="preserve">☐ </w:t>
      </w:r>
      <w:r>
        <w:t>Authorization branches to standard and privileged access.</w:t>
      </w:r>
    </w:p>
    <w:p>
      <w:r>
        <w:rPr>
          <w:b/>
        </w:rPr>
        <w:t xml:space="preserve">☐ </w:t>
      </w:r>
      <w:r>
        <w:t>Both access paths reach Azure resources.</w:t>
      </w:r>
    </w:p>
    <w:p>
      <w:r>
        <w:rPr>
          <w:b/>
        </w:rPr>
        <w:t xml:space="preserve">☐ </w:t>
      </w:r>
      <w:r>
        <w:t>Applications/workloads have a separate workload-identity path.</w:t>
      </w:r>
    </w:p>
    <w:p>
      <w:r>
        <w:rPr>
          <w:b/>
        </w:rPr>
        <w:t xml:space="preserve">☐ </w:t>
      </w:r>
      <w:r>
        <w:t>Monitoring and response follows the protected resource layer.</w:t>
      </w:r>
    </w:p>
    <w:p>
      <w:r>
        <w:rPr>
          <w:b/>
        </w:rPr>
        <w:t xml:space="preserve">☐ </w:t>
      </w:r>
      <w:r>
        <w:t>The diagram distinguishes human identity from workload identity.</w:t>
      </w:r>
    </w:p>
    <w:p>
      <w:r>
        <w:rPr>
          <w:b/>
        </w:rPr>
        <w:t xml:space="preserve">☐ </w:t>
      </w:r>
      <w:r>
        <w:t>The editable .drawio file is saved under architecture/identity-architecture.drawio.</w:t>
      </w:r>
    </w:p>
    <w:p>
      <w:pPr>
        <w:pStyle w:val="Heading1"/>
      </w:pPr>
      <w:r>
        <w:t>7. Engineering Outcome</w:t>
      </w:r>
    </w:p>
    <w:p>
      <w:r>
        <w:t>The architecture becomes the baseline for Days 16–21: authentication engineering, authorization/RBAC/ABAC, Entra ID, privileged access, workload identity, IAM automation, monitoring and identity incident response.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