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任务13 工业数据流量分析之风机转速分析 writeup</w:t>
      </w:r>
    </w:p>
    <w:p>
      <w:pPr>
        <w:pStyle w:val="Heading1"/>
      </w:pPr>
      <w:r>
        <w:rPr>
          <w:b w:val="0"/>
          <w:i w:val="0"/>
        </w:rPr>
        <w:t>一、附件分析</w:t>
      </w:r>
    </w:p>
    <w:p>
      <w:r>
        <w:rPr>
          <w:b w:val="0"/>
          <w:i w:val="0"/>
        </w:rPr>
        <w:t xml:space="preserve">附件为 </w:t>
      </w:r>
      <w:r>
        <w:rPr>
          <w:rFonts w:ascii="Consolas" w:hAnsi="Consolas" w:eastAsia="Microsoft YaHei"/>
          <w:b w:val="0"/>
          <w:i w:val="0"/>
          <w:sz w:val="20"/>
        </w:rPr>
        <w:t>工业数据流量分析之风机转速分析.zip</w:t>
      </w:r>
      <w:r>
        <w:rPr>
          <w:b w:val="0"/>
          <w:i w:val="0"/>
        </w:rPr>
        <w:t>，内部两个文件：</w:t>
      </w:r>
    </w:p>
    <w:p>
      <w:pPr>
        <w:pStyle w:val="SourceCode"/>
      </w:pPr>
      <w:r>
        <w:t>题目/02.pcapng      141036 字节</w:t>
        <w:br/>
        <w:t>题目/题干.txt         459 字节</w:t>
      </w:r>
    </w:p>
    <w:p>
      <w:r>
        <w:rPr>
          <w:b w:val="0"/>
          <w:i w:val="0"/>
        </w:rPr>
        <w:t>题干正文：</w:t>
      </w:r>
    </w:p>
    <w:p>
      <w:pPr>
        <w:ind w:left="360"/>
      </w:pPr>
      <w:r>
        <w:rPr>
          <w:b w:val="0"/>
          <w:i w:val="0"/>
        </w:rPr>
        <w:t>小明是一家新能源汽车制造厂的风机操作员，每天的工作是根据工厂的实时温度输入风机的转数，但由于机器的老化，风机最多能接受2000转/分钟的转速，在当天下班后，检修人员发现风机由于转速过快出现了故障，请根据维修人员捕获的流量包分析当天风机的转速达到了多少转才出现的故障，flag为发送高额转速的Data层的HEX数据。flag格式为:flag{}</w:t>
      </w:r>
    </w:p>
    <w:p>
      <w:r>
        <w:rPr>
          <w:b w:val="0"/>
          <w:i w:val="0"/>
        </w:rPr>
        <w:t>由此确定三个已知条件：转速上限 2000 转/分钟；故障由"过高的转速设定值"引起；flag 是那条报文的 Data 层十六进制。</w:t>
      </w:r>
    </w:p>
    <w:p>
      <w:pPr>
        <w:pStyle w:val="Heading1"/>
      </w:pPr>
      <w:r>
        <w:rPr>
          <w:b w:val="0"/>
          <w:i w:val="0"/>
        </w:rPr>
        <w:t>二、协议统计</w:t>
      </w:r>
    </w:p>
    <w:p>
      <w:r>
        <w:rPr>
          <w:b w:val="0"/>
          <w:i w:val="0"/>
        </w:rPr>
        <w:t>使用 tshark 输出协议分层统计：</w:t>
      </w:r>
    </w:p>
    <w:p>
      <w:pPr>
        <w:pStyle w:val="SourceCode"/>
      </w:pPr>
      <w:r>
        <w:t>tshark -r 02.pcapng -q -z io,phs</w:t>
      </w:r>
    </w:p>
    <w:p>
      <w:pPr>
        <w:jc w:val="center"/>
      </w:pPr>
      <w:r>
        <w:drawing>
          <wp:inline xmlns:a="http://schemas.openxmlformats.org/drawingml/2006/main" xmlns:pic="http://schemas.openxmlformats.org/drawingml/2006/picture">
            <wp:extent cx="6400800" cy="5870448"/>
            <wp:docPr id="1" name="Picture 1" descr="image-20261017161918737" title=""/>
            <wp:cNvGraphicFramePr>
              <a:graphicFrameLocks noChangeAspect="1"/>
            </wp:cNvGraphicFramePr>
            <a:graphic>
              <a:graphicData uri="http://schemas.openxmlformats.org/drawingml/2006/picture">
                <pic:pic>
                  <pic:nvPicPr>
                    <pic:cNvPr id="0" name="image-20261017161918737.png"/>
                    <pic:cNvPicPr/>
                  </pic:nvPicPr>
                  <pic:blipFill>
                    <a:blip r:embed="rId9"/>
                    <a:stretch>
                      <a:fillRect/>
                    </a:stretch>
                  </pic:blipFill>
                  <pic:spPr>
                    <a:xfrm>
                      <a:off x="0" y="0"/>
                      <a:ext cx="6400800" cy="5870448"/>
                    </a:xfrm>
                    <a:prstGeom prst="rect"/>
                  </pic:spPr>
                </pic:pic>
              </a:graphicData>
            </a:graphic>
          </wp:inline>
        </w:drawing>
      </w:r>
    </w:p>
    <w:p>
      <w:r>
        <w:rPr>
          <w:b w:val="0"/>
          <w:i w:val="0"/>
        </w:rPr>
        <w:t>关键结果：</w:t>
      </w:r>
    </w:p>
    <w:p>
      <w:pPr>
        <w:pStyle w:val="SourceCode"/>
      </w:pPr>
      <w:r>
        <w:t>eth        frames:1410</w:t>
        <w:br/>
        <w:t xml:space="preserve">  ip       frames:605</w:t>
        <w:br/>
        <w:t xml:space="preserve">    udp    frames:167   (nbns/llmnr/ssdp/dhcp/dns/nbdgm…)</w:t>
        <w:br/>
        <w:t xml:space="preserve">    tcp    frames:437</w:t>
        <w:br/>
        <w:t xml:space="preserve">      mbtcp   frames:242</w:t>
        <w:br/>
        <w:t xml:space="preserve">        modbus frames:242</w:t>
      </w:r>
    </w:p>
    <w:p>
      <w:r>
        <w:rPr>
          <w:b w:val="0"/>
          <w:i w:val="0"/>
        </w:rPr>
        <w:t>Modbus/TCP 共 242 帧，是本包里唯一的工控协议。其余 UDP 广播、IPv6 LLMNR 以及若干对外 443 端口的 JSON-RPC 记录（矿池提交样本）与本文件的核心字段无关。</w:t>
      </w:r>
    </w:p>
    <w:p>
      <w:pPr>
        <w:pStyle w:val="Heading1"/>
      </w:pPr>
      <w:r>
        <w:rPr>
          <w:b w:val="0"/>
          <w:i w:val="0"/>
        </w:rPr>
        <w:t>三、功能码与寄存器扫描</w:t>
      </w:r>
    </w:p>
    <w:p>
      <w:r>
        <w:rPr>
          <w:b w:val="0"/>
          <w:i w:val="0"/>
        </w:rPr>
        <w:t>按功能码过滤：</w:t>
      </w:r>
    </w:p>
    <w:p>
      <w:pPr>
        <w:pStyle w:val="SourceCode"/>
      </w:pPr>
      <w:r>
        <w:t>tshark -r 02.pcapng -Y "modbus.func_code != 3" -T fields -e frame.number -e ip.src -e ip.dst -e modbus.func_code -e modbus.reference_num -e modbus.regval_uint16</w:t>
      </w:r>
    </w:p>
    <w:p>
      <w:pPr>
        <w:jc w:val="center"/>
      </w:pPr>
      <w:r>
        <w:drawing>
          <wp:inline xmlns:a="http://schemas.openxmlformats.org/drawingml/2006/main" xmlns:pic="http://schemas.openxmlformats.org/drawingml/2006/picture">
            <wp:extent cx="6400800" cy="4312295"/>
            <wp:docPr id="2" name="Picture 2" descr="image-20261017161940477" title=""/>
            <wp:cNvGraphicFramePr>
              <a:graphicFrameLocks noChangeAspect="1"/>
            </wp:cNvGraphicFramePr>
            <a:graphic>
              <a:graphicData uri="http://schemas.openxmlformats.org/drawingml/2006/picture">
                <pic:pic>
                  <pic:nvPicPr>
                    <pic:cNvPr id="0" name="image-20261017161940477.png"/>
                    <pic:cNvPicPr/>
                  </pic:nvPicPr>
                  <pic:blipFill>
                    <a:blip r:embed="rId10"/>
                    <a:stretch>
                      <a:fillRect/>
                    </a:stretch>
                  </pic:blipFill>
                  <pic:spPr>
                    <a:xfrm>
                      <a:off x="0" y="0"/>
                      <a:ext cx="6400800" cy="4312295"/>
                    </a:xfrm>
                    <a:prstGeom prst="rect"/>
                  </pic:spPr>
                </pic:pic>
              </a:graphicData>
            </a:graphic>
          </wp:inline>
        </w:drawing>
      </w:r>
    </w:p>
    <w:p>
      <w:r>
        <w:rPr>
          <w:b w:val="0"/>
          <w:i w:val="0"/>
        </w:rPr>
        <w:t xml:space="preserve">输出显示客户端 </w:t>
      </w:r>
      <w:r>
        <w:rPr>
          <w:rFonts w:ascii="Consolas" w:hAnsi="Consolas" w:eastAsia="Microsoft YaHei"/>
          <w:b w:val="0"/>
          <w:i w:val="0"/>
          <w:sz w:val="20"/>
        </w:rPr>
        <w:t>192.168.3.130</w:t>
      </w:r>
      <w:r>
        <w:rPr>
          <w:b w:val="0"/>
          <w:i w:val="0"/>
        </w:rPr>
        <w:t xml:space="preserve"> 对服务端 </w:t>
      </w:r>
      <w:r>
        <w:rPr>
          <w:rFonts w:ascii="Consolas" w:hAnsi="Consolas" w:eastAsia="Microsoft YaHei"/>
          <w:b w:val="0"/>
          <w:i w:val="0"/>
          <w:sz w:val="20"/>
        </w:rPr>
        <w:t>192.168.3.164</w:t>
      </w:r>
      <w:r>
        <w:rPr>
          <w:b w:val="0"/>
          <w:i w:val="0"/>
        </w:rPr>
        <w:t xml:space="preserve"> 的全部非读操作为 </w:t>
      </w:r>
      <w:r>
        <w:rPr>
          <w:b/>
          <w:i w:val="0"/>
        </w:rPr>
        <w:t>FC6（Write Single Register，写单个保持寄存器）</w:t>
      </w:r>
      <w:r>
        <w:rPr>
          <w:b w:val="0"/>
          <w:i w:val="0"/>
        </w:rPr>
        <w:t>，寄存器地址恒为 0，共 8 组请求/响应：</w:t>
      </w:r>
    </w:p>
    <w:p>
      <w:pPr>
        <w:pStyle w:val="SourceCode"/>
      </w:pPr>
      <w:r>
        <w:t>帧 152   150</w:t>
        <w:br/>
        <w:t>帧 225   180</w:t>
        <w:br/>
        <w:t>帧 281   200</w:t>
        <w:br/>
        <w:t>帧 441   280</w:t>
        <w:br/>
        <w:t>帧 706   3000     ← 超限</w:t>
        <w:br/>
        <w:t>帧 762   200</w:t>
        <w:br/>
        <w:t>帧 908   500</w:t>
        <w:br/>
        <w:t>帧 1198  299</w:t>
      </w:r>
    </w:p>
    <w:p>
      <w:r>
        <w:rPr>
          <w:b w:val="0"/>
          <w:i w:val="0"/>
        </w:rPr>
        <w:t>FC3（读保持寄存器，113 次）由客户端定时读取回显，数值随写入变化，属于过程量回读，不携带新的设定信息。</w:t>
      </w:r>
    </w:p>
    <w:p>
      <w:pPr>
        <w:pStyle w:val="Heading1"/>
      </w:pPr>
      <w:r>
        <w:rPr>
          <w:b w:val="0"/>
          <w:i w:val="0"/>
        </w:rPr>
        <w:t>四、异常载荷定位</w:t>
      </w:r>
    </w:p>
    <w:p>
      <w:r>
        <w:rPr>
          <w:b w:val="0"/>
          <w:i w:val="0"/>
        </w:rPr>
        <w:t>题干规定的物理上限为 2000 转/分钟。8 次写入中只有帧 706 的寄存器值为 3000，超过上限，判据明确：</w:t>
      </w:r>
    </w:p>
    <w:p>
      <w:pPr>
        <w:ind w:left="288" w:hanging="202"/>
      </w:pPr>
      <w:r>
        <w:t xml:space="preserve">• </w:t>
      </w:r>
      <w:r>
        <w:rPr>
          <w:b w:val="0"/>
          <w:i w:val="0"/>
        </w:rPr>
        <w:t>唯一性：8 个值中仅一个大于 2000；</w:t>
      </w:r>
    </w:p>
    <w:p>
      <w:pPr>
        <w:ind w:left="288" w:hanging="202"/>
      </w:pPr>
      <w:r>
        <w:t xml:space="preserve">• </w:t>
      </w:r>
      <w:r>
        <w:rPr>
          <w:b w:val="0"/>
          <w:i w:val="0"/>
        </w:rPr>
        <w:t>时序吻合：紧随其后的帧 762 立即将转速降回 200，对应题干中"检修人员发现故障"后的处置；</w:t>
      </w:r>
    </w:p>
    <w:p>
      <w:pPr>
        <w:ind w:left="288" w:hanging="202"/>
      </w:pPr>
      <w:r>
        <w:t xml:space="preserve">• </w:t>
      </w:r>
      <w:r>
        <w:rPr>
          <w:b w:val="0"/>
          <w:i w:val="0"/>
        </w:rPr>
        <w:t>字段含义一致：寄存器 0 自始至终被 FC6 写入同一个量，即风机转速设定值。</w:t>
      </w:r>
    </w:p>
    <w:p>
      <w:r>
        <w:rPr>
          <w:b w:val="0"/>
          <w:i w:val="0"/>
        </w:rPr>
        <w:t>查看帧 706 的 Modbus 层：</w:t>
      </w:r>
    </w:p>
    <w:p>
      <w:pPr>
        <w:pStyle w:val="SourceCode"/>
      </w:pPr>
      <w:r>
        <w:t>tshark -r 02.pcapng -Y "frame.number==706" -V</w:t>
      </w:r>
    </w:p>
    <w:p>
      <w:pPr>
        <w:pStyle w:val="SourceCode"/>
      </w:pPr>
      <w:r>
        <w:t>Modbus/TCP</w:t>
        <w:br/>
        <w:t xml:space="preserve">    Transaction Identifier: 19712</w:t>
        <w:br/>
        <w:t xml:space="preserve">    Protocol Identifier: 0</w:t>
        <w:br/>
        <w:t xml:space="preserve">    Length: 6</w:t>
        <w:br/>
        <w:t xml:space="preserve">    Unit Identifier: 1</w:t>
        <w:br/>
        <w:t>Modbus</w:t>
        <w:br/>
        <w:t xml:space="preserve">    Function Code: Write Single Register (6)</w:t>
        <w:br/>
        <w:t xml:space="preserve">    Reference Number: 0</w:t>
        <w:br/>
        <w:t xml:space="preserve">    Register Value (UINT16): 3000</w:t>
      </w:r>
    </w:p>
    <w:p>
      <w:pPr>
        <w:jc w:val="center"/>
      </w:pPr>
      <w:r>
        <w:drawing>
          <wp:inline xmlns:a="http://schemas.openxmlformats.org/drawingml/2006/main" xmlns:pic="http://schemas.openxmlformats.org/drawingml/2006/picture">
            <wp:extent cx="6308351" cy="6858000"/>
            <wp:docPr id="3" name="Picture 3" descr="image-20261017162046187" title=""/>
            <wp:cNvGraphicFramePr>
              <a:graphicFrameLocks noChangeAspect="1"/>
            </wp:cNvGraphicFramePr>
            <a:graphic>
              <a:graphicData uri="http://schemas.openxmlformats.org/drawingml/2006/picture">
                <pic:pic>
                  <pic:nvPicPr>
                    <pic:cNvPr id="0" name="image-20261017162046187.png"/>
                    <pic:cNvPicPr/>
                  </pic:nvPicPr>
                  <pic:blipFill>
                    <a:blip r:embed="rId11"/>
                    <a:stretch>
                      <a:fillRect/>
                    </a:stretch>
                  </pic:blipFill>
                  <pic:spPr>
                    <a:xfrm>
                      <a:off x="0" y="0"/>
                      <a:ext cx="6308351" cy="6858000"/>
                    </a:xfrm>
                    <a:prstGeom prst="rect"/>
                  </pic:spPr>
                </pic:pic>
              </a:graphicData>
            </a:graphic>
          </wp:inline>
        </w:drawing>
      </w:r>
    </w:p>
    <w:p>
      <w:r>
        <w:rPr>
          <w:b w:val="0"/>
          <w:i w:val="0"/>
        </w:rPr>
        <w:t xml:space="preserve">即转速值 3000 的十六进制为 </w:t>
      </w:r>
      <w:r>
        <w:rPr>
          <w:rFonts w:ascii="Consolas" w:hAnsi="Consolas" w:eastAsia="Microsoft YaHei"/>
          <w:b w:val="0"/>
          <w:i w:val="0"/>
          <w:sz w:val="20"/>
        </w:rPr>
        <w:t>0x0BB8</w:t>
      </w:r>
      <w:r>
        <w:rPr>
          <w:b w:val="0"/>
          <w:i w:val="0"/>
        </w:rPr>
        <w:t xml:space="preserve">，报文尾部两字节为 </w:t>
      </w:r>
      <w:r>
        <w:rPr>
          <w:rFonts w:ascii="Consolas" w:hAnsi="Consolas" w:eastAsia="Microsoft YaHei"/>
          <w:b w:val="0"/>
          <w:i w:val="0"/>
          <w:sz w:val="20"/>
        </w:rPr>
        <w:t>0b b8</w:t>
      </w:r>
      <w:r>
        <w:rPr>
          <w:b w:val="0"/>
          <w:i w:val="0"/>
        </w:rPr>
        <w:t>，与字段值互证。</w:t>
      </w:r>
    </w:p>
    <w:p>
      <w:pPr>
        <w:pStyle w:val="Heading1"/>
      </w:pPr>
      <w:r>
        <w:rPr>
          <w:b w:val="0"/>
          <w:i w:val="0"/>
        </w:rPr>
        <w:t>五、Data 层载荷提取</w:t>
      </w:r>
    </w:p>
    <w:p>
      <w:r>
        <w:rPr>
          <w:b w:val="0"/>
          <w:i w:val="0"/>
        </w:rPr>
        <w:t xml:space="preserve">题干要求的是该报文 </w:t>
      </w:r>
      <w:r>
        <w:rPr>
          <w:b/>
          <w:i w:val="0"/>
        </w:rPr>
        <w:t>Data 层的 HEX 数据</w:t>
      </w:r>
      <w:r>
        <w:rPr>
          <w:b w:val="0"/>
          <w:i w:val="0"/>
        </w:rPr>
        <w:t>，即 Modbus/TCP 应用层载荷，不含以太网、IP、TCP 头。导出该帧原始字节：</w:t>
      </w:r>
    </w:p>
    <w:p>
      <w:pPr>
        <w:pStyle w:val="SourceCode"/>
      </w:pPr>
      <w:r>
        <w:t>tshark -r 02.pcapng -Y "frame.number==706" -x</w:t>
      </w:r>
    </w:p>
    <w:p>
      <w:pPr>
        <w:jc w:val="center"/>
      </w:pPr>
      <w:r>
        <w:drawing>
          <wp:inline xmlns:a="http://schemas.openxmlformats.org/drawingml/2006/main" xmlns:pic="http://schemas.openxmlformats.org/drawingml/2006/picture">
            <wp:extent cx="6400800" cy="1011620"/>
            <wp:docPr id="4" name="Picture 4" descr="image-20261017162111716" title=""/>
            <wp:cNvGraphicFramePr>
              <a:graphicFrameLocks noChangeAspect="1"/>
            </wp:cNvGraphicFramePr>
            <a:graphic>
              <a:graphicData uri="http://schemas.openxmlformats.org/drawingml/2006/picture">
                <pic:pic>
                  <pic:nvPicPr>
                    <pic:cNvPr id="0" name="image-20261017162111716.png"/>
                    <pic:cNvPicPr/>
                  </pic:nvPicPr>
                  <pic:blipFill>
                    <a:blip r:embed="rId12"/>
                    <a:stretch>
                      <a:fillRect/>
                    </a:stretch>
                  </pic:blipFill>
                  <pic:spPr>
                    <a:xfrm>
                      <a:off x="0" y="0"/>
                      <a:ext cx="6400800" cy="1011620"/>
                    </a:xfrm>
                    <a:prstGeom prst="rect"/>
                  </pic:spPr>
                </pic:pic>
              </a:graphicData>
            </a:graphic>
          </wp:inline>
        </w:drawing>
      </w:r>
    </w:p>
    <w:p>
      <w:r>
        <w:rPr>
          <w:b w:val="0"/>
          <w:i w:val="0"/>
        </w:rPr>
        <w:t>对应 TCP 段：</w:t>
      </w:r>
    </w:p>
    <w:p>
      <w:pPr>
        <w:pStyle w:val="SourceCode"/>
      </w:pPr>
      <w:r>
        <w:t>.... 4d 00 00 00 00 06 01 06 00 00 0b b8</w:t>
      </w:r>
    </w:p>
    <w:p>
      <w:r>
        <w:rPr>
          <w:b w:val="0"/>
          <w:i w:val="0"/>
        </w:rPr>
        <w:t>亦可用字段方式直接取：</w:t>
      </w:r>
    </w:p>
    <w:p>
      <w:pPr>
        <w:pStyle w:val="SourceCode"/>
      </w:pPr>
      <w:r>
        <w:t>tshark -r 02.pcapng -Y "frame.number==706" -T fields -e tcp.payload</w:t>
      </w:r>
    </w:p>
    <w:p>
      <w:pPr>
        <w:jc w:val="center"/>
      </w:pPr>
      <w:r>
        <w:drawing>
          <wp:inline xmlns:a="http://schemas.openxmlformats.org/drawingml/2006/main" xmlns:pic="http://schemas.openxmlformats.org/drawingml/2006/picture">
            <wp:extent cx="4038599" cy="285750"/>
            <wp:docPr id="5" name="Picture 5" descr="image-20261017162127612" title=""/>
            <wp:cNvGraphicFramePr>
              <a:graphicFrameLocks noChangeAspect="1"/>
            </wp:cNvGraphicFramePr>
            <a:graphic>
              <a:graphicData uri="http://schemas.openxmlformats.org/drawingml/2006/picture">
                <pic:pic>
                  <pic:nvPicPr>
                    <pic:cNvPr id="0" name="image-20261017162127612.png"/>
                    <pic:cNvPicPr/>
                  </pic:nvPicPr>
                  <pic:blipFill>
                    <a:blip r:embed="rId13"/>
                    <a:stretch>
                      <a:fillRect/>
                    </a:stretch>
                  </pic:blipFill>
                  <pic:spPr>
                    <a:xfrm>
                      <a:off x="0" y="0"/>
                      <a:ext cx="4038599" cy="285750"/>
                    </a:xfrm>
                    <a:prstGeom prst="rect"/>
                  </pic:spPr>
                </pic:pic>
              </a:graphicData>
            </a:graphic>
          </wp:inline>
        </w:drawing>
      </w:r>
    </w:p>
    <w:p>
      <w:r>
        <w:rPr>
          <w:b w:val="0"/>
          <w:i w:val="0"/>
        </w:rPr>
        <w:t xml:space="preserve">输出 </w:t>
      </w:r>
      <w:r>
        <w:rPr>
          <w:rFonts w:ascii="Consolas" w:hAnsi="Consolas" w:eastAsia="Microsoft YaHei"/>
          <w:b w:val="0"/>
          <w:i w:val="0"/>
          <w:sz w:val="20"/>
        </w:rPr>
        <w:t>4d0000000006010600000bb8</w:t>
      </w:r>
      <w:r>
        <w:rPr>
          <w:b w:val="0"/>
          <w:i w:val="0"/>
        </w:rPr>
        <w:t>，共 12 字节，结构为：</w:t>
      </w:r>
    </w:p>
    <w:tbl>
      <w:tblPr>
        <w:tblW w:type="auto" w:w="0"/>
        <w:jc w:val="center"/>
        <w:tblLayout w:type="fixed"/>
        <w:tblLook w:firstColumn="1" w:firstRow="1" w:lastColumn="0" w:lastRow="0" w:noHBand="0" w:noVBand="1" w:val="04A0"/>
      </w:tblPr>
      <w:tblGrid>
        <w:gridCol w:w="2326"/>
        <w:gridCol w:w="2714"/>
        <w:gridCol w:w="5040"/>
      </w:tblGrid>
      <w:tr>
        <w:trPr>
          <w:tblHeader w:val="1"/>
        </w:trPr>
        <w:tc>
          <w:tcPr>
            <w:tcW w:type="dxa" w:w="232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E9EDF2"/>
          </w:tcPr>
          <w:p>
            <w:pPr>
              <w:spacing w:before="60" w:after="60" w:line="252" w:lineRule="auto"/>
            </w:pPr>
            <w:r>
              <w:rPr>
                <w:b/>
                <w:i w:val="0"/>
              </w:rPr>
              <w:t>偏移</w:t>
            </w:r>
          </w:p>
        </w:tc>
        <w:tc>
          <w:tcPr>
            <w:tcW w:type="dxa" w:w="271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E9EDF2"/>
          </w:tcPr>
          <w:p>
            <w:pPr>
              <w:spacing w:before="60" w:after="60" w:line="252" w:lineRule="auto"/>
            </w:pPr>
            <w:r>
              <w:rPr>
                <w:b/>
                <w:i w:val="0"/>
              </w:rPr>
              <w:t>字节</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E9EDF2"/>
          </w:tcPr>
          <w:p>
            <w:pPr>
              <w:spacing w:before="60" w:after="60" w:line="252" w:lineRule="auto"/>
            </w:pPr>
            <w:r>
              <w:rPr>
                <w:b/>
                <w:i w:val="0"/>
              </w:rPr>
              <w:t>含义</w:t>
            </w:r>
          </w:p>
        </w:tc>
      </w:tr>
      <w:tr>
        <w:tc>
          <w:tcPr>
            <w:tcW w:type="dxa" w:w="232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before="60" w:after="60" w:line="252" w:lineRule="auto"/>
            </w:pPr>
            <w:r>
              <w:rPr>
                <w:b w:val="0"/>
                <w:i w:val="0"/>
              </w:rPr>
              <w:t>0–1</w:t>
            </w:r>
          </w:p>
        </w:tc>
        <w:tc>
          <w:tcPr>
            <w:tcW w:type="dxa" w:w="271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before="60" w:after="60" w:line="252" w:lineRule="auto"/>
            </w:pPr>
            <w:r>
              <w:rPr>
                <w:rFonts w:ascii="Consolas" w:hAnsi="Consolas" w:eastAsia="Microsoft YaHei"/>
                <w:b w:val="0"/>
                <w:i w:val="0"/>
                <w:sz w:val="20"/>
              </w:rPr>
              <w:t>4d 00</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before="60" w:after="60" w:line="252" w:lineRule="auto"/>
            </w:pPr>
            <w:r>
              <w:rPr>
                <w:b w:val="0"/>
                <w:i w:val="0"/>
              </w:rPr>
              <w:t>事务标识符 0x4D00</w:t>
            </w:r>
          </w:p>
        </w:tc>
      </w:tr>
      <w:tr>
        <w:tc>
          <w:tcPr>
            <w:tcW w:type="dxa" w:w="232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before="60" w:after="60" w:line="252" w:lineRule="auto"/>
            </w:pPr>
            <w:r>
              <w:rPr>
                <w:b w:val="0"/>
                <w:i w:val="0"/>
              </w:rPr>
              <w:t>2–3</w:t>
            </w:r>
          </w:p>
        </w:tc>
        <w:tc>
          <w:tcPr>
            <w:tcW w:type="dxa" w:w="271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before="60" w:after="60" w:line="252" w:lineRule="auto"/>
            </w:pPr>
            <w:r>
              <w:rPr>
                <w:rFonts w:ascii="Consolas" w:hAnsi="Consolas" w:eastAsia="Microsoft YaHei"/>
                <w:b w:val="0"/>
                <w:i w:val="0"/>
                <w:sz w:val="20"/>
              </w:rPr>
              <w:t>00 00</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before="60" w:after="60" w:line="252" w:lineRule="auto"/>
            </w:pPr>
            <w:r>
              <w:rPr>
                <w:b w:val="0"/>
                <w:i w:val="0"/>
              </w:rPr>
              <w:t>协议标识符（Modbus）</w:t>
            </w:r>
          </w:p>
        </w:tc>
      </w:tr>
      <w:tr>
        <w:tc>
          <w:tcPr>
            <w:tcW w:type="dxa" w:w="232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before="60" w:after="60" w:line="252" w:lineRule="auto"/>
            </w:pPr>
            <w:r>
              <w:rPr>
                <w:b w:val="0"/>
                <w:i w:val="0"/>
              </w:rPr>
              <w:t>4–5</w:t>
            </w:r>
          </w:p>
        </w:tc>
        <w:tc>
          <w:tcPr>
            <w:tcW w:type="dxa" w:w="271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before="60" w:after="60" w:line="252" w:lineRule="auto"/>
            </w:pPr>
            <w:r>
              <w:rPr>
                <w:rFonts w:ascii="Consolas" w:hAnsi="Consolas" w:eastAsia="Microsoft YaHei"/>
                <w:b w:val="0"/>
                <w:i w:val="0"/>
                <w:sz w:val="20"/>
              </w:rPr>
              <w:t>00 06</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before="60" w:after="60" w:line="252" w:lineRule="auto"/>
            </w:pPr>
            <w:r>
              <w:rPr>
                <w:b w:val="0"/>
                <w:i w:val="0"/>
              </w:rPr>
              <w:t>后续长度 6 字节</w:t>
            </w:r>
          </w:p>
        </w:tc>
      </w:tr>
      <w:tr>
        <w:tc>
          <w:tcPr>
            <w:tcW w:type="dxa" w:w="232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before="60" w:after="60" w:line="252" w:lineRule="auto"/>
            </w:pPr>
            <w:r>
              <w:rPr>
                <w:b w:val="0"/>
                <w:i w:val="0"/>
              </w:rPr>
              <w:t>6</w:t>
            </w:r>
          </w:p>
        </w:tc>
        <w:tc>
          <w:tcPr>
            <w:tcW w:type="dxa" w:w="271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before="60" w:after="60" w:line="252" w:lineRule="auto"/>
            </w:pPr>
            <w:r>
              <w:rPr>
                <w:rFonts w:ascii="Consolas" w:hAnsi="Consolas" w:eastAsia="Microsoft YaHei"/>
                <w:b w:val="0"/>
                <w:i w:val="0"/>
                <w:sz w:val="20"/>
              </w:rPr>
              <w:t>01</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before="60" w:after="60" w:line="252" w:lineRule="auto"/>
            </w:pPr>
            <w:r>
              <w:rPr>
                <w:b w:val="0"/>
                <w:i w:val="0"/>
              </w:rPr>
              <w:t>单元标识符</w:t>
            </w:r>
          </w:p>
        </w:tc>
      </w:tr>
      <w:tr>
        <w:tc>
          <w:tcPr>
            <w:tcW w:type="dxa" w:w="232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before="60" w:after="60" w:line="252" w:lineRule="auto"/>
            </w:pPr>
            <w:r>
              <w:rPr>
                <w:b w:val="0"/>
                <w:i w:val="0"/>
              </w:rPr>
              <w:t>7</w:t>
            </w:r>
          </w:p>
        </w:tc>
        <w:tc>
          <w:tcPr>
            <w:tcW w:type="dxa" w:w="271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before="60" w:after="60" w:line="252" w:lineRule="auto"/>
            </w:pPr>
            <w:r>
              <w:rPr>
                <w:rFonts w:ascii="Consolas" w:hAnsi="Consolas" w:eastAsia="Microsoft YaHei"/>
                <w:b w:val="0"/>
                <w:i w:val="0"/>
                <w:sz w:val="20"/>
              </w:rPr>
              <w:t>06</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before="60" w:after="60" w:line="252" w:lineRule="auto"/>
            </w:pPr>
            <w:r>
              <w:rPr>
                <w:b w:val="0"/>
                <w:i w:val="0"/>
              </w:rPr>
              <w:t>功能码 FC6</w:t>
            </w:r>
          </w:p>
        </w:tc>
      </w:tr>
      <w:tr>
        <w:tc>
          <w:tcPr>
            <w:tcW w:type="dxa" w:w="232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before="60" w:after="60" w:line="252" w:lineRule="auto"/>
            </w:pPr>
            <w:r>
              <w:rPr>
                <w:b w:val="0"/>
                <w:i w:val="0"/>
              </w:rPr>
              <w:t>8–9</w:t>
            </w:r>
          </w:p>
        </w:tc>
        <w:tc>
          <w:tcPr>
            <w:tcW w:type="dxa" w:w="271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before="60" w:after="60" w:line="252" w:lineRule="auto"/>
            </w:pPr>
            <w:r>
              <w:rPr>
                <w:rFonts w:ascii="Consolas" w:hAnsi="Consolas" w:eastAsia="Microsoft YaHei"/>
                <w:b w:val="0"/>
                <w:i w:val="0"/>
                <w:sz w:val="20"/>
              </w:rPr>
              <w:t>00 00</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before="60" w:after="60" w:line="252" w:lineRule="auto"/>
            </w:pPr>
            <w:r>
              <w:rPr>
                <w:b w:val="0"/>
                <w:i w:val="0"/>
              </w:rPr>
              <w:t>寄存器地址 0</w:t>
            </w:r>
          </w:p>
        </w:tc>
      </w:tr>
      <w:tr>
        <w:tc>
          <w:tcPr>
            <w:tcW w:type="dxa" w:w="232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before="60" w:after="60" w:line="252" w:lineRule="auto"/>
            </w:pPr>
            <w:r>
              <w:rPr>
                <w:b w:val="0"/>
                <w:i w:val="0"/>
              </w:rPr>
              <w:t>10–11</w:t>
            </w:r>
          </w:p>
        </w:tc>
        <w:tc>
          <w:tcPr>
            <w:tcW w:type="dxa" w:w="271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before="60" w:after="60" w:line="252" w:lineRule="auto"/>
            </w:pPr>
            <w:r>
              <w:rPr>
                <w:rFonts w:ascii="Consolas" w:hAnsi="Consolas" w:eastAsia="Microsoft YaHei"/>
                <w:b w:val="0"/>
                <w:i w:val="0"/>
                <w:sz w:val="20"/>
              </w:rPr>
              <w:t>0b b8</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before="60" w:after="60" w:line="252" w:lineRule="auto"/>
            </w:pPr>
            <w:r>
              <w:rPr>
                <w:b w:val="0"/>
                <w:i w:val="0"/>
              </w:rPr>
              <w:t>寄存器值 3000</w:t>
            </w:r>
          </w:p>
        </w:tc>
      </w:tr>
    </w:tbl>
    <w:p>
      <w:pPr>
        <w:pStyle w:val="Heading1"/>
      </w:pPr>
      <w:r>
        <w:rPr>
          <w:b w:val="0"/>
          <w:i w:val="0"/>
        </w:rPr>
        <w:t>六、解题脚本</w:t>
      </w:r>
    </w:p>
    <w:p>
      <w:pPr>
        <w:pStyle w:val="SourceCode"/>
      </w:pPr>
      <w:r>
        <w:t>import struct</w:t>
        <w:br/>
        <w:br/>
        <w:t>PCAP = r"02.pcapng"</w:t>
        <w:br/>
        <w:t>LIMIT = 2000</w:t>
        <w:br/>
        <w:br/>
        <w:br/>
        <w:t>def iter_blocks(path):</w:t>
        <w:br/>
        <w:t xml:space="preserve">    data = open(path, "rb").read()</w:t>
        <w:br/>
        <w:t xml:space="preserve">    off = 0</w:t>
        <w:br/>
        <w:t xml:space="preserve">    endian = "&lt;"</w:t>
        <w:br/>
        <w:t xml:space="preserve">    while off + 12 &lt;= len(data):</w:t>
        <w:br/>
        <w:t xml:space="preserve">        btype, blen = struct.unpack_from(endian + "II", data, off)</w:t>
        <w:br/>
        <w:t xml:space="preserve">        if btype == 0x0A0D0D0A:</w:t>
        <w:br/>
        <w:t xml:space="preserve">            endian = "&lt;" if data[off + 8:off + 12] == b"\x4d\x3c\x2b\x1a" else "&gt;"</w:t>
        <w:br/>
        <w:t xml:space="preserve">            off += blen</w:t>
        <w:br/>
        <w:t xml:space="preserve">            continue</w:t>
        <w:br/>
        <w:t xml:space="preserve">        if blen &lt; 12 or off + blen &gt; len(data):</w:t>
        <w:br/>
        <w:t xml:space="preserve">            break</w:t>
        <w:br/>
        <w:t xml:space="preserve">        if btype == 0x00000006:</w:t>
        <w:br/>
        <w:t xml:space="preserve">            caplen = struct.unpack_from(endian + "I", data, off + 20)[0]</w:t>
        <w:br/>
        <w:t xml:space="preserve">            yield data[off + 28:off + 28 + caplen]</w:t>
        <w:br/>
        <w:t xml:space="preserve">        off += blen</w:t>
        <w:br/>
        <w:br/>
        <w:br/>
        <w:t>def modbus_write_single(frame):</w:t>
        <w:br/>
        <w:t xml:space="preserve">    if len(frame) &lt; 54 or frame[12:14] != b"\x08\x00":</w:t>
        <w:br/>
        <w:t xml:space="preserve">        return None</w:t>
        <w:br/>
        <w:t xml:space="preserve">    ip = frame[14:]</w:t>
        <w:br/>
        <w:t xml:space="preserve">    if ip[0] &gt;&gt; 4 != 4 or ip[9] != 6:</w:t>
        <w:br/>
        <w:t xml:space="preserve">        return None</w:t>
        <w:br/>
        <w:t xml:space="preserve">    ihl = (ip[0] &amp; 0x0F) * 4</w:t>
        <w:br/>
        <w:t xml:space="preserve">    tcp = ip[ihl:]</w:t>
        <w:br/>
        <w:t xml:space="preserve">    doff = (tcp[12] &gt;&gt; 4) * 4</w:t>
        <w:br/>
        <w:t xml:space="preserve">    payload = tcp[doff:]</w:t>
        <w:br/>
        <w:t xml:space="preserve">    if len(payload) &lt; 12 or payload[2:4] != b"\x00\x00":</w:t>
        <w:br/>
        <w:t xml:space="preserve">        return None</w:t>
        <w:br/>
        <w:t xml:space="preserve">    if payload[6] != 1 or payload[7] != 6:</w:t>
        <w:br/>
        <w:t xml:space="preserve">        return None</w:t>
        <w:br/>
        <w:t xml:space="preserve">    return payload</w:t>
        <w:br/>
        <w:br/>
        <w:br/>
        <w:t>def main():</w:t>
        <w:br/>
        <w:t xml:space="preserve">    target = None</w:t>
        <w:br/>
        <w:t xml:space="preserve">    for frame in iter_blocks(PCAP):</w:t>
        <w:br/>
        <w:t xml:space="preserve">        payload = modbus_write_single(frame)</w:t>
        <w:br/>
        <w:t xml:space="preserve">        if payload is None:</w:t>
        <w:br/>
        <w:t xml:space="preserve">            continue</w:t>
        <w:br/>
        <w:t xml:space="preserve">        if struct.unpack("&gt;H", payload[10:12])[0] &gt; LIMIT:</w:t>
        <w:br/>
        <w:t xml:space="preserve">            target = payload</w:t>
        <w:br/>
        <w:t xml:space="preserve">    print("flag{" + target.hex() + "}")</w:t>
        <w:br/>
        <w:br/>
        <w:br/>
        <w:t>main()</w:t>
      </w:r>
    </w:p>
    <w:p>
      <w:pPr>
        <w:jc w:val="center"/>
      </w:pPr>
      <w:r>
        <w:drawing>
          <wp:inline xmlns:a="http://schemas.openxmlformats.org/drawingml/2006/main" xmlns:pic="http://schemas.openxmlformats.org/drawingml/2006/picture">
            <wp:extent cx="6400800" cy="1268773"/>
            <wp:docPr id="6" name="Picture 6" descr="image-20261017162300678" title=""/>
            <wp:cNvGraphicFramePr>
              <a:graphicFrameLocks noChangeAspect="1"/>
            </wp:cNvGraphicFramePr>
            <a:graphic>
              <a:graphicData uri="http://schemas.openxmlformats.org/drawingml/2006/picture">
                <pic:pic>
                  <pic:nvPicPr>
                    <pic:cNvPr id="0" name="image-20261017162300678.png"/>
                    <pic:cNvPicPr/>
                  </pic:nvPicPr>
                  <pic:blipFill>
                    <a:blip r:embed="rId14"/>
                    <a:stretch>
                      <a:fillRect/>
                    </a:stretch>
                  </pic:blipFill>
                  <pic:spPr>
                    <a:xfrm>
                      <a:off x="0" y="0"/>
                      <a:ext cx="6400800" cy="1268773"/>
                    </a:xfrm>
                    <a:prstGeom prst="rect"/>
                  </pic:spPr>
                </pic:pic>
              </a:graphicData>
            </a:graphic>
          </wp:inline>
        </w:drawing>
      </w:r>
    </w:p>
    <w:p>
      <w:r>
        <w:rPr>
          <w:b w:val="0"/>
          <w:i w:val="0"/>
        </w:rPr>
        <w:t>运行输出：</w:t>
      </w:r>
    </w:p>
    <w:p>
      <w:pPr>
        <w:pStyle w:val="SourceCode"/>
      </w:pPr>
      <w:r>
        <w:t>flag{4d0000000006010600000bb8}</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AutoHyphenat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eastAsia="Microsoft YaHei"/>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Calibri" w:hAnsi="Calibri" w:eastAsia="Microsoft YaHe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keepLines w:val="0"/>
      <w:widowControl w:val="0"/>
      <w:spacing w:line="240" w:lineRule="auto" w:before="80" w:after="160"/>
      <w:wordWrap w:val="1"/>
    </w:pPr>
    <w:rPr>
      <w:rFonts w:ascii="Consolas" w:hAnsi="Consolas" w:eastAsia="Microsoft YaHei"/>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任务13 工业数据流量分析之风机转速分析 writeup</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