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3046" w14:textId="791C1308" w:rsidR="00CE2B03" w:rsidRPr="00347F5B" w:rsidRDefault="001A6972">
      <w:pPr>
        <w:spacing w:after="120"/>
        <w:jc w:val="center"/>
        <w:rPr>
          <w:rFonts w:ascii="Aptos" w:hAnsi="Aptos"/>
        </w:rPr>
      </w:pPr>
      <w:r w:rsidRPr="00347F5B">
        <w:rPr>
          <w:rFonts w:ascii="Aptos" w:hAnsi="Aptos"/>
          <w:b/>
          <w:bCs/>
          <w:color w:val="1F3864"/>
          <w:sz w:val="36"/>
          <w:szCs w:val="36"/>
        </w:rPr>
        <w:t xml:space="preserve">E628: </w:t>
      </w:r>
      <w:r w:rsidR="00000000" w:rsidRPr="00347F5B">
        <w:rPr>
          <w:rFonts w:ascii="Aptos" w:hAnsi="Aptos"/>
          <w:b/>
          <w:bCs/>
          <w:color w:val="1F3864"/>
          <w:sz w:val="36"/>
          <w:szCs w:val="36"/>
        </w:rPr>
        <w:t>Data Science for Business</w:t>
      </w:r>
    </w:p>
    <w:p w14:paraId="15B8A913" w14:textId="77777777" w:rsidR="00CE2B03" w:rsidRPr="00347F5B" w:rsidRDefault="00000000">
      <w:pPr>
        <w:spacing w:after="60"/>
        <w:jc w:val="center"/>
        <w:rPr>
          <w:rFonts w:ascii="Aptos" w:hAnsi="Aptos"/>
        </w:rPr>
      </w:pPr>
      <w:r w:rsidRPr="00347F5B">
        <w:rPr>
          <w:rFonts w:ascii="Aptos" w:hAnsi="Aptos"/>
          <w:color w:val="555555"/>
          <w:sz w:val="28"/>
          <w:szCs w:val="28"/>
        </w:rPr>
        <w:t>Final Group Project — Proposed Topics</w:t>
      </w:r>
    </w:p>
    <w:p w14:paraId="683B07DB" w14:textId="0E834879" w:rsidR="00CE2B03" w:rsidRPr="00347F5B" w:rsidRDefault="00000000">
      <w:pPr>
        <w:spacing w:after="480"/>
        <w:jc w:val="center"/>
        <w:rPr>
          <w:rFonts w:ascii="Aptos" w:hAnsi="Aptos"/>
        </w:rPr>
      </w:pPr>
      <w:r w:rsidRPr="00347F5B">
        <w:rPr>
          <w:rFonts w:ascii="Aptos" w:hAnsi="Aptos"/>
          <w:i/>
          <w:iCs/>
          <w:color w:val="666666"/>
          <w:sz w:val="20"/>
          <w:szCs w:val="20"/>
        </w:rPr>
        <w:t xml:space="preserve">Each project involves data wrangling (pandas, SQL), exploratory analysis, predictive/classification modelling, and an interactive </w:t>
      </w:r>
      <w:r w:rsidR="001A6972" w:rsidRPr="00347F5B">
        <w:rPr>
          <w:rFonts w:ascii="Aptos" w:hAnsi="Aptos"/>
          <w:i/>
          <w:iCs/>
          <w:color w:val="666666"/>
          <w:sz w:val="20"/>
          <w:szCs w:val="20"/>
        </w:rPr>
        <w:t xml:space="preserve">app/ </w:t>
      </w:r>
      <w:r w:rsidRPr="00347F5B">
        <w:rPr>
          <w:rFonts w:ascii="Aptos" w:hAnsi="Aptos"/>
          <w:i/>
          <w:iCs/>
          <w:color w:val="666666"/>
          <w:sz w:val="20"/>
          <w:szCs w:val="20"/>
        </w:rPr>
        <w:t>dashboard.</w:t>
      </w:r>
    </w:p>
    <w:p w14:paraId="3BA9411D" w14:textId="77777777" w:rsidR="00CE2B03" w:rsidRPr="00347F5B" w:rsidRDefault="00000000">
      <w:pPr>
        <w:pStyle w:val="Heading2"/>
        <w:rPr>
          <w:rFonts w:ascii="Aptos" w:hAnsi="Aptos"/>
        </w:rPr>
      </w:pPr>
      <w:r w:rsidRPr="00347F5B">
        <w:rPr>
          <w:rFonts w:ascii="Aptos" w:hAnsi="Aptos"/>
          <w:sz w:val="24"/>
          <w:szCs w:val="24"/>
        </w:rPr>
        <w:t>Project 1 — Airbnb Price Prediction</w:t>
      </w:r>
    </w:p>
    <w:p w14:paraId="6733C63B" w14:textId="77777777" w:rsidR="00CE2B03" w:rsidRPr="00347F5B" w:rsidRDefault="00CE2B03">
      <w:pPr>
        <w:spacing w:after="80"/>
        <w:rPr>
          <w:rFonts w:ascii="Aptos" w:hAnsi="Aptos"/>
        </w:rPr>
      </w:pPr>
    </w:p>
    <w:p w14:paraId="28ADC897" w14:textId="121B2CD9" w:rsidR="00CE2B03" w:rsidRPr="00347F5B" w:rsidRDefault="00000000" w:rsidP="00347F5B">
      <w:pPr>
        <w:spacing w:after="160"/>
        <w:rPr>
          <w:rFonts w:ascii="Aptos" w:hAnsi="Aptos"/>
        </w:rPr>
      </w:pPr>
      <w:r w:rsidRPr="00347F5B">
        <w:rPr>
          <w:rFonts w:ascii="Aptos" w:hAnsi="Aptos"/>
        </w:rPr>
        <w:t xml:space="preserve">Source: Inside Airbnb </w:t>
      </w:r>
      <w:hyperlink r:id="rId5" w:history="1">
        <w:r w:rsidR="00DB2F84" w:rsidRPr="00347F5B">
          <w:rPr>
            <w:rStyle w:val="Hyperlink"/>
            <w:rFonts w:ascii="Aptos" w:hAnsi="Aptos"/>
          </w:rPr>
          <w:t>https://insideairbnb.com/get-the-data</w:t>
        </w:r>
      </w:hyperlink>
      <w:r w:rsidR="00DB2F84" w:rsidRPr="00347F5B">
        <w:rPr>
          <w:rFonts w:ascii="Aptos" w:hAnsi="Aptos"/>
        </w:rPr>
        <w:t xml:space="preserve">  </w:t>
      </w:r>
    </w:p>
    <w:p w14:paraId="2DF50FBD" w14:textId="1B30DDFD" w:rsidR="00CE2B03" w:rsidRPr="00347F5B" w:rsidRDefault="00000000">
      <w:pPr>
        <w:spacing w:after="160"/>
        <w:rPr>
          <w:rFonts w:ascii="Aptos" w:hAnsi="Aptos"/>
        </w:rPr>
      </w:pPr>
      <w:r w:rsidRPr="00347F5B">
        <w:rPr>
          <w:rFonts w:ascii="Aptos" w:hAnsi="Aptos"/>
        </w:rPr>
        <w:t xml:space="preserve">Inside Airbnb publishes regularly updated, publicly available datasets for dozens of cities worldwide, including listing details, host characteristics, neighbourhood classifications, calendar availability, and guest reviews. </w:t>
      </w:r>
      <w:r w:rsidR="00347F5B" w:rsidRPr="00347F5B">
        <w:rPr>
          <w:rFonts w:ascii="Aptos" w:hAnsi="Aptos"/>
        </w:rPr>
        <w:t>You</w:t>
      </w:r>
      <w:r w:rsidRPr="00347F5B">
        <w:rPr>
          <w:rFonts w:ascii="Aptos" w:hAnsi="Aptos"/>
        </w:rPr>
        <w:t xml:space="preserve"> will select a mid-sized city — such as Lisbon, Amsterdam, Barcelona, or Edinburgh — where the dataset contains a manageable but rich number of listings (typically 5,000–20,000 rows), making it tractable for exploratory work without being overwhelming.</w:t>
      </w:r>
    </w:p>
    <w:p w14:paraId="2D69990F" w14:textId="77777777" w:rsidR="00CE2B03" w:rsidRPr="00347F5B" w:rsidRDefault="00CE2B03">
      <w:pPr>
        <w:spacing w:after="80"/>
        <w:rPr>
          <w:rFonts w:ascii="Aptos" w:hAnsi="Aptos"/>
        </w:rPr>
      </w:pPr>
    </w:p>
    <w:p w14:paraId="47218E4B" w14:textId="149D00CE" w:rsidR="00CE2B03" w:rsidRPr="00347F5B" w:rsidRDefault="00000000">
      <w:pPr>
        <w:spacing w:after="160"/>
        <w:rPr>
          <w:rFonts w:ascii="Aptos" w:hAnsi="Aptos"/>
        </w:rPr>
      </w:pPr>
      <w:r w:rsidRPr="00347F5B">
        <w:rPr>
          <w:rFonts w:ascii="Aptos" w:hAnsi="Aptos"/>
        </w:rPr>
        <w:t xml:space="preserve">The core task is to predict nightly listing prices using structured features such as room type, number of bedrooms and bathrooms, host response rate, minimum nights, neighbourhood, and review scores. </w:t>
      </w:r>
      <w:r w:rsidR="001A6972" w:rsidRPr="00347F5B">
        <w:rPr>
          <w:rFonts w:ascii="Aptos" w:hAnsi="Aptos"/>
        </w:rPr>
        <w:t>We</w:t>
      </w:r>
      <w:r w:rsidRPr="00347F5B">
        <w:rPr>
          <w:rFonts w:ascii="Aptos" w:hAnsi="Aptos"/>
        </w:rPr>
        <w:t xml:space="preserve"> will use pandas for cleaning and feature engineering (e.g. extracting amenity counts from JSON-like fields, handling nulls in pricing), SQL for aggregations and filtering, and seaborn for visual EDA — exploring price distributions, neighbourhood heatmaps, and correlation matrices. A regression model (e.g. Random Forest or Gradient Boosting via scikit-learn) will be trained and evaluated using RMSE and R², with feature importance analysis to identify the key drivers of price. The final </w:t>
      </w:r>
      <w:r w:rsidR="001A6972" w:rsidRPr="00347F5B">
        <w:rPr>
          <w:rFonts w:ascii="Aptos" w:hAnsi="Aptos"/>
        </w:rPr>
        <w:t>Dash</w:t>
      </w:r>
      <w:r w:rsidRPr="00347F5B">
        <w:rPr>
          <w:rFonts w:ascii="Aptos" w:hAnsi="Aptos"/>
        </w:rPr>
        <w:t xml:space="preserve"> dashboard will allow users to select city area, property characteristics, and season to obtain a predicted price range, alongside neighbourhood-level summary statistics and price trend charts.</w:t>
      </w:r>
    </w:p>
    <w:p w14:paraId="6D5CB5C6" w14:textId="77777777" w:rsidR="00CE2B03" w:rsidRPr="00347F5B" w:rsidRDefault="00CE2B03">
      <w:pPr>
        <w:pBdr>
          <w:bottom w:val="single" w:sz="6" w:space="1" w:color="CCCCCC"/>
        </w:pBdr>
        <w:spacing w:after="200"/>
        <w:rPr>
          <w:rFonts w:ascii="Aptos" w:hAnsi="Aptos"/>
        </w:rPr>
      </w:pPr>
    </w:p>
    <w:p w14:paraId="18B667AA" w14:textId="77777777" w:rsidR="00CE2B03" w:rsidRPr="00347F5B" w:rsidRDefault="00000000">
      <w:pPr>
        <w:pStyle w:val="Heading2"/>
        <w:rPr>
          <w:rFonts w:ascii="Aptos" w:hAnsi="Aptos"/>
        </w:rPr>
      </w:pPr>
      <w:r w:rsidRPr="00347F5B">
        <w:rPr>
          <w:rFonts w:ascii="Aptos" w:hAnsi="Aptos"/>
          <w:sz w:val="24"/>
          <w:szCs w:val="24"/>
        </w:rPr>
        <w:t>Project 2 — European Electricity Markets: Prices &amp; Cross-Border Flows</w:t>
      </w:r>
    </w:p>
    <w:p w14:paraId="28B3AC77" w14:textId="77777777" w:rsidR="00CE2B03" w:rsidRPr="00347F5B" w:rsidRDefault="00CE2B03">
      <w:pPr>
        <w:spacing w:after="80"/>
        <w:rPr>
          <w:rFonts w:ascii="Aptos" w:hAnsi="Aptos"/>
        </w:rPr>
      </w:pPr>
    </w:p>
    <w:p w14:paraId="0FEC248E" w14:textId="678A2A73" w:rsidR="00CE2B03" w:rsidRPr="00347F5B" w:rsidRDefault="00000000">
      <w:pPr>
        <w:spacing w:after="160"/>
        <w:rPr>
          <w:rFonts w:ascii="Aptos" w:hAnsi="Aptos"/>
        </w:rPr>
      </w:pPr>
      <w:r w:rsidRPr="00347F5B">
        <w:rPr>
          <w:rFonts w:ascii="Aptos" w:hAnsi="Aptos"/>
        </w:rPr>
        <w:t>Source: Electricity Maps API (</w:t>
      </w:r>
      <w:hyperlink r:id="rId6" w:history="1">
        <w:r w:rsidR="001A6972" w:rsidRPr="00347F5B">
          <w:rPr>
            <w:rStyle w:val="Hyperlink"/>
            <w:rFonts w:ascii="Aptos" w:hAnsi="Aptos"/>
          </w:rPr>
          <w:t>https://app.electricitymaps.com/developer-hub/playground?datatype=electricity-flows&amp;temporality=past&amp;zone=CH</w:t>
        </w:r>
      </w:hyperlink>
      <w:r w:rsidR="001A6972" w:rsidRPr="00347F5B">
        <w:rPr>
          <w:rFonts w:ascii="Aptos" w:hAnsi="Aptos"/>
        </w:rPr>
        <w:t xml:space="preserve"> </w:t>
      </w:r>
      <w:r w:rsidRPr="00347F5B">
        <w:rPr>
          <w:rFonts w:ascii="Aptos" w:hAnsi="Aptos"/>
        </w:rPr>
        <w:t>)</w:t>
      </w:r>
    </w:p>
    <w:p w14:paraId="71430E76" w14:textId="77777777" w:rsidR="00CE2B03" w:rsidRPr="00347F5B" w:rsidRDefault="00CE2B03">
      <w:pPr>
        <w:spacing w:after="80"/>
        <w:rPr>
          <w:rFonts w:ascii="Aptos" w:hAnsi="Aptos"/>
        </w:rPr>
      </w:pPr>
    </w:p>
    <w:p w14:paraId="348EAB85" w14:textId="6FCF6FB1" w:rsidR="00CE2B03" w:rsidRPr="00347F5B" w:rsidRDefault="00000000">
      <w:pPr>
        <w:spacing w:after="160"/>
        <w:rPr>
          <w:rFonts w:ascii="Aptos" w:hAnsi="Aptos"/>
        </w:rPr>
      </w:pPr>
      <w:r w:rsidRPr="00347F5B">
        <w:rPr>
          <w:rFonts w:ascii="Aptos" w:hAnsi="Aptos"/>
        </w:rPr>
        <w:t xml:space="preserve">Electricity Maps provides a free API offering hourly data on electricity carbon intensity, generation mix (renewables vs. fossil fuels), and cross-border power flows between European countries. </w:t>
      </w:r>
      <w:r w:rsidR="00347F5B" w:rsidRPr="00347F5B">
        <w:rPr>
          <w:rFonts w:ascii="Aptos" w:hAnsi="Aptos"/>
        </w:rPr>
        <w:t>You</w:t>
      </w:r>
      <w:r w:rsidRPr="00347F5B">
        <w:rPr>
          <w:rFonts w:ascii="Aptos" w:hAnsi="Aptos"/>
        </w:rPr>
        <w:t xml:space="preserve"> will query the API programmatically using Python, collecting several months of data across a selection of countries or bidding zones — for example, France, Germany, </w:t>
      </w:r>
      <w:r w:rsidR="001A6972" w:rsidRPr="00347F5B">
        <w:rPr>
          <w:rFonts w:ascii="Aptos" w:hAnsi="Aptos"/>
        </w:rPr>
        <w:t>Switzerland</w:t>
      </w:r>
      <w:r w:rsidRPr="00347F5B">
        <w:rPr>
          <w:rFonts w:ascii="Aptos" w:hAnsi="Aptos"/>
        </w:rPr>
        <w:t>, and the Nordic region — and store the results in a structured SQL database for querying and analysis.</w:t>
      </w:r>
    </w:p>
    <w:p w14:paraId="6056E14F" w14:textId="77777777" w:rsidR="00CE2B03" w:rsidRPr="00347F5B" w:rsidRDefault="00CE2B03">
      <w:pPr>
        <w:spacing w:after="80"/>
        <w:rPr>
          <w:rFonts w:ascii="Aptos" w:hAnsi="Aptos"/>
        </w:rPr>
      </w:pPr>
    </w:p>
    <w:p w14:paraId="000E854B" w14:textId="0DA26101" w:rsidR="00CE2B03" w:rsidRPr="00347F5B" w:rsidRDefault="00000000">
      <w:pPr>
        <w:spacing w:after="160"/>
        <w:rPr>
          <w:rFonts w:ascii="Aptos" w:hAnsi="Aptos"/>
        </w:rPr>
      </w:pPr>
      <w:r w:rsidRPr="00347F5B">
        <w:rPr>
          <w:rFonts w:ascii="Aptos" w:hAnsi="Aptos"/>
        </w:rPr>
        <w:t xml:space="preserve">The analytical focus is on understanding how electricity generation, imports/exports, and carbon intensity vary by country, time of day, and season. </w:t>
      </w:r>
      <w:r w:rsidR="00347F5B" w:rsidRPr="00347F5B">
        <w:rPr>
          <w:rFonts w:ascii="Aptos" w:hAnsi="Aptos"/>
        </w:rPr>
        <w:t>You</w:t>
      </w:r>
      <w:r w:rsidRPr="00347F5B">
        <w:rPr>
          <w:rFonts w:ascii="Aptos" w:hAnsi="Aptos"/>
        </w:rPr>
        <w:t xml:space="preserve"> will visualise generation mix breakdowns, identify periods of high renewable penetration versus fossil fuel reliance, and map directional cross-border flows. A prediction or classification model could be applied to forecast carbon </w:t>
      </w:r>
      <w:r w:rsidRPr="00347F5B">
        <w:rPr>
          <w:rFonts w:ascii="Aptos" w:hAnsi="Aptos"/>
        </w:rPr>
        <w:lastRenderedPageBreak/>
        <w:t xml:space="preserve">intensity levels or to classify whether a country is a net electricity importer or exporter during a given hour, based on weather proxies, time features, and lagged values. The </w:t>
      </w:r>
      <w:r w:rsidR="001A6972" w:rsidRPr="00347F5B">
        <w:rPr>
          <w:rFonts w:ascii="Aptos" w:hAnsi="Aptos"/>
        </w:rPr>
        <w:t>Dash</w:t>
      </w:r>
      <w:r w:rsidRPr="00347F5B">
        <w:rPr>
          <w:rFonts w:ascii="Aptos" w:hAnsi="Aptos"/>
        </w:rPr>
        <w:t xml:space="preserve"> dashboard will provide an interactive map and time series explorer, enabling users to select a country and time window to view the live energy mix, carbon intensity trajectory, and net flow balance — making abstract grid dynamics accessible to a business audience.</w:t>
      </w:r>
    </w:p>
    <w:p w14:paraId="481C4FCF" w14:textId="77777777" w:rsidR="00CE2B03" w:rsidRPr="00347F5B" w:rsidRDefault="00CE2B03">
      <w:pPr>
        <w:pBdr>
          <w:bottom w:val="single" w:sz="6" w:space="1" w:color="CCCCCC"/>
        </w:pBdr>
        <w:spacing w:after="200"/>
        <w:rPr>
          <w:rFonts w:ascii="Aptos" w:hAnsi="Aptos"/>
        </w:rPr>
      </w:pPr>
    </w:p>
    <w:p w14:paraId="012E8F92" w14:textId="77777777" w:rsidR="00CE2B03" w:rsidRPr="00347F5B" w:rsidRDefault="00000000">
      <w:pPr>
        <w:pStyle w:val="Heading2"/>
        <w:rPr>
          <w:rFonts w:ascii="Aptos" w:hAnsi="Aptos"/>
        </w:rPr>
      </w:pPr>
      <w:r w:rsidRPr="00347F5B">
        <w:rPr>
          <w:rFonts w:ascii="Aptos" w:hAnsi="Aptos"/>
          <w:sz w:val="24"/>
          <w:szCs w:val="24"/>
        </w:rPr>
        <w:t>Project 3 — Global Emissions, GDP &amp; Energy: A Cross-Country Panel Analysis</w:t>
      </w:r>
    </w:p>
    <w:p w14:paraId="72468D35" w14:textId="77777777" w:rsidR="00CE2B03" w:rsidRPr="00347F5B" w:rsidRDefault="00CE2B03">
      <w:pPr>
        <w:spacing w:after="80"/>
        <w:rPr>
          <w:rFonts w:ascii="Aptos" w:hAnsi="Aptos"/>
        </w:rPr>
      </w:pPr>
    </w:p>
    <w:p w14:paraId="3D841014" w14:textId="7BE85218" w:rsidR="001A6972" w:rsidRPr="00347F5B" w:rsidRDefault="00000000">
      <w:pPr>
        <w:spacing w:after="160"/>
        <w:rPr>
          <w:rFonts w:ascii="Aptos" w:hAnsi="Aptos"/>
        </w:rPr>
      </w:pPr>
      <w:r w:rsidRPr="00347F5B">
        <w:rPr>
          <w:rFonts w:ascii="Aptos" w:hAnsi="Aptos"/>
        </w:rPr>
        <w:t>Sources: Our World in Data (ourworldindata.org),</w:t>
      </w:r>
      <w:r w:rsidR="001A6972" w:rsidRPr="00347F5B">
        <w:rPr>
          <w:rFonts w:ascii="Aptos" w:hAnsi="Aptos"/>
        </w:rPr>
        <w:t xml:space="preserve"> </w:t>
      </w:r>
      <w:hyperlink r:id="rId7" w:history="1">
        <w:r w:rsidR="001A6972" w:rsidRPr="00347F5B">
          <w:rPr>
            <w:rStyle w:val="Hyperlink"/>
            <w:rFonts w:ascii="Aptos" w:hAnsi="Aptos"/>
          </w:rPr>
          <w:t>https://github.com/owid/energy-data</w:t>
        </w:r>
      </w:hyperlink>
      <w:r w:rsidR="001A6972" w:rsidRPr="00347F5B">
        <w:rPr>
          <w:rFonts w:ascii="Aptos" w:hAnsi="Aptos"/>
        </w:rPr>
        <w:t xml:space="preserve"> and</w:t>
      </w:r>
      <w:r w:rsidRPr="00347F5B">
        <w:rPr>
          <w:rFonts w:ascii="Aptos" w:hAnsi="Aptos"/>
        </w:rPr>
        <w:t xml:space="preserve"> </w:t>
      </w:r>
      <w:hyperlink r:id="rId8" w:history="1">
        <w:r w:rsidR="001A6972" w:rsidRPr="00347F5B">
          <w:rPr>
            <w:rStyle w:val="Hyperlink"/>
            <w:rFonts w:ascii="Aptos" w:hAnsi="Aptos"/>
          </w:rPr>
          <w:t>https://ourworldindata.org/grapher/co-emissions-per-capita?country=OWID_WRL~USA~GBR~OWID_EU27</w:t>
        </w:r>
      </w:hyperlink>
      <w:r w:rsidR="001A6972" w:rsidRPr="00347F5B">
        <w:rPr>
          <w:rFonts w:ascii="Aptos" w:hAnsi="Aptos"/>
        </w:rPr>
        <w:t xml:space="preserve"> </w:t>
      </w:r>
    </w:p>
    <w:p w14:paraId="0DA4E2BF" w14:textId="37944851" w:rsidR="00CE2B03" w:rsidRPr="00347F5B" w:rsidRDefault="00000000" w:rsidP="00347F5B">
      <w:pPr>
        <w:spacing w:after="160"/>
        <w:rPr>
          <w:rFonts w:ascii="Aptos" w:hAnsi="Aptos"/>
        </w:rPr>
      </w:pPr>
      <w:r w:rsidRPr="00347F5B">
        <w:rPr>
          <w:rFonts w:ascii="Aptos" w:hAnsi="Aptos"/>
        </w:rPr>
        <w:t>World Bank Data</w:t>
      </w:r>
      <w:r w:rsidR="001A6972" w:rsidRPr="00347F5B">
        <w:rPr>
          <w:rFonts w:ascii="Aptos" w:hAnsi="Aptos"/>
        </w:rPr>
        <w:t xml:space="preserve"> </w:t>
      </w:r>
      <w:hyperlink r:id="rId9" w:history="1">
        <w:r w:rsidR="001A6972" w:rsidRPr="00347F5B">
          <w:rPr>
            <w:rStyle w:val="Hyperlink"/>
            <w:rFonts w:ascii="Aptos" w:hAnsi="Aptos"/>
          </w:rPr>
          <w:t>https://data.worldbank.org/indicator/NY.GDP.MKTP.PP.KD</w:t>
        </w:r>
      </w:hyperlink>
      <w:r w:rsidR="001A6972" w:rsidRPr="00347F5B">
        <w:rPr>
          <w:rFonts w:ascii="Aptos" w:hAnsi="Aptos"/>
        </w:rPr>
        <w:t xml:space="preserve"> </w:t>
      </w:r>
    </w:p>
    <w:p w14:paraId="099B7CAD" w14:textId="3E3AA78F" w:rsidR="00CE2B03" w:rsidRPr="00347F5B" w:rsidRDefault="00000000">
      <w:pPr>
        <w:spacing w:after="160"/>
        <w:rPr>
          <w:rFonts w:ascii="Aptos" w:hAnsi="Aptos"/>
        </w:rPr>
      </w:pPr>
      <w:r w:rsidRPr="00347F5B">
        <w:rPr>
          <w:rFonts w:ascii="Aptos" w:hAnsi="Aptos"/>
        </w:rPr>
        <w:t>This project draws on rich longitudinal datasets from Our World in Data and the World Bank, combining per capita CO2 emissions, GDP in constant purchasing power parity (PPP) dollars, electricity consumption per capita, and energy mix indicators across 150+ countries over several decades.</w:t>
      </w:r>
      <w:r w:rsidR="001A6972" w:rsidRPr="00347F5B">
        <w:rPr>
          <w:rFonts w:ascii="Aptos" w:hAnsi="Aptos"/>
        </w:rPr>
        <w:t xml:space="preserve"> We</w:t>
      </w:r>
      <w:r w:rsidRPr="00347F5B">
        <w:rPr>
          <w:rFonts w:ascii="Aptos" w:hAnsi="Aptos"/>
        </w:rPr>
        <w:t xml:space="preserve"> will download, clean, and merge these datasets using pandas, dealing with real-world challenges such as missing values for low-income countries, differing temporal coverage, and country name inconsistencies across sources. SQL will be used to query and reshape the combined dataset for analysis.</w:t>
      </w:r>
    </w:p>
    <w:p w14:paraId="2D0AB0AC" w14:textId="77777777" w:rsidR="00CE2B03" w:rsidRPr="00347F5B" w:rsidRDefault="00CE2B03">
      <w:pPr>
        <w:spacing w:after="80"/>
        <w:rPr>
          <w:rFonts w:ascii="Aptos" w:hAnsi="Aptos"/>
        </w:rPr>
      </w:pPr>
    </w:p>
    <w:p w14:paraId="0E287654" w14:textId="4E7A2D6D" w:rsidR="00CE2B03" w:rsidRPr="00347F5B" w:rsidRDefault="00000000">
      <w:pPr>
        <w:spacing w:after="160"/>
        <w:rPr>
          <w:rFonts w:ascii="Aptos" w:hAnsi="Aptos"/>
        </w:rPr>
      </w:pPr>
      <w:r w:rsidRPr="00347F5B">
        <w:rPr>
          <w:rFonts w:ascii="Aptos" w:hAnsi="Aptos"/>
        </w:rPr>
        <w:t xml:space="preserve">The central analytical question is whether and how economic development, energy use, and emissions are related — and how those relationships have evolved over time. </w:t>
      </w:r>
      <w:r w:rsidR="001A6972" w:rsidRPr="00347F5B">
        <w:rPr>
          <w:rFonts w:ascii="Aptos" w:hAnsi="Aptos"/>
        </w:rPr>
        <w:t xml:space="preserve">Which </w:t>
      </w:r>
      <w:r w:rsidRPr="00347F5B">
        <w:rPr>
          <w:rFonts w:ascii="Aptos" w:hAnsi="Aptos"/>
        </w:rPr>
        <w:t xml:space="preserve">countries </w:t>
      </w:r>
      <w:r w:rsidR="001A6972" w:rsidRPr="00347F5B">
        <w:rPr>
          <w:rFonts w:ascii="Aptos" w:hAnsi="Aptos"/>
        </w:rPr>
        <w:t>have managed to</w:t>
      </w:r>
      <w:r w:rsidRPr="00347F5B">
        <w:rPr>
          <w:rFonts w:ascii="Aptos" w:hAnsi="Aptos"/>
        </w:rPr>
        <w:t xml:space="preserve"> decouple emissions from </w:t>
      </w:r>
      <w:r w:rsidR="001A6972" w:rsidRPr="00347F5B">
        <w:rPr>
          <w:rFonts w:ascii="Aptos" w:hAnsi="Aptos"/>
        </w:rPr>
        <w:t xml:space="preserve">GDP </w:t>
      </w:r>
      <w:proofErr w:type="gramStart"/>
      <w:r w:rsidRPr="00347F5B">
        <w:rPr>
          <w:rFonts w:ascii="Aptos" w:hAnsi="Aptos"/>
        </w:rPr>
        <w:t>growt</w:t>
      </w:r>
      <w:r w:rsidR="001A6972" w:rsidRPr="00347F5B">
        <w:rPr>
          <w:rFonts w:ascii="Aptos" w:hAnsi="Aptos"/>
        </w:rPr>
        <w:t>h?</w:t>
      </w:r>
      <w:r w:rsidRPr="00347F5B">
        <w:rPr>
          <w:rFonts w:ascii="Aptos" w:hAnsi="Aptos"/>
        </w:rPr>
        <w:t>.</w:t>
      </w:r>
      <w:proofErr w:type="gramEnd"/>
      <w:r w:rsidRPr="00347F5B">
        <w:rPr>
          <w:rFonts w:ascii="Aptos" w:hAnsi="Aptos"/>
        </w:rPr>
        <w:t xml:space="preserve"> Visualisations will include animated scatter plots (GDP per capita vs. emissions over time, à la </w:t>
      </w:r>
      <w:proofErr w:type="spellStart"/>
      <w:r w:rsidRPr="00347F5B">
        <w:rPr>
          <w:rFonts w:ascii="Aptos" w:hAnsi="Aptos"/>
        </w:rPr>
        <w:t>Gapminder</w:t>
      </w:r>
      <w:proofErr w:type="spellEnd"/>
      <w:r w:rsidRPr="00347F5B">
        <w:rPr>
          <w:rFonts w:ascii="Aptos" w:hAnsi="Aptos"/>
        </w:rPr>
        <w:t>), regional trend lines, and choropleth maps. A regression or clustering model can be applied to group countries by development and emissions trajectories or to predict emissions intensity given economic and energy features. The dashboard will offer a dynamic, country-level explorer with timeline sliders, regional filters, and scenario comparisons — a powerful tool for communicating sustainability data to non-technical stakeholders.</w:t>
      </w:r>
    </w:p>
    <w:p w14:paraId="41501EB3" w14:textId="77777777" w:rsidR="00CE2B03" w:rsidRPr="00347F5B" w:rsidRDefault="00CE2B03">
      <w:pPr>
        <w:pBdr>
          <w:bottom w:val="single" w:sz="6" w:space="1" w:color="CCCCCC"/>
        </w:pBdr>
        <w:spacing w:after="200"/>
        <w:rPr>
          <w:rFonts w:ascii="Aptos" w:hAnsi="Aptos"/>
        </w:rPr>
      </w:pPr>
    </w:p>
    <w:p w14:paraId="39B69CFB" w14:textId="77777777" w:rsidR="00CE2B03" w:rsidRPr="00347F5B" w:rsidRDefault="00000000">
      <w:pPr>
        <w:pStyle w:val="Heading2"/>
        <w:rPr>
          <w:rFonts w:ascii="Aptos" w:hAnsi="Aptos"/>
        </w:rPr>
      </w:pPr>
      <w:r w:rsidRPr="00347F5B">
        <w:rPr>
          <w:rFonts w:ascii="Aptos" w:hAnsi="Aptos"/>
          <w:sz w:val="24"/>
          <w:szCs w:val="24"/>
        </w:rPr>
        <w:t xml:space="preserve">Project 4 — Retail Analytics with </w:t>
      </w:r>
      <w:proofErr w:type="spellStart"/>
      <w:r w:rsidRPr="00347F5B">
        <w:rPr>
          <w:rFonts w:ascii="Aptos" w:hAnsi="Aptos"/>
          <w:sz w:val="24"/>
          <w:szCs w:val="24"/>
        </w:rPr>
        <w:t>Sakila</w:t>
      </w:r>
      <w:proofErr w:type="spellEnd"/>
      <w:r w:rsidRPr="00347F5B">
        <w:rPr>
          <w:rFonts w:ascii="Aptos" w:hAnsi="Aptos"/>
          <w:sz w:val="24"/>
          <w:szCs w:val="24"/>
        </w:rPr>
        <w:t xml:space="preserve"> / </w:t>
      </w:r>
      <w:proofErr w:type="spellStart"/>
      <w:r w:rsidRPr="00347F5B">
        <w:rPr>
          <w:rFonts w:ascii="Aptos" w:hAnsi="Aptos"/>
          <w:sz w:val="24"/>
          <w:szCs w:val="24"/>
        </w:rPr>
        <w:t>DuckDB</w:t>
      </w:r>
      <w:proofErr w:type="spellEnd"/>
    </w:p>
    <w:p w14:paraId="2DB12EDD" w14:textId="77777777" w:rsidR="00CE2B03" w:rsidRPr="00347F5B" w:rsidRDefault="00CE2B03">
      <w:pPr>
        <w:spacing w:after="80"/>
        <w:rPr>
          <w:rFonts w:ascii="Aptos" w:hAnsi="Aptos"/>
        </w:rPr>
      </w:pPr>
    </w:p>
    <w:p w14:paraId="4BB3D54F" w14:textId="70664E51" w:rsidR="00CE2B03" w:rsidRPr="00347F5B" w:rsidRDefault="00000000" w:rsidP="00347F5B">
      <w:pPr>
        <w:spacing w:after="160"/>
        <w:rPr>
          <w:rFonts w:ascii="Aptos" w:hAnsi="Aptos"/>
        </w:rPr>
      </w:pPr>
      <w:r w:rsidRPr="00347F5B">
        <w:rPr>
          <w:rFonts w:ascii="Aptos" w:hAnsi="Aptos"/>
        </w:rPr>
        <w:t xml:space="preserve">Source: </w:t>
      </w:r>
      <w:proofErr w:type="spellStart"/>
      <w:r w:rsidRPr="00347F5B">
        <w:rPr>
          <w:rFonts w:ascii="Aptos" w:hAnsi="Aptos"/>
        </w:rPr>
        <w:t>Sakila</w:t>
      </w:r>
      <w:proofErr w:type="spellEnd"/>
      <w:r w:rsidRPr="00347F5B">
        <w:rPr>
          <w:rFonts w:ascii="Aptos" w:hAnsi="Aptos"/>
        </w:rPr>
        <w:t xml:space="preserve"> sample database (</w:t>
      </w:r>
      <w:hyperlink r:id="rId10" w:history="1">
        <w:r w:rsidR="00347F5B" w:rsidRPr="00347F5B">
          <w:rPr>
            <w:rStyle w:val="Hyperlink"/>
            <w:rFonts w:ascii="Aptos" w:hAnsi="Aptos"/>
          </w:rPr>
          <w:t>https://github.com/jOOQ/sakila</w:t>
        </w:r>
      </w:hyperlink>
      <w:r w:rsidR="00347F5B" w:rsidRPr="00347F5B">
        <w:rPr>
          <w:rFonts w:ascii="Aptos" w:hAnsi="Aptos"/>
        </w:rPr>
        <w:t xml:space="preserve"> </w:t>
      </w:r>
      <w:r w:rsidR="001A6972" w:rsidRPr="00347F5B">
        <w:rPr>
          <w:rFonts w:ascii="Aptos" w:hAnsi="Aptos"/>
        </w:rPr>
        <w:t xml:space="preserve"> </w:t>
      </w:r>
    </w:p>
    <w:p w14:paraId="3E0E485D" w14:textId="3F9AA587" w:rsidR="00CE2B03" w:rsidRPr="00347F5B" w:rsidRDefault="00000000" w:rsidP="00347F5B">
      <w:pPr>
        <w:spacing w:after="160"/>
        <w:rPr>
          <w:rFonts w:ascii="Aptos" w:hAnsi="Aptos"/>
        </w:rPr>
      </w:pPr>
      <w:r w:rsidRPr="00347F5B">
        <w:rPr>
          <w:rFonts w:ascii="Aptos" w:hAnsi="Aptos"/>
        </w:rPr>
        <w:t xml:space="preserve">The </w:t>
      </w:r>
      <w:proofErr w:type="spellStart"/>
      <w:r w:rsidRPr="00347F5B">
        <w:rPr>
          <w:rFonts w:ascii="Aptos" w:hAnsi="Aptos"/>
        </w:rPr>
        <w:t>Sakila</w:t>
      </w:r>
      <w:proofErr w:type="spellEnd"/>
      <w:r w:rsidRPr="00347F5B">
        <w:rPr>
          <w:rFonts w:ascii="Aptos" w:hAnsi="Aptos"/>
        </w:rPr>
        <w:t xml:space="preserve"> database is a well-structured relational dataset modelling a DVD rental business, with tables covering customers, films, inventory, staff, stores, payments, and rental transactions. It is widely used in SQL teaching and is immediately available in MySQL and PostgreSQL. </w:t>
      </w:r>
    </w:p>
    <w:p w14:paraId="44FAE0FD" w14:textId="69118CBF" w:rsidR="00CE2B03" w:rsidRPr="00347F5B" w:rsidRDefault="001A6972">
      <w:pPr>
        <w:spacing w:after="160"/>
        <w:rPr>
          <w:rFonts w:ascii="Aptos" w:hAnsi="Aptos"/>
        </w:rPr>
      </w:pPr>
      <w:r w:rsidRPr="00347F5B">
        <w:rPr>
          <w:rFonts w:ascii="Aptos" w:hAnsi="Aptos"/>
        </w:rPr>
        <w:t>We</w:t>
      </w:r>
      <w:r w:rsidR="00000000" w:rsidRPr="00347F5B">
        <w:rPr>
          <w:rFonts w:ascii="Aptos" w:hAnsi="Aptos"/>
        </w:rPr>
        <w:t xml:space="preserve"> will use SQL extensively to answer business questions: which film categories generate the most revenue, which customers are most valuable by lifetime spend, how rental duration varies by genre or geography, and which stores over- or under-perform relative to their inventory. Python and pandas are used to post-process query results, engineer features (e.g. customer recency, frequency, and </w:t>
      </w:r>
      <w:proofErr w:type="gramStart"/>
      <w:r w:rsidRPr="00347F5B">
        <w:rPr>
          <w:rFonts w:ascii="Aptos" w:hAnsi="Aptos"/>
        </w:rPr>
        <w:t>monetary(</w:t>
      </w:r>
      <w:proofErr w:type="gramEnd"/>
      <w:r w:rsidRPr="00347F5B">
        <w:rPr>
          <w:rFonts w:ascii="Aptos" w:hAnsi="Aptos"/>
        </w:rPr>
        <w:t xml:space="preserve">RFM) </w:t>
      </w:r>
      <w:r w:rsidR="00000000" w:rsidRPr="00347F5B">
        <w:rPr>
          <w:rFonts w:ascii="Aptos" w:hAnsi="Aptos"/>
        </w:rPr>
        <w:t xml:space="preserve">value for </w:t>
      </w:r>
      <w:bookmarkStart w:id="0" w:name="OLE_LINK1"/>
      <w:r w:rsidR="00000000" w:rsidRPr="00347F5B">
        <w:rPr>
          <w:rFonts w:ascii="Aptos" w:hAnsi="Aptos"/>
        </w:rPr>
        <w:t xml:space="preserve">RFM segmentation), </w:t>
      </w:r>
      <w:bookmarkEnd w:id="0"/>
      <w:r w:rsidR="00000000" w:rsidRPr="00347F5B">
        <w:rPr>
          <w:rFonts w:ascii="Aptos" w:hAnsi="Aptos"/>
        </w:rPr>
        <w:t xml:space="preserve">and feed a classification model — for </w:t>
      </w:r>
      <w:r w:rsidR="00000000" w:rsidRPr="00347F5B">
        <w:rPr>
          <w:rFonts w:ascii="Aptos" w:hAnsi="Aptos"/>
        </w:rPr>
        <w:lastRenderedPageBreak/>
        <w:t xml:space="preserve">example, predicting customer churn or identifying customers likely to make a repeat rental. Seaborn visualisations will cover revenue distributions, rental frequency histograms, and store-level comparisons. The </w:t>
      </w:r>
      <w:r w:rsidRPr="00347F5B">
        <w:rPr>
          <w:rFonts w:ascii="Aptos" w:hAnsi="Aptos"/>
        </w:rPr>
        <w:t>Dash</w:t>
      </w:r>
      <w:r w:rsidR="00000000" w:rsidRPr="00347F5B">
        <w:rPr>
          <w:rFonts w:ascii="Aptos" w:hAnsi="Aptos"/>
        </w:rPr>
        <w:t xml:space="preserve"> dashboard will function as a management reporting tool, with KPI cards, filterable sales charts, customer segmentation views, and a churn risk score table — simulating the kind of internal analytics product a retail data team might build.</w:t>
      </w:r>
    </w:p>
    <w:p w14:paraId="67963581" w14:textId="77777777" w:rsidR="00CE2B03" w:rsidRPr="00347F5B" w:rsidRDefault="00CE2B03">
      <w:pPr>
        <w:pBdr>
          <w:bottom w:val="single" w:sz="6" w:space="1" w:color="CCCCCC"/>
        </w:pBdr>
        <w:spacing w:after="200"/>
        <w:rPr>
          <w:rFonts w:ascii="Aptos" w:hAnsi="Aptos"/>
        </w:rPr>
      </w:pPr>
    </w:p>
    <w:p w14:paraId="088F8FC6" w14:textId="77777777" w:rsidR="00CE2B03" w:rsidRPr="00347F5B" w:rsidRDefault="00000000">
      <w:pPr>
        <w:pStyle w:val="Heading2"/>
        <w:rPr>
          <w:rFonts w:ascii="Aptos" w:hAnsi="Aptos"/>
        </w:rPr>
      </w:pPr>
      <w:r w:rsidRPr="00347F5B">
        <w:rPr>
          <w:rFonts w:ascii="Aptos" w:hAnsi="Aptos"/>
        </w:rPr>
        <w:t>Project 5 — Bike-Share Demand &amp; Operations Analytics</w:t>
      </w:r>
    </w:p>
    <w:p w14:paraId="068B66B7" w14:textId="77777777" w:rsidR="00CE2B03" w:rsidRPr="00347F5B" w:rsidRDefault="00000000">
      <w:pPr>
        <w:spacing w:after="80"/>
        <w:rPr>
          <w:rFonts w:ascii="Aptos" w:hAnsi="Aptos"/>
        </w:rPr>
      </w:pPr>
      <w:r w:rsidRPr="00347F5B">
        <w:rPr>
          <w:rFonts w:ascii="Aptos" w:hAnsi="Aptos"/>
          <w:b/>
        </w:rPr>
        <w:t xml:space="preserve">Data sources: </w:t>
      </w:r>
      <w:hyperlink r:id="rId11" w:history="1">
        <w:r w:rsidR="00CE2B03" w:rsidRPr="00347F5B">
          <w:rPr>
            <w:rStyle w:val="Hyperlink"/>
            <w:rFonts w:ascii="Aptos" w:hAnsi="Aptos"/>
          </w:rPr>
          <w:t>TfL Cycling Data (London)</w:t>
        </w:r>
      </w:hyperlink>
      <w:r w:rsidRPr="00347F5B">
        <w:rPr>
          <w:rFonts w:ascii="Aptos" w:hAnsi="Aptos"/>
        </w:rPr>
        <w:t xml:space="preserve"> — cycling.data.tfl.gov.uk  |  </w:t>
      </w:r>
      <w:hyperlink r:id="rId12" w:history="1">
        <w:r w:rsidR="00CE2B03" w:rsidRPr="00347F5B">
          <w:rPr>
            <w:rStyle w:val="Hyperlink"/>
            <w:rFonts w:ascii="Aptos" w:hAnsi="Aptos"/>
          </w:rPr>
          <w:t>Citi Bike NYC</w:t>
        </w:r>
      </w:hyperlink>
      <w:r w:rsidRPr="00347F5B">
        <w:rPr>
          <w:rFonts w:ascii="Aptos" w:hAnsi="Aptos"/>
        </w:rPr>
        <w:t xml:space="preserve"> — citibikenyc.com/system-data  |  </w:t>
      </w:r>
      <w:hyperlink r:id="rId13" w:history="1">
        <w:r w:rsidR="00CE2B03" w:rsidRPr="00347F5B">
          <w:rPr>
            <w:rStyle w:val="Hyperlink"/>
            <w:rFonts w:ascii="Aptos" w:hAnsi="Aptos"/>
          </w:rPr>
          <w:t>Divvy Bikes Chicago</w:t>
        </w:r>
      </w:hyperlink>
      <w:r w:rsidRPr="00347F5B">
        <w:rPr>
          <w:rFonts w:ascii="Aptos" w:hAnsi="Aptos"/>
        </w:rPr>
        <w:t xml:space="preserve">  |  </w:t>
      </w:r>
      <w:hyperlink r:id="rId14" w:history="1">
        <w:proofErr w:type="spellStart"/>
        <w:r w:rsidR="00CE2B03" w:rsidRPr="00347F5B">
          <w:rPr>
            <w:rStyle w:val="Hyperlink"/>
            <w:rFonts w:ascii="Aptos" w:hAnsi="Aptos"/>
          </w:rPr>
          <w:t>Meteostat</w:t>
        </w:r>
        <w:proofErr w:type="spellEnd"/>
        <w:r w:rsidR="00CE2B03" w:rsidRPr="00347F5B">
          <w:rPr>
            <w:rStyle w:val="Hyperlink"/>
            <w:rFonts w:ascii="Aptos" w:hAnsi="Aptos"/>
          </w:rPr>
          <w:t xml:space="preserve"> (weather)</w:t>
        </w:r>
      </w:hyperlink>
      <w:r w:rsidRPr="00347F5B">
        <w:rPr>
          <w:rFonts w:ascii="Aptos" w:hAnsi="Aptos"/>
        </w:rPr>
        <w:t xml:space="preserve"> — meteostat.net</w:t>
      </w:r>
    </w:p>
    <w:p w14:paraId="2CF02E68" w14:textId="3376D48E" w:rsidR="00CE2B03" w:rsidRPr="00347F5B" w:rsidRDefault="00000000">
      <w:pPr>
        <w:spacing w:after="160"/>
        <w:rPr>
          <w:rFonts w:ascii="Aptos" w:hAnsi="Aptos"/>
        </w:rPr>
      </w:pPr>
      <w:r w:rsidRPr="00347F5B">
        <w:rPr>
          <w:rFonts w:ascii="Aptos" w:hAnsi="Aptos"/>
        </w:rPr>
        <w:t xml:space="preserve">Bike-share schemes in cities such as London (Santander Cycles), New York (Citi Bike), and Chicago (Divvy) publish full trip-level records covering start and end stations, timestamps, bike ID, and — in some schemes — rider membership type. These datasets typically run to millions of rows per year, making them well-suited for SQL-based aggregation before further analysis in pandas. </w:t>
      </w:r>
      <w:r w:rsidR="001A6972" w:rsidRPr="00347F5B">
        <w:rPr>
          <w:rFonts w:ascii="Aptos" w:hAnsi="Aptos"/>
        </w:rPr>
        <w:t>You</w:t>
      </w:r>
      <w:r w:rsidRPr="00347F5B">
        <w:rPr>
          <w:rFonts w:ascii="Aptos" w:hAnsi="Aptos"/>
        </w:rPr>
        <w:t xml:space="preserve"> will select one city and download several years of monthly data files, consolidate them into a single database, and begin exploring demand patterns: how rentals vary by hour of day, day of week, season, and station location.</w:t>
      </w:r>
    </w:p>
    <w:p w14:paraId="153120E7" w14:textId="46D91689" w:rsidR="00CE2B03" w:rsidRPr="00347F5B" w:rsidRDefault="00000000">
      <w:pPr>
        <w:spacing w:after="160"/>
        <w:rPr>
          <w:rFonts w:ascii="Aptos" w:hAnsi="Aptos"/>
        </w:rPr>
      </w:pPr>
      <w:r w:rsidRPr="00347F5B">
        <w:rPr>
          <w:rFonts w:ascii="Aptos" w:hAnsi="Aptos"/>
        </w:rPr>
        <w:t xml:space="preserve">A key enrichment step is joining the trip data with historical weather records from the </w:t>
      </w:r>
      <w:proofErr w:type="spellStart"/>
      <w:r w:rsidRPr="00347F5B">
        <w:rPr>
          <w:rFonts w:ascii="Aptos" w:hAnsi="Aptos"/>
        </w:rPr>
        <w:t>Meteostat</w:t>
      </w:r>
      <w:proofErr w:type="spellEnd"/>
      <w:r w:rsidRPr="00347F5B">
        <w:rPr>
          <w:rFonts w:ascii="Aptos" w:hAnsi="Aptos"/>
        </w:rPr>
        <w:t xml:space="preserve"> API or dataset, allowing </w:t>
      </w:r>
      <w:r w:rsidR="001A6972" w:rsidRPr="00347F5B">
        <w:rPr>
          <w:rFonts w:ascii="Aptos" w:hAnsi="Aptos"/>
        </w:rPr>
        <w:t>you</w:t>
      </w:r>
      <w:r w:rsidRPr="00347F5B">
        <w:rPr>
          <w:rFonts w:ascii="Aptos" w:hAnsi="Aptos"/>
        </w:rPr>
        <w:t xml:space="preserve"> to quantify how temperature, rainfall, and wind speed affect ridership. The core modelling task is predicting hourly rental demand at the city or station level — a regression problem well suited to Random Forest or Gradient Boosting, with time-based features (hour, weekday, month), lagged demand, and weather variables as inputs. More advanced groups can frame it as a classification task: predicting whether a given station will run out of bikes (stock-out risk) within the next few hours, directly relevant to rebalancing operations. The </w:t>
      </w:r>
      <w:r w:rsidR="001A6972" w:rsidRPr="00347F5B">
        <w:rPr>
          <w:rFonts w:ascii="Aptos" w:hAnsi="Aptos"/>
        </w:rPr>
        <w:t>Dash</w:t>
      </w:r>
      <w:r w:rsidRPr="00347F5B">
        <w:rPr>
          <w:rFonts w:ascii="Aptos" w:hAnsi="Aptos"/>
        </w:rPr>
        <w:t xml:space="preserve"> dashboard will provide an interactive station map with demand heatmaps, time series exploration by station or area, and a demand forecast panel — mirroring the kind of operational tool a transport authority or bike-share operator would use to plan fleet distribution.</w:t>
      </w:r>
    </w:p>
    <w:p w14:paraId="18C7FE95" w14:textId="77777777" w:rsidR="00CE2B03" w:rsidRPr="00347F5B" w:rsidRDefault="00CE2B03">
      <w:pPr>
        <w:pBdr>
          <w:bottom w:val="single" w:sz="6" w:space="1" w:color="CCCCCC"/>
        </w:pBdr>
        <w:spacing w:after="200"/>
        <w:rPr>
          <w:rFonts w:ascii="Aptos" w:hAnsi="Aptos"/>
        </w:rPr>
      </w:pPr>
    </w:p>
    <w:p w14:paraId="4B7E6A9A" w14:textId="77777777" w:rsidR="00CE2B03" w:rsidRPr="00347F5B" w:rsidRDefault="00000000">
      <w:pPr>
        <w:pStyle w:val="Heading2"/>
        <w:rPr>
          <w:rFonts w:ascii="Aptos" w:hAnsi="Aptos"/>
        </w:rPr>
      </w:pPr>
      <w:r w:rsidRPr="00347F5B">
        <w:rPr>
          <w:rFonts w:ascii="Aptos" w:hAnsi="Aptos"/>
        </w:rPr>
        <w:t>Project 6 — NHS A&amp;E Performance &amp; Waiting Time Analytics</w:t>
      </w:r>
    </w:p>
    <w:p w14:paraId="4BCC72EE" w14:textId="77777777" w:rsidR="00CE2B03" w:rsidRPr="00347F5B" w:rsidRDefault="00000000">
      <w:pPr>
        <w:spacing w:after="80"/>
        <w:rPr>
          <w:rFonts w:ascii="Aptos" w:hAnsi="Aptos"/>
        </w:rPr>
      </w:pPr>
      <w:r w:rsidRPr="00347F5B">
        <w:rPr>
          <w:rFonts w:ascii="Aptos" w:hAnsi="Aptos"/>
          <w:b/>
        </w:rPr>
        <w:t xml:space="preserve">Data sources: </w:t>
      </w:r>
      <w:hyperlink r:id="rId15" w:history="1">
        <w:r w:rsidR="00CE2B03" w:rsidRPr="00347F5B">
          <w:rPr>
            <w:rStyle w:val="Hyperlink"/>
            <w:rFonts w:ascii="Aptos" w:hAnsi="Aptos"/>
          </w:rPr>
          <w:t>NHS England A&amp;E Waiti</w:t>
        </w:r>
        <w:r w:rsidR="00CE2B03" w:rsidRPr="00347F5B">
          <w:rPr>
            <w:rStyle w:val="Hyperlink"/>
            <w:rFonts w:ascii="Aptos" w:hAnsi="Aptos"/>
          </w:rPr>
          <w:t>n</w:t>
        </w:r>
        <w:r w:rsidR="00CE2B03" w:rsidRPr="00347F5B">
          <w:rPr>
            <w:rStyle w:val="Hyperlink"/>
            <w:rFonts w:ascii="Aptos" w:hAnsi="Aptos"/>
          </w:rPr>
          <w:t>g Times &amp; Activity</w:t>
        </w:r>
      </w:hyperlink>
      <w:r w:rsidRPr="00347F5B">
        <w:rPr>
          <w:rFonts w:ascii="Aptos" w:hAnsi="Aptos"/>
        </w:rPr>
        <w:t xml:space="preserve">  |  </w:t>
      </w:r>
      <w:hyperlink r:id="rId16" w:history="1">
        <w:r w:rsidR="00CE2B03" w:rsidRPr="00347F5B">
          <w:rPr>
            <w:rStyle w:val="Hyperlink"/>
            <w:rFonts w:ascii="Aptos" w:hAnsi="Aptos"/>
          </w:rPr>
          <w:t>NHS Workfo</w:t>
        </w:r>
        <w:r w:rsidR="00CE2B03" w:rsidRPr="00347F5B">
          <w:rPr>
            <w:rStyle w:val="Hyperlink"/>
            <w:rFonts w:ascii="Aptos" w:hAnsi="Aptos"/>
          </w:rPr>
          <w:t>r</w:t>
        </w:r>
        <w:r w:rsidR="00CE2B03" w:rsidRPr="00347F5B">
          <w:rPr>
            <w:rStyle w:val="Hyperlink"/>
            <w:rFonts w:ascii="Aptos" w:hAnsi="Aptos"/>
          </w:rPr>
          <w:t>ce Statistics</w:t>
        </w:r>
      </w:hyperlink>
      <w:r w:rsidRPr="00347F5B">
        <w:rPr>
          <w:rFonts w:ascii="Aptos" w:hAnsi="Aptos"/>
        </w:rPr>
        <w:t xml:space="preserve">  |  </w:t>
      </w:r>
      <w:hyperlink r:id="rId17" w:history="1">
        <w:r w:rsidR="00CE2B03" w:rsidRPr="00347F5B">
          <w:rPr>
            <w:rStyle w:val="Hyperlink"/>
            <w:rFonts w:ascii="Aptos" w:hAnsi="Aptos"/>
          </w:rPr>
          <w:t>NHS Bed Availability &amp; Occupancy</w:t>
        </w:r>
      </w:hyperlink>
    </w:p>
    <w:p w14:paraId="7D61FE42" w14:textId="0351CB0C" w:rsidR="00CE2B03" w:rsidRPr="00347F5B" w:rsidRDefault="00000000">
      <w:pPr>
        <w:spacing w:after="160"/>
        <w:rPr>
          <w:rFonts w:ascii="Aptos" w:hAnsi="Aptos"/>
        </w:rPr>
      </w:pPr>
      <w:r w:rsidRPr="00347F5B">
        <w:rPr>
          <w:rFonts w:ascii="Aptos" w:hAnsi="Aptos"/>
        </w:rPr>
        <w:t xml:space="preserve">NHS England publishes monthly A&amp;E attendance and waiting time statistics for every acute trust in England, including total attendances, the number seen within four hours, and admissions. This data is available going back to 2010, making it a rich longitudinal panel with meaningful variation across trusts and over time — spanning periods of relative stability, winter crises, the COVID-19 shock, and the subsequent recovery. Supplementary datasets on workforce headcount and bed occupancy rates allow </w:t>
      </w:r>
      <w:r w:rsidR="00347F5B" w:rsidRPr="00347F5B">
        <w:rPr>
          <w:rFonts w:ascii="Aptos" w:hAnsi="Aptos"/>
        </w:rPr>
        <w:t>us</w:t>
      </w:r>
      <w:r w:rsidRPr="00347F5B">
        <w:rPr>
          <w:rFonts w:ascii="Aptos" w:hAnsi="Aptos"/>
        </w:rPr>
        <w:t xml:space="preserve"> to bring in supply-side variables and explore what structural factors are associated with performance.</w:t>
      </w:r>
    </w:p>
    <w:p w14:paraId="33641619" w14:textId="7BFFCB9A" w:rsidR="00CE2B03" w:rsidRPr="00347F5B" w:rsidRDefault="00000000">
      <w:pPr>
        <w:spacing w:after="160"/>
        <w:rPr>
          <w:rFonts w:ascii="Aptos" w:hAnsi="Aptos"/>
        </w:rPr>
      </w:pPr>
      <w:r w:rsidRPr="00347F5B">
        <w:rPr>
          <w:rFonts w:ascii="Aptos" w:hAnsi="Aptos"/>
        </w:rPr>
        <w:t xml:space="preserve">The data arrives as a series of monthly Excel or CSV releases that </w:t>
      </w:r>
      <w:r w:rsidR="00347F5B" w:rsidRPr="00347F5B">
        <w:rPr>
          <w:rFonts w:ascii="Aptos" w:hAnsi="Aptos"/>
        </w:rPr>
        <w:t>we</w:t>
      </w:r>
      <w:r w:rsidRPr="00347F5B">
        <w:rPr>
          <w:rFonts w:ascii="Aptos" w:hAnsi="Aptos"/>
        </w:rPr>
        <w:t xml:space="preserve"> must download, standardise, and concatenate using pandas — good practice in the messy reality of public sector open data. SQL is then used to build a clean analytical table at the trust-month level, ready for EDA and modelling. Visualisations will explore how the four-hour target compliance rate has evolved nationally and regionally, which trusts consistently under- or over-perform, and how seasonality and COVID disruption appear in the data. The classification task is to predict whether a given trust </w:t>
      </w:r>
      <w:r w:rsidRPr="00347F5B">
        <w:rPr>
          <w:rFonts w:ascii="Aptos" w:hAnsi="Aptos"/>
        </w:rPr>
        <w:lastRenderedPageBreak/>
        <w:t xml:space="preserve">will breach the four-hour target in a future month, based on recent trends, bed occupancy, staffing ratios, and seasonal features. The </w:t>
      </w:r>
      <w:r w:rsidR="001A6972" w:rsidRPr="00347F5B">
        <w:rPr>
          <w:rFonts w:ascii="Aptos" w:hAnsi="Aptos"/>
        </w:rPr>
        <w:t>Dash</w:t>
      </w:r>
      <w:r w:rsidRPr="00347F5B">
        <w:rPr>
          <w:rFonts w:ascii="Aptos" w:hAnsi="Aptos"/>
        </w:rPr>
        <w:t xml:space="preserve"> dashboard will function as a trust-level performance monitor, with England-wide overview charts, a searchable trust comparison table, and a breach-risk indicator — a genuinely useful tool that mirrors what NHS analysts and policymakers </w:t>
      </w:r>
      <w:proofErr w:type="gramStart"/>
      <w:r w:rsidRPr="00347F5B">
        <w:rPr>
          <w:rFonts w:ascii="Aptos" w:hAnsi="Aptos"/>
        </w:rPr>
        <w:t>actually build</w:t>
      </w:r>
      <w:proofErr w:type="gramEnd"/>
      <w:r w:rsidRPr="00347F5B">
        <w:rPr>
          <w:rFonts w:ascii="Aptos" w:hAnsi="Aptos"/>
        </w:rPr>
        <w:t>.</w:t>
      </w:r>
    </w:p>
    <w:p w14:paraId="21B09B1F" w14:textId="77777777" w:rsidR="00CE2B03" w:rsidRPr="00347F5B" w:rsidRDefault="00CE2B03">
      <w:pPr>
        <w:pBdr>
          <w:bottom w:val="single" w:sz="6" w:space="1" w:color="CCCCCC"/>
        </w:pBdr>
        <w:spacing w:after="200"/>
        <w:rPr>
          <w:rFonts w:ascii="Aptos" w:hAnsi="Aptos"/>
        </w:rPr>
      </w:pPr>
    </w:p>
    <w:p w14:paraId="0F3BA62B" w14:textId="77777777" w:rsidR="00CE2B03" w:rsidRPr="00347F5B" w:rsidRDefault="00000000">
      <w:pPr>
        <w:pStyle w:val="Heading2"/>
        <w:rPr>
          <w:rFonts w:ascii="Aptos" w:hAnsi="Aptos"/>
        </w:rPr>
      </w:pPr>
      <w:r w:rsidRPr="00347F5B">
        <w:rPr>
          <w:rFonts w:ascii="Aptos" w:hAnsi="Aptos"/>
        </w:rPr>
        <w:t>Project 7 — Global Food Price Volatility &amp; Food Security</w:t>
      </w:r>
    </w:p>
    <w:p w14:paraId="7E62720B" w14:textId="06BCEB95" w:rsidR="00CE2B03" w:rsidRPr="00347F5B" w:rsidRDefault="00000000">
      <w:pPr>
        <w:spacing w:after="80"/>
        <w:rPr>
          <w:rFonts w:ascii="Aptos" w:hAnsi="Aptos"/>
        </w:rPr>
      </w:pPr>
      <w:r w:rsidRPr="00347F5B">
        <w:rPr>
          <w:rFonts w:ascii="Aptos" w:hAnsi="Aptos"/>
          <w:b/>
        </w:rPr>
        <w:t xml:space="preserve">Data sources: </w:t>
      </w:r>
      <w:hyperlink r:id="rId18" w:history="1">
        <w:r w:rsidR="00347F5B" w:rsidRPr="00347F5B">
          <w:rPr>
            <w:rStyle w:val="Hyperlink"/>
            <w:rFonts w:ascii="Aptos" w:hAnsi="Aptos"/>
          </w:rPr>
          <w:t>https://www.fao.org/worldfoodsituation/foodpricesindex/en</w:t>
        </w:r>
      </w:hyperlink>
      <w:r w:rsidR="00347F5B" w:rsidRPr="00347F5B">
        <w:rPr>
          <w:rFonts w:ascii="Aptos" w:hAnsi="Aptos"/>
        </w:rPr>
        <w:t xml:space="preserve">  </w:t>
      </w:r>
      <w:r w:rsidRPr="00347F5B">
        <w:rPr>
          <w:rFonts w:ascii="Aptos" w:hAnsi="Aptos"/>
        </w:rPr>
        <w:t xml:space="preserve">  |  </w:t>
      </w:r>
      <w:hyperlink r:id="rId19" w:history="1">
        <w:r w:rsidR="00CE2B03" w:rsidRPr="00347F5B">
          <w:rPr>
            <w:rStyle w:val="Hyperlink"/>
            <w:rFonts w:ascii="Aptos" w:hAnsi="Aptos"/>
          </w:rPr>
          <w:t>World Bank Food Production Index</w:t>
        </w:r>
      </w:hyperlink>
      <w:r w:rsidRPr="00347F5B">
        <w:rPr>
          <w:rFonts w:ascii="Aptos" w:hAnsi="Aptos"/>
        </w:rPr>
        <w:t xml:space="preserve">  |  </w:t>
      </w:r>
      <w:hyperlink r:id="rId20" w:history="1">
        <w:r w:rsidR="00CE2B03" w:rsidRPr="00347F5B">
          <w:rPr>
            <w:rStyle w:val="Hyperlink"/>
            <w:rFonts w:ascii="Aptos" w:hAnsi="Aptos"/>
          </w:rPr>
          <w:t>Our World in Data — Food Prices</w:t>
        </w:r>
      </w:hyperlink>
      <w:r w:rsidRPr="00347F5B">
        <w:rPr>
          <w:rFonts w:ascii="Aptos" w:hAnsi="Aptos"/>
        </w:rPr>
        <w:t xml:space="preserve">  |  </w:t>
      </w:r>
      <w:hyperlink r:id="rId21" w:history="1">
        <w:r w:rsidR="00CE2B03" w:rsidRPr="00347F5B">
          <w:rPr>
            <w:rStyle w:val="Hyperlink"/>
            <w:rFonts w:ascii="Aptos" w:hAnsi="Aptos"/>
          </w:rPr>
          <w:t>World Bank — Prevalence of Undernourishment</w:t>
        </w:r>
      </w:hyperlink>
    </w:p>
    <w:p w14:paraId="21BE1991" w14:textId="18A66E2D" w:rsidR="00CE2B03" w:rsidRPr="00347F5B" w:rsidRDefault="00000000">
      <w:pPr>
        <w:spacing w:after="160"/>
        <w:rPr>
          <w:rFonts w:ascii="Aptos" w:hAnsi="Aptos"/>
        </w:rPr>
      </w:pPr>
      <w:r w:rsidRPr="00347F5B">
        <w:rPr>
          <w:rFonts w:ascii="Aptos" w:hAnsi="Aptos"/>
        </w:rPr>
        <w:t xml:space="preserve">The UN Food and Agriculture Organisation (FAO) </w:t>
      </w:r>
      <w:proofErr w:type="gramStart"/>
      <w:r w:rsidRPr="00347F5B">
        <w:rPr>
          <w:rFonts w:ascii="Aptos" w:hAnsi="Aptos"/>
        </w:rPr>
        <w:t>publishes</w:t>
      </w:r>
      <w:proofErr w:type="gramEnd"/>
      <w:r w:rsidRPr="00347F5B">
        <w:rPr>
          <w:rFonts w:ascii="Aptos" w:hAnsi="Aptos"/>
        </w:rPr>
        <w:t xml:space="preserve"> a monthly Food Price Index tracking the international prices of five commodity groups — cereals, vegetable oils, dairy, meat, and sugar — going back to 1990. This can be enriched with World Bank country-level data on food production indices, GDP per capita, trade openness, and the prevalence of undernourishment, constructing a panel dataset that links global commodity price shocks to food security outcomes across low-, middle-, and high-income countries. The dataset combination is particularly timely given the price spikes triggered by the COVID-19 pandemic and the war in Ukraine, both of which are clearly visible in the series and give real analytical events to investigate.</w:t>
      </w:r>
    </w:p>
    <w:p w14:paraId="14E79609" w14:textId="79CB6882" w:rsidR="00CE2B03" w:rsidRPr="00347F5B" w:rsidRDefault="00347F5B">
      <w:pPr>
        <w:spacing w:after="160"/>
        <w:rPr>
          <w:rFonts w:ascii="Aptos" w:hAnsi="Aptos"/>
        </w:rPr>
      </w:pPr>
      <w:r w:rsidRPr="00347F5B">
        <w:rPr>
          <w:rFonts w:ascii="Aptos" w:hAnsi="Aptos"/>
        </w:rPr>
        <w:t>You</w:t>
      </w:r>
      <w:r w:rsidR="00000000" w:rsidRPr="00347F5B">
        <w:rPr>
          <w:rFonts w:ascii="Aptos" w:hAnsi="Aptos"/>
        </w:rPr>
        <w:t xml:space="preserve"> will download, merge, and reshape the datasets using pandas, with SQL used to query the resulting panel for regional aggregations and cross-country comparisons. Exploratory analysis will include time series decomposition to identify trend and cyclical components in food price indices, rolling volatility calculations, and scatter plots linking price spikes to undernourishment rates across country income groups. The modelling task can take several directions: forecasting the next month’s FAO index using lagged price features and macroeconomic indicators (a regression or ARIMA benchmark</w:t>
      </w:r>
      <w:proofErr w:type="gramStart"/>
      <w:r w:rsidR="00000000" w:rsidRPr="00347F5B">
        <w:rPr>
          <w:rFonts w:ascii="Aptos" w:hAnsi="Aptos"/>
        </w:rPr>
        <w:t>), or</w:t>
      </w:r>
      <w:proofErr w:type="gramEnd"/>
      <w:r w:rsidR="00000000" w:rsidRPr="00347F5B">
        <w:rPr>
          <w:rFonts w:ascii="Aptos" w:hAnsi="Aptos"/>
        </w:rPr>
        <w:t xml:space="preserve"> classifying whether a country is at elevated food insecurity risk given recent price movements and structural characteristics. The </w:t>
      </w:r>
      <w:r w:rsidR="001A6972" w:rsidRPr="00347F5B">
        <w:rPr>
          <w:rFonts w:ascii="Aptos" w:hAnsi="Aptos"/>
        </w:rPr>
        <w:t>Dash</w:t>
      </w:r>
      <w:r w:rsidR="00000000" w:rsidRPr="00347F5B">
        <w:rPr>
          <w:rFonts w:ascii="Aptos" w:hAnsi="Aptos"/>
        </w:rPr>
        <w:t xml:space="preserve"> dashboard will offer an interactive timeline of commodity price indices with annotated shock events, a country-level food security explorer with map and chart views, and a risk classification panel — making it a compelling, policy-relevant deliverable that communicates complex global dynamics to a non-specialist audience.</w:t>
      </w:r>
    </w:p>
    <w:p w14:paraId="1373A041" w14:textId="77777777" w:rsidR="00CE2B03" w:rsidRPr="00347F5B" w:rsidRDefault="00CE2B03">
      <w:pPr>
        <w:pBdr>
          <w:bottom w:val="single" w:sz="6" w:space="1" w:color="CCCCCC"/>
        </w:pBdr>
        <w:spacing w:after="200"/>
        <w:rPr>
          <w:rFonts w:ascii="Aptos" w:hAnsi="Aptos"/>
        </w:rPr>
      </w:pPr>
    </w:p>
    <w:p w14:paraId="55D78DF1" w14:textId="77777777" w:rsidR="00CE2B03" w:rsidRPr="00347F5B" w:rsidRDefault="00000000">
      <w:pPr>
        <w:pStyle w:val="Heading2"/>
        <w:rPr>
          <w:rFonts w:ascii="Aptos" w:hAnsi="Aptos"/>
        </w:rPr>
      </w:pPr>
      <w:r w:rsidRPr="00347F5B">
        <w:rPr>
          <w:rFonts w:ascii="Aptos" w:hAnsi="Aptos"/>
        </w:rPr>
        <w:t xml:space="preserve">Project 8 — Momentum Investing Strategy Builder &amp; </w:t>
      </w:r>
      <w:proofErr w:type="spellStart"/>
      <w:r w:rsidRPr="00347F5B">
        <w:rPr>
          <w:rFonts w:ascii="Aptos" w:hAnsi="Aptos"/>
        </w:rPr>
        <w:t>Backtester</w:t>
      </w:r>
      <w:proofErr w:type="spellEnd"/>
    </w:p>
    <w:p w14:paraId="496D3675" w14:textId="77777777" w:rsidR="00CE2B03" w:rsidRPr="00347F5B" w:rsidRDefault="00000000">
      <w:pPr>
        <w:spacing w:after="80"/>
        <w:rPr>
          <w:rFonts w:ascii="Aptos" w:hAnsi="Aptos"/>
        </w:rPr>
      </w:pPr>
      <w:r w:rsidRPr="00347F5B">
        <w:rPr>
          <w:rFonts w:ascii="Aptos" w:hAnsi="Aptos"/>
          <w:b/>
        </w:rPr>
        <w:t xml:space="preserve">Data sources &amp; libraries: </w:t>
      </w:r>
      <w:hyperlink r:id="rId22" w:history="1">
        <w:proofErr w:type="spellStart"/>
        <w:r w:rsidR="00CE2B03" w:rsidRPr="00347F5B">
          <w:rPr>
            <w:rStyle w:val="Hyperlink"/>
            <w:rFonts w:ascii="Aptos" w:hAnsi="Aptos"/>
          </w:rPr>
          <w:t>yfinance</w:t>
        </w:r>
        <w:proofErr w:type="spellEnd"/>
      </w:hyperlink>
      <w:r w:rsidRPr="00347F5B">
        <w:rPr>
          <w:rFonts w:ascii="Aptos" w:hAnsi="Aptos"/>
        </w:rPr>
        <w:t xml:space="preserve"> (Yahoo Finance price data)  |  </w:t>
      </w:r>
      <w:hyperlink r:id="rId23" w:history="1">
        <w:r w:rsidR="00CE2B03" w:rsidRPr="00347F5B">
          <w:rPr>
            <w:rStyle w:val="Hyperlink"/>
            <w:rFonts w:ascii="Aptos" w:hAnsi="Aptos"/>
          </w:rPr>
          <w:t>Kenneth French D</w:t>
        </w:r>
        <w:r w:rsidR="00CE2B03" w:rsidRPr="00347F5B">
          <w:rPr>
            <w:rStyle w:val="Hyperlink"/>
            <w:rFonts w:ascii="Aptos" w:hAnsi="Aptos"/>
          </w:rPr>
          <w:t>a</w:t>
        </w:r>
        <w:r w:rsidR="00CE2B03" w:rsidRPr="00347F5B">
          <w:rPr>
            <w:rStyle w:val="Hyperlink"/>
            <w:rFonts w:ascii="Aptos" w:hAnsi="Aptos"/>
          </w:rPr>
          <w:t>ta Library</w:t>
        </w:r>
      </w:hyperlink>
      <w:r w:rsidRPr="00347F5B">
        <w:rPr>
          <w:rFonts w:ascii="Aptos" w:hAnsi="Aptos"/>
        </w:rPr>
        <w:t xml:space="preserve"> (factor benchmarks)  |  </w:t>
      </w:r>
      <w:hyperlink r:id="rId24" w:history="1">
        <w:r w:rsidR="00CE2B03" w:rsidRPr="00347F5B">
          <w:rPr>
            <w:rStyle w:val="Hyperlink"/>
            <w:rFonts w:ascii="Aptos" w:hAnsi="Aptos"/>
          </w:rPr>
          <w:t>pan</w:t>
        </w:r>
        <w:r w:rsidR="00CE2B03" w:rsidRPr="00347F5B">
          <w:rPr>
            <w:rStyle w:val="Hyperlink"/>
            <w:rFonts w:ascii="Aptos" w:hAnsi="Aptos"/>
          </w:rPr>
          <w:t>d</w:t>
        </w:r>
        <w:r w:rsidR="00CE2B03" w:rsidRPr="00347F5B">
          <w:rPr>
            <w:rStyle w:val="Hyperlink"/>
            <w:rFonts w:ascii="Aptos" w:hAnsi="Aptos"/>
          </w:rPr>
          <w:t>as-ta</w:t>
        </w:r>
      </w:hyperlink>
      <w:r w:rsidRPr="00347F5B">
        <w:rPr>
          <w:rFonts w:ascii="Aptos" w:hAnsi="Aptos"/>
        </w:rPr>
        <w:t xml:space="preserve"> (technical indicators)  |  </w:t>
      </w:r>
      <w:hyperlink r:id="rId25" w:history="1">
        <w:proofErr w:type="spellStart"/>
        <w:r w:rsidR="00CE2B03" w:rsidRPr="00347F5B">
          <w:rPr>
            <w:rStyle w:val="Hyperlink"/>
            <w:rFonts w:ascii="Aptos" w:hAnsi="Aptos"/>
          </w:rPr>
          <w:t>QuantStats</w:t>
        </w:r>
        <w:proofErr w:type="spellEnd"/>
      </w:hyperlink>
      <w:r w:rsidRPr="00347F5B">
        <w:rPr>
          <w:rFonts w:ascii="Aptos" w:hAnsi="Aptos"/>
        </w:rPr>
        <w:t xml:space="preserve"> (portfolio analytics)</w:t>
      </w:r>
    </w:p>
    <w:p w14:paraId="7DCF1385" w14:textId="734CB2EB" w:rsidR="00CE2B03" w:rsidRPr="00347F5B" w:rsidRDefault="00000000">
      <w:pPr>
        <w:spacing w:after="160"/>
        <w:rPr>
          <w:rFonts w:ascii="Aptos" w:hAnsi="Aptos"/>
        </w:rPr>
      </w:pPr>
      <w:r w:rsidRPr="00347F5B">
        <w:rPr>
          <w:rFonts w:ascii="Aptos" w:hAnsi="Aptos"/>
        </w:rPr>
        <w:t xml:space="preserve">Momentum investing — the observation that assets that have performed well over recent months tend to continue outperforming in the near term — is one of the most robust and well-documented anomalies in empirical finance. This project challenges </w:t>
      </w:r>
      <w:r w:rsidR="00347F5B" w:rsidRPr="00347F5B">
        <w:rPr>
          <w:rFonts w:ascii="Aptos" w:hAnsi="Aptos"/>
        </w:rPr>
        <w:t>us</w:t>
      </w:r>
      <w:r w:rsidRPr="00347F5B">
        <w:rPr>
          <w:rFonts w:ascii="Aptos" w:hAnsi="Aptos"/>
        </w:rPr>
        <w:t xml:space="preserve"> to move beyond passive data description and build an end-to-end quantitative strategy pipeline. Using the </w:t>
      </w:r>
      <w:proofErr w:type="spellStart"/>
      <w:r w:rsidRPr="00347F5B">
        <w:rPr>
          <w:rFonts w:ascii="Aptos" w:hAnsi="Aptos"/>
        </w:rPr>
        <w:t>yfinance</w:t>
      </w:r>
      <w:proofErr w:type="spellEnd"/>
      <w:r w:rsidRPr="00347F5B">
        <w:rPr>
          <w:rFonts w:ascii="Aptos" w:hAnsi="Aptos"/>
        </w:rPr>
        <w:t xml:space="preserve"> library, </w:t>
      </w:r>
      <w:r w:rsidR="00347F5B" w:rsidRPr="00347F5B">
        <w:rPr>
          <w:rFonts w:ascii="Aptos" w:hAnsi="Aptos"/>
        </w:rPr>
        <w:t>you</w:t>
      </w:r>
      <w:r w:rsidRPr="00347F5B">
        <w:rPr>
          <w:rFonts w:ascii="Aptos" w:hAnsi="Aptos"/>
        </w:rPr>
        <w:t xml:space="preserve"> will download daily adjusted closing prices for a large universe of stocks (e.g. S&amp;P 500 or </w:t>
      </w:r>
      <w:r w:rsidR="00347F5B" w:rsidRPr="00347F5B">
        <w:rPr>
          <w:rFonts w:ascii="Aptos" w:hAnsi="Aptos"/>
        </w:rPr>
        <w:t>Rusell 1000</w:t>
      </w:r>
      <w:r w:rsidRPr="00347F5B">
        <w:rPr>
          <w:rFonts w:ascii="Aptos" w:hAnsi="Aptos"/>
        </w:rPr>
        <w:t xml:space="preserve"> constituents) going back ten or more years, storing the data in a local SQL database and managing it with pandas. They will then implement multiple momentum signal definitions: the classic </w:t>
      </w:r>
      <w:proofErr w:type="gramStart"/>
      <w:r w:rsidRPr="00347F5B">
        <w:rPr>
          <w:rFonts w:ascii="Aptos" w:hAnsi="Aptos"/>
        </w:rPr>
        <w:t>12-1 month</w:t>
      </w:r>
      <w:proofErr w:type="gramEnd"/>
      <w:r w:rsidRPr="00347F5B">
        <w:rPr>
          <w:rFonts w:ascii="Aptos" w:hAnsi="Aptos"/>
        </w:rPr>
        <w:t xml:space="preserve"> return (total return over the past year excluding the most recent month), shorter-term signals such as </w:t>
      </w:r>
      <w:proofErr w:type="gramStart"/>
      <w:r w:rsidRPr="00347F5B">
        <w:rPr>
          <w:rFonts w:ascii="Aptos" w:hAnsi="Aptos"/>
        </w:rPr>
        <w:t>3-1 and 6-1 month</w:t>
      </w:r>
      <w:proofErr w:type="gramEnd"/>
      <w:r w:rsidRPr="00347F5B">
        <w:rPr>
          <w:rFonts w:ascii="Aptos" w:hAnsi="Aptos"/>
        </w:rPr>
        <w:t xml:space="preserve"> variants, and technical indicators such as moving average crossovers and relative strength index (RSI) computed via the pandas-ta library. The </w:t>
      </w:r>
      <w:r w:rsidRPr="00347F5B">
        <w:rPr>
          <w:rFonts w:ascii="Aptos" w:hAnsi="Aptos"/>
        </w:rPr>
        <w:lastRenderedPageBreak/>
        <w:t>Kenneth French Data Library provides Fama-French factor returns as a clean benchmark for risk-adjusting results.</w:t>
      </w:r>
    </w:p>
    <w:p w14:paraId="0C2CE089" w14:textId="05AE27C3" w:rsidR="00CE2B03" w:rsidRPr="00347F5B" w:rsidRDefault="00000000">
      <w:pPr>
        <w:spacing w:after="160"/>
        <w:rPr>
          <w:rFonts w:ascii="Aptos" w:hAnsi="Aptos"/>
        </w:rPr>
      </w:pPr>
      <w:r w:rsidRPr="00347F5B">
        <w:rPr>
          <w:rFonts w:ascii="Aptos" w:hAnsi="Aptos"/>
        </w:rPr>
        <w:t xml:space="preserve">The core deliverable is a walk-forward </w:t>
      </w:r>
      <w:proofErr w:type="spellStart"/>
      <w:r w:rsidRPr="00347F5B">
        <w:rPr>
          <w:rFonts w:ascii="Aptos" w:hAnsi="Aptos"/>
        </w:rPr>
        <w:t>backtesting</w:t>
      </w:r>
      <w:proofErr w:type="spellEnd"/>
      <w:r w:rsidRPr="00347F5B">
        <w:rPr>
          <w:rFonts w:ascii="Aptos" w:hAnsi="Aptos"/>
        </w:rPr>
        <w:t xml:space="preserve"> engine written in pandas: each month, stocks are ranked by their momentum signal, the top and bottom deciles are selected as the long and short portfolios respectively, and equal-weighted returns are computed for the following month. Transaction costs (a fixed basis-point spread per trade) are deducted to produce realistic net returns. </w:t>
      </w:r>
      <w:r w:rsidR="00347F5B" w:rsidRPr="00347F5B">
        <w:rPr>
          <w:rFonts w:ascii="Aptos" w:hAnsi="Aptos"/>
        </w:rPr>
        <w:t>You</w:t>
      </w:r>
      <w:r w:rsidRPr="00347F5B">
        <w:rPr>
          <w:rFonts w:ascii="Aptos" w:hAnsi="Aptos"/>
        </w:rPr>
        <w:t xml:space="preserve"> will evaluate strategies using standard performance metrics — annualised return, Sharpe ratio, maximum drawdown, and Calmar ratio — and visualise cumulative return curves, rolling Sharpe ratios, and drawdown profiles using seaborn and </w:t>
      </w:r>
      <w:proofErr w:type="spellStart"/>
      <w:r w:rsidRPr="00347F5B">
        <w:rPr>
          <w:rFonts w:ascii="Aptos" w:hAnsi="Aptos"/>
        </w:rPr>
        <w:t>Plotly</w:t>
      </w:r>
      <w:proofErr w:type="spellEnd"/>
      <w:r w:rsidRPr="00347F5B">
        <w:rPr>
          <w:rFonts w:ascii="Aptos" w:hAnsi="Aptos"/>
        </w:rPr>
        <w:t xml:space="preserve">. A classification model (e.g. Random Forest) can be layered on top to predict whether a stock will land in the top momentum decile next month, using signal strength, volatility, and sector features as inputs. The </w:t>
      </w:r>
      <w:r w:rsidR="001A6972" w:rsidRPr="00347F5B">
        <w:rPr>
          <w:rFonts w:ascii="Aptos" w:hAnsi="Aptos"/>
        </w:rPr>
        <w:t>Dash</w:t>
      </w:r>
      <w:r w:rsidRPr="00347F5B">
        <w:rPr>
          <w:rFonts w:ascii="Aptos" w:hAnsi="Aptos"/>
        </w:rPr>
        <w:t xml:space="preserve"> dashboard is where the project truly comes alive: users will be able to select a signal definition, lookback window, rebalancing frequency, and transaction cost assumption, trigger a </w:t>
      </w:r>
      <w:proofErr w:type="spellStart"/>
      <w:r w:rsidRPr="00347F5B">
        <w:rPr>
          <w:rFonts w:ascii="Aptos" w:hAnsi="Aptos"/>
        </w:rPr>
        <w:t>backtest</w:t>
      </w:r>
      <w:proofErr w:type="spellEnd"/>
      <w:r w:rsidRPr="00347F5B">
        <w:rPr>
          <w:rFonts w:ascii="Aptos" w:hAnsi="Aptos"/>
        </w:rPr>
        <w:t>, and instantly see updated performance charts, a current stock screener ranked by momentum score, and a comparison against a buy-and-hold S&amp;P 500 benchmark — delivering a genuinely interactive quantitative investing tool.</w:t>
      </w:r>
    </w:p>
    <w:p w14:paraId="30AEADFB" w14:textId="77777777" w:rsidR="00CE2B03" w:rsidRPr="00347F5B" w:rsidRDefault="00CE2B03">
      <w:pPr>
        <w:pBdr>
          <w:bottom w:val="single" w:sz="6" w:space="1" w:color="CCCCCC"/>
        </w:pBdr>
        <w:spacing w:after="200"/>
        <w:rPr>
          <w:rFonts w:ascii="Aptos" w:hAnsi="Aptos"/>
        </w:rPr>
      </w:pPr>
    </w:p>
    <w:p w14:paraId="3855313A" w14:textId="77777777" w:rsidR="00CE2B03" w:rsidRPr="00347F5B" w:rsidRDefault="00000000">
      <w:pPr>
        <w:pStyle w:val="Heading2"/>
        <w:rPr>
          <w:rFonts w:ascii="Aptos" w:hAnsi="Aptos"/>
        </w:rPr>
      </w:pPr>
      <w:r w:rsidRPr="00347F5B">
        <w:rPr>
          <w:rFonts w:ascii="Aptos" w:hAnsi="Aptos"/>
        </w:rPr>
        <w:t>Project 9 — Consumer Credit Risk &amp; Loan Default Prediction</w:t>
      </w:r>
    </w:p>
    <w:p w14:paraId="374E5D01" w14:textId="54256D1F" w:rsidR="00CE2B03" w:rsidRPr="00347F5B" w:rsidRDefault="00000000">
      <w:pPr>
        <w:spacing w:after="80"/>
        <w:rPr>
          <w:rFonts w:ascii="Aptos" w:hAnsi="Aptos"/>
        </w:rPr>
      </w:pPr>
      <w:r w:rsidRPr="00347F5B">
        <w:rPr>
          <w:rFonts w:ascii="Aptos" w:hAnsi="Aptos"/>
          <w:b/>
        </w:rPr>
        <w:t xml:space="preserve">Data sources: </w:t>
      </w:r>
      <w:hyperlink r:id="rId26" w:history="1">
        <w:r w:rsidR="00CE2B03" w:rsidRPr="00347F5B">
          <w:rPr>
            <w:rStyle w:val="Hyperlink"/>
            <w:rFonts w:ascii="Aptos" w:hAnsi="Aptos"/>
          </w:rPr>
          <w:t>Lending Club Loan D</w:t>
        </w:r>
        <w:r w:rsidR="00CE2B03" w:rsidRPr="00347F5B">
          <w:rPr>
            <w:rStyle w:val="Hyperlink"/>
            <w:rFonts w:ascii="Aptos" w:hAnsi="Aptos"/>
          </w:rPr>
          <w:t>a</w:t>
        </w:r>
        <w:r w:rsidR="00CE2B03" w:rsidRPr="00347F5B">
          <w:rPr>
            <w:rStyle w:val="Hyperlink"/>
            <w:rFonts w:ascii="Aptos" w:hAnsi="Aptos"/>
          </w:rPr>
          <w:t>ta (Kaggle)</w:t>
        </w:r>
      </w:hyperlink>
      <w:r w:rsidRPr="00347F5B">
        <w:rPr>
          <w:rFonts w:ascii="Aptos" w:hAnsi="Aptos"/>
        </w:rPr>
        <w:t xml:space="preserve">  |</w:t>
      </w:r>
      <w:r w:rsidR="00347F5B" w:rsidRPr="00347F5B">
        <w:rPr>
          <w:rFonts w:ascii="Aptos" w:hAnsi="Aptos"/>
        </w:rPr>
        <w:t xml:space="preserve"> </w:t>
      </w:r>
    </w:p>
    <w:p w14:paraId="5452CE85" w14:textId="3AD82BF5" w:rsidR="00CE2B03" w:rsidRPr="00347F5B" w:rsidRDefault="00000000">
      <w:pPr>
        <w:spacing w:after="160"/>
        <w:rPr>
          <w:rFonts w:ascii="Aptos" w:hAnsi="Aptos"/>
        </w:rPr>
      </w:pPr>
      <w:r w:rsidRPr="00347F5B">
        <w:rPr>
          <w:rFonts w:ascii="Aptos" w:hAnsi="Aptos"/>
        </w:rPr>
        <w:t xml:space="preserve">Credit risk modelling — estimating the probability that a borrower will default on a loan — sits at the heart of retail banking and consumer lending. This project uses one of several rich, publicly available loan datasets to build a realistic end-to-end credit scoring pipeline. The Lending Club dataset on Kaggle contains over two million issued loans with detailed applicant characteristics (income, employment length, debt-to-income ratio, credit grade, home ownership), loan terms (amount, interest rate, purpose), and outcome labels (fully paid, charged off, or defaulted). </w:t>
      </w:r>
      <w:r w:rsidR="00347F5B" w:rsidRPr="00347F5B">
        <w:rPr>
          <w:rFonts w:ascii="Aptos" w:hAnsi="Aptos"/>
        </w:rPr>
        <w:t>We</w:t>
      </w:r>
      <w:r w:rsidRPr="00347F5B">
        <w:rPr>
          <w:rFonts w:ascii="Aptos" w:hAnsi="Aptos"/>
        </w:rPr>
        <w:t xml:space="preserve"> will use SQL to explore the data at scale and pandas for feature engineering — computing derived variables such as instalment-to-income ratio, utilisation rates, and delinquency flags.</w:t>
      </w:r>
    </w:p>
    <w:p w14:paraId="23365646" w14:textId="3FC25511" w:rsidR="00347F5B" w:rsidRPr="00347F5B" w:rsidRDefault="00000000">
      <w:pPr>
        <w:spacing w:after="160"/>
        <w:rPr>
          <w:rFonts w:ascii="Aptos" w:hAnsi="Aptos"/>
        </w:rPr>
      </w:pPr>
      <w:r w:rsidRPr="00347F5B">
        <w:rPr>
          <w:rFonts w:ascii="Aptos" w:hAnsi="Aptos"/>
        </w:rPr>
        <w:t xml:space="preserve">The class imbalance between defaulted and performing loans is a key modelling challenge, giving </w:t>
      </w:r>
      <w:r w:rsidR="00347F5B" w:rsidRPr="00347F5B">
        <w:rPr>
          <w:rFonts w:ascii="Aptos" w:hAnsi="Aptos"/>
        </w:rPr>
        <w:t>us</w:t>
      </w:r>
      <w:r w:rsidRPr="00347F5B">
        <w:rPr>
          <w:rFonts w:ascii="Aptos" w:hAnsi="Aptos"/>
        </w:rPr>
        <w:t xml:space="preserve"> hands-on experience with techniques such as class weighting and threshold tuning. </w:t>
      </w:r>
      <w:r w:rsidR="00347F5B" w:rsidRPr="00347F5B">
        <w:rPr>
          <w:rFonts w:ascii="Aptos" w:hAnsi="Aptos"/>
        </w:rPr>
        <w:t>You</w:t>
      </w:r>
      <w:r w:rsidRPr="00347F5B">
        <w:rPr>
          <w:rFonts w:ascii="Aptos" w:hAnsi="Aptos"/>
        </w:rPr>
        <w:t xml:space="preserve"> will train and compare several classifiers — Logistic Regression as a transparent baseline (mirroring industry practice), Random Forest, and Gradient Boosting — evaluating them using the AUC-ROC curve, precision-recall trade-offs, and the Gini coefficient commonly used in credit scoring. Seaborn visualisations will cover default rate distributions by loan grade, income band, and purpose, as well as feature importance charts and confusion matrices at different decision thresholds. The </w:t>
      </w:r>
      <w:r w:rsidR="001A6972" w:rsidRPr="00347F5B">
        <w:rPr>
          <w:rFonts w:ascii="Aptos" w:hAnsi="Aptos"/>
        </w:rPr>
        <w:t>Dash</w:t>
      </w:r>
      <w:r w:rsidRPr="00347F5B">
        <w:rPr>
          <w:rFonts w:ascii="Aptos" w:hAnsi="Aptos"/>
        </w:rPr>
        <w:t xml:space="preserve"> dashboard will function as a credit analyst’s decision-support tool: users can input a hypothetical borrower’s characteristics, receive a predicted default probability and risk tier, see where that applicant sits in the historical distribution, and explore how changing the decision threshold affects approval rates and expected losses — making the business trade-off between risk and revenue immediately tangible.</w:t>
      </w:r>
    </w:p>
    <w:p w14:paraId="77656FF8" w14:textId="77777777" w:rsidR="00347F5B" w:rsidRPr="00347F5B" w:rsidRDefault="00347F5B" w:rsidP="00347F5B">
      <w:pPr>
        <w:pBdr>
          <w:bottom w:val="single" w:sz="6" w:space="1" w:color="CCCCCC"/>
        </w:pBdr>
        <w:spacing w:after="200"/>
        <w:rPr>
          <w:rFonts w:ascii="Aptos" w:hAnsi="Aptos"/>
        </w:rPr>
      </w:pPr>
    </w:p>
    <w:p w14:paraId="52A3F7C7" w14:textId="67809606" w:rsidR="00347F5B" w:rsidRPr="00347F5B" w:rsidRDefault="00347F5B" w:rsidP="00347F5B">
      <w:pPr>
        <w:pStyle w:val="Heading2"/>
        <w:rPr>
          <w:rFonts w:ascii="Aptos" w:hAnsi="Aptos"/>
          <w:sz w:val="28"/>
          <w:szCs w:val="28"/>
        </w:rPr>
      </w:pPr>
      <w:r w:rsidRPr="00347F5B">
        <w:rPr>
          <w:rFonts w:ascii="Aptos" w:hAnsi="Aptos"/>
          <w:sz w:val="28"/>
          <w:szCs w:val="28"/>
        </w:rPr>
        <w:t xml:space="preserve">Project </w:t>
      </w:r>
      <w:r w:rsidRPr="00347F5B">
        <w:rPr>
          <w:rFonts w:ascii="Aptos" w:hAnsi="Aptos"/>
          <w:sz w:val="28"/>
          <w:szCs w:val="28"/>
        </w:rPr>
        <w:t xml:space="preserve">10 </w:t>
      </w:r>
      <w:r w:rsidRPr="00347F5B">
        <w:rPr>
          <w:rFonts w:ascii="Aptos" w:hAnsi="Aptos"/>
          <w:sz w:val="28"/>
          <w:szCs w:val="28"/>
        </w:rPr>
        <w:t xml:space="preserve">— </w:t>
      </w:r>
      <w:r w:rsidRPr="00347F5B">
        <w:rPr>
          <w:rFonts w:ascii="Aptos" w:hAnsi="Aptos"/>
          <w:sz w:val="28"/>
          <w:szCs w:val="28"/>
        </w:rPr>
        <w:t>Your idea!</w:t>
      </w:r>
    </w:p>
    <w:sectPr w:rsidR="00347F5B" w:rsidRPr="00347F5B" w:rsidSect="00347F5B">
      <w:pgSz w:w="12240" w:h="15840"/>
      <w:pgMar w:top="1440" w:right="1440" w:bottom="98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56972"/>
    <w:multiLevelType w:val="hybridMultilevel"/>
    <w:tmpl w:val="D05850A0"/>
    <w:lvl w:ilvl="0" w:tplc="6DD4F030">
      <w:start w:val="1"/>
      <w:numFmt w:val="bullet"/>
      <w:lvlText w:val="●"/>
      <w:lvlJc w:val="left"/>
      <w:pPr>
        <w:ind w:left="720" w:hanging="360"/>
      </w:pPr>
    </w:lvl>
    <w:lvl w:ilvl="1" w:tplc="16A8761C">
      <w:start w:val="1"/>
      <w:numFmt w:val="bullet"/>
      <w:lvlText w:val="○"/>
      <w:lvlJc w:val="left"/>
      <w:pPr>
        <w:ind w:left="1440" w:hanging="360"/>
      </w:pPr>
    </w:lvl>
    <w:lvl w:ilvl="2" w:tplc="90CC493A">
      <w:start w:val="1"/>
      <w:numFmt w:val="bullet"/>
      <w:lvlText w:val="■"/>
      <w:lvlJc w:val="left"/>
      <w:pPr>
        <w:ind w:left="2160" w:hanging="360"/>
      </w:pPr>
    </w:lvl>
    <w:lvl w:ilvl="3" w:tplc="AE987E0A">
      <w:start w:val="1"/>
      <w:numFmt w:val="bullet"/>
      <w:lvlText w:val="●"/>
      <w:lvlJc w:val="left"/>
      <w:pPr>
        <w:ind w:left="2880" w:hanging="360"/>
      </w:pPr>
    </w:lvl>
    <w:lvl w:ilvl="4" w:tplc="C060B128">
      <w:start w:val="1"/>
      <w:numFmt w:val="bullet"/>
      <w:lvlText w:val="○"/>
      <w:lvlJc w:val="left"/>
      <w:pPr>
        <w:ind w:left="3600" w:hanging="360"/>
      </w:pPr>
    </w:lvl>
    <w:lvl w:ilvl="5" w:tplc="DA907390">
      <w:start w:val="1"/>
      <w:numFmt w:val="bullet"/>
      <w:lvlText w:val="■"/>
      <w:lvlJc w:val="left"/>
      <w:pPr>
        <w:ind w:left="4320" w:hanging="360"/>
      </w:pPr>
    </w:lvl>
    <w:lvl w:ilvl="6" w:tplc="CF00BB6C">
      <w:start w:val="1"/>
      <w:numFmt w:val="bullet"/>
      <w:lvlText w:val="●"/>
      <w:lvlJc w:val="left"/>
      <w:pPr>
        <w:ind w:left="5040" w:hanging="360"/>
      </w:pPr>
    </w:lvl>
    <w:lvl w:ilvl="7" w:tplc="B374DB7E">
      <w:start w:val="1"/>
      <w:numFmt w:val="bullet"/>
      <w:lvlText w:val="●"/>
      <w:lvlJc w:val="left"/>
      <w:pPr>
        <w:ind w:left="5760" w:hanging="360"/>
      </w:pPr>
    </w:lvl>
    <w:lvl w:ilvl="8" w:tplc="1B0E6AC8">
      <w:start w:val="1"/>
      <w:numFmt w:val="bullet"/>
      <w:lvlText w:val="●"/>
      <w:lvlJc w:val="left"/>
      <w:pPr>
        <w:ind w:left="6480" w:hanging="360"/>
      </w:pPr>
    </w:lvl>
  </w:abstractNum>
  <w:num w:numId="1" w16cid:durableId="377894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B03"/>
    <w:rsid w:val="001A6972"/>
    <w:rsid w:val="001E0465"/>
    <w:rsid w:val="00295173"/>
    <w:rsid w:val="00347F5B"/>
    <w:rsid w:val="00890C19"/>
    <w:rsid w:val="00CE2B03"/>
    <w:rsid w:val="00DB2F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76F881"/>
  <w15:docId w15:val="{E328C470-6F68-E246-BE62-22DCB5EB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B2F84"/>
    <w:rPr>
      <w:color w:val="605E5C"/>
      <w:shd w:val="clear" w:color="auto" w:fill="E1DFDD"/>
    </w:rPr>
  </w:style>
  <w:style w:type="character" w:styleId="FollowedHyperlink">
    <w:name w:val="FollowedHyperlink"/>
    <w:basedOn w:val="DefaultParagraphFont"/>
    <w:uiPriority w:val="99"/>
    <w:semiHidden/>
    <w:unhideWhenUsed/>
    <w:rsid w:val="00DB2F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urworldindata.org/grapher/co-emissions-per-capita?country=OWID_WRL~USA~GBR~OWID_EU27" TargetMode="External"/><Relationship Id="rId13" Type="http://schemas.openxmlformats.org/officeDocument/2006/relationships/hyperlink" Target="https://data.cityofchicago.org/Transportation/Divvy-Trips/fg6s-gzvg" TargetMode="External"/><Relationship Id="rId18" Type="http://schemas.openxmlformats.org/officeDocument/2006/relationships/hyperlink" Target="https://www.fao.org/worldfoodsituation/foodpricesindex/en" TargetMode="External"/><Relationship Id="rId26" Type="http://schemas.openxmlformats.org/officeDocument/2006/relationships/hyperlink" Target="https://www.kaggle.com/datasets/wordsforthewise/lending-club" TargetMode="External"/><Relationship Id="rId3" Type="http://schemas.openxmlformats.org/officeDocument/2006/relationships/settings" Target="settings.xml"/><Relationship Id="rId21" Type="http://schemas.openxmlformats.org/officeDocument/2006/relationships/hyperlink" Target="https://data.worldbank.org/indicator/SN.ITK.DEFC.ZS" TargetMode="External"/><Relationship Id="rId7" Type="http://schemas.openxmlformats.org/officeDocument/2006/relationships/hyperlink" Target="https://github.com/owid/energy-data" TargetMode="External"/><Relationship Id="rId12" Type="http://schemas.openxmlformats.org/officeDocument/2006/relationships/hyperlink" Target="https://citibikenyc.com/system-data" TargetMode="External"/><Relationship Id="rId17" Type="http://schemas.openxmlformats.org/officeDocument/2006/relationships/hyperlink" Target="https://www.england.nhs.uk/statistics/statistical-work-areas/bed-availability-and-occupancy/" TargetMode="External"/><Relationship Id="rId25" Type="http://schemas.openxmlformats.org/officeDocument/2006/relationships/hyperlink" Target="https://github.com/ranaroussi/quantstats" TargetMode="External"/><Relationship Id="rId2" Type="http://schemas.openxmlformats.org/officeDocument/2006/relationships/styles" Target="styles.xml"/><Relationship Id="rId16" Type="http://schemas.openxmlformats.org/officeDocument/2006/relationships/hyperlink" Target="https://digital.nhs.uk/data-and-information/publications/statistical/nhs-workforce-statistics" TargetMode="External"/><Relationship Id="rId20" Type="http://schemas.openxmlformats.org/officeDocument/2006/relationships/hyperlink" Target="https://ourworldindata.org/food-prices" TargetMode="External"/><Relationship Id="rId1" Type="http://schemas.openxmlformats.org/officeDocument/2006/relationships/numbering" Target="numbering.xml"/><Relationship Id="rId6" Type="http://schemas.openxmlformats.org/officeDocument/2006/relationships/hyperlink" Target="https://app.electricitymaps.com/developer-hub/playground?datatype=electricity-flows&amp;temporality=past&amp;zone=CH" TargetMode="External"/><Relationship Id="rId11" Type="http://schemas.openxmlformats.org/officeDocument/2006/relationships/hyperlink" Target="https://cycling.data.tfl.gov.uk/" TargetMode="External"/><Relationship Id="rId24" Type="http://schemas.openxmlformats.org/officeDocument/2006/relationships/hyperlink" Target="https://pypi.org/project/pandas-ta/" TargetMode="External"/><Relationship Id="rId5" Type="http://schemas.openxmlformats.org/officeDocument/2006/relationships/hyperlink" Target="https://insideairbnb.com/get-the-data" TargetMode="External"/><Relationship Id="rId15" Type="http://schemas.openxmlformats.org/officeDocument/2006/relationships/hyperlink" Target="https://www.england.nhs.uk/statistics/statistical-work-areas/ae-waiting-times-and-activity/" TargetMode="External"/><Relationship Id="rId23" Type="http://schemas.openxmlformats.org/officeDocument/2006/relationships/hyperlink" Target="https://mba.tuck.dartmouth.edu/pages/faculty/ken.french/data_library.html" TargetMode="External"/><Relationship Id="rId28" Type="http://schemas.openxmlformats.org/officeDocument/2006/relationships/theme" Target="theme/theme1.xml"/><Relationship Id="rId10" Type="http://schemas.openxmlformats.org/officeDocument/2006/relationships/hyperlink" Target="https://github.com/jOOQ/sakila" TargetMode="External"/><Relationship Id="rId19" Type="http://schemas.openxmlformats.org/officeDocument/2006/relationships/hyperlink" Target="https://data.worldbank.org/indicator/AG.PRD.FOOD.XD" TargetMode="External"/><Relationship Id="rId4" Type="http://schemas.openxmlformats.org/officeDocument/2006/relationships/webSettings" Target="webSettings.xml"/><Relationship Id="rId9" Type="http://schemas.openxmlformats.org/officeDocument/2006/relationships/hyperlink" Target="https://data.worldbank.org/indicator/NY.GDP.MKTP.PP.KD" TargetMode="External"/><Relationship Id="rId14" Type="http://schemas.openxmlformats.org/officeDocument/2006/relationships/hyperlink" Target="https://meteostat.net/en/" TargetMode="External"/><Relationship Id="rId22" Type="http://schemas.openxmlformats.org/officeDocument/2006/relationships/hyperlink" Target="https://pypi.org/project/yfinanc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2568</Words>
  <Characters>15414</Characters>
  <Application>Microsoft Office Word</Application>
  <DocSecurity>0</DocSecurity>
  <Lines>237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Kostis Christodoulou</cp:lastModifiedBy>
  <cp:revision>3</cp:revision>
  <dcterms:created xsi:type="dcterms:W3CDTF">2026-03-04T01:16:00Z</dcterms:created>
  <dcterms:modified xsi:type="dcterms:W3CDTF">2026-03-04T17:31:00Z</dcterms:modified>
</cp:coreProperties>
</file>