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4"/>
          <w:szCs w:val="34"/>
        </w:rPr>
      </w:pPr>
      <w:bookmarkStart w:colFirst="0" w:colLast="0" w:name="_nkheud34nlx9" w:id="0"/>
      <w:bookmarkEnd w:id="0"/>
      <w:r w:rsidDel="00000000" w:rsidR="00000000" w:rsidRPr="00000000">
        <w:rPr>
          <w:sz w:val="34"/>
          <w:szCs w:val="34"/>
          <w:rtl w:val="0"/>
        </w:rPr>
        <w:t xml:space="preserve">Comprehensive Legal Design and Strategic Implementation of a Domestic Freelance Marketplace in Ethiopia</w:t>
      </w:r>
    </w:p>
    <w:p w:rsidR="00000000" w:rsidDel="00000000" w:rsidP="00000000" w:rsidRDefault="00000000" w:rsidRPr="00000000" w14:paraId="00000002">
      <w:pPr>
        <w:rPr/>
      </w:pPr>
      <w:r w:rsidDel="00000000" w:rsidR="00000000" w:rsidRPr="00000000">
        <w:rPr>
          <w:rtl w:val="0"/>
        </w:rPr>
        <w:t xml:space="preserve">The Ethiopian labor market is undergoing a fundamental structural transformation, fueled by a surge in digital literacy and the rapid expansion of mobile payment infrastructure. Historically, freelance work in Ethiopia has been characterized by high-risk, informal arrangements conducted through messaging platforms like Telegram and WhatsApp, which lack legal protection, escrow mechanisms, or standardized contracts [cite: 1, 2, 3]. The transition to a formalized digital marketplace necessitates a sophisticated legal and technical architecture that aligns with the specificities of Ethiopian law, particularly the Civil Code, the Labour Proclamation, and the recently enacted Electronic Transactions and Data Protection proclamations [cite: 1, 4]. This report provides an exhaustive analysis of the legal design and implementation strategy for a domestic-only marketplace for tech, digital, and professional services, serving as a blueprint for institutional trust in the Ethiopian gig economy.</w:t>
      </w:r>
    </w:p>
    <w:p w:rsidR="00000000" w:rsidDel="00000000" w:rsidP="00000000" w:rsidRDefault="00000000" w:rsidRPr="00000000" w14:paraId="00000003">
      <w:pPr>
        <w:pStyle w:val="Heading1"/>
        <w:rPr/>
      </w:pPr>
      <w:bookmarkStart w:colFirst="0" w:colLast="0" w:name="_14nipgn9s759" w:id="1"/>
      <w:bookmarkEnd w:id="1"/>
      <w:r w:rsidDel="00000000" w:rsidR="00000000" w:rsidRPr="00000000">
        <w:rPr>
          <w:rtl w:val="0"/>
        </w:rPr>
        <w:t xml:space="preserve">The Jurisdictional Boundary: Labour Proclamation vs. Civil Code</w:t>
      </w:r>
    </w:p>
    <w:p w:rsidR="00000000" w:rsidDel="00000000" w:rsidP="00000000" w:rsidRDefault="00000000" w:rsidRPr="00000000" w14:paraId="00000004">
      <w:pPr>
        <w:rPr/>
      </w:pPr>
      <w:r w:rsidDel="00000000" w:rsidR="00000000" w:rsidRPr="00000000">
        <w:rPr>
          <w:rtl w:val="0"/>
        </w:rPr>
        <w:t xml:space="preserve">The foundational legal challenge in establishing an Ethiopian freelance marketplace is the strict distinction between employment and independent contracting. Under Ethiopian law, the classification of a worker dictates their rights, tax obligations, and the judicial venue for dispute resolution.</w:t>
      </w:r>
    </w:p>
    <w:p w:rsidR="00000000" w:rsidDel="00000000" w:rsidP="00000000" w:rsidRDefault="00000000" w:rsidRPr="00000000" w14:paraId="00000005">
      <w:pPr>
        <w:pStyle w:val="Heading2"/>
        <w:rPr/>
      </w:pPr>
      <w:bookmarkStart w:colFirst="0" w:colLast="0" w:name="_em8173gmgus" w:id="2"/>
      <w:bookmarkEnd w:id="2"/>
      <w:r w:rsidDel="00000000" w:rsidR="00000000" w:rsidRPr="00000000">
        <w:rPr>
          <w:rtl w:val="0"/>
        </w:rPr>
        <w:t xml:space="preserve">The Misclassification Landmine</w:t>
      </w:r>
    </w:p>
    <w:p w:rsidR="00000000" w:rsidDel="00000000" w:rsidP="00000000" w:rsidRDefault="00000000" w:rsidRPr="00000000" w14:paraId="00000006">
      <w:pPr>
        <w:rPr/>
      </w:pPr>
      <w:r w:rsidDel="00000000" w:rsidR="00000000" w:rsidRPr="00000000">
        <w:rPr>
          <w:rtl w:val="0"/>
        </w:rPr>
        <w:t xml:space="preserve">The primary risk for platform operators and hiring clients is the recharacterization of a freelancer as an employee. The Labour Proclamation No. 1156/2019 governs employment relationships, providing comprehensive protections such as mandated working hours, leave entitlements, severance pay, and protection against unfair dismissal [cite: 1]. Conversely, independent contractors operate under a "contract of services" framework defined by Articles 2610–2631 of the Civil Code of Ethiopia [cite: 2, 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Ethiopian authorities and courts utilize a "substance over form" doctrine. Even if a contract is titled "Freelance Service Agreement," a relationship may be legally reclassified as employment if the freelancer is found to be working under the direct supervision and control of the client, adhering to fixed working hours, or working exclusively for one client over a long period [cite: 1, 2]. Such recharacterization triggers retroactive benefit obligations, including back taxes, social security contributions, and penalties for the client [cite: 1].</w:t>
      </w:r>
    </w:p>
    <w:p w:rsidR="00000000" w:rsidDel="00000000" w:rsidP="00000000" w:rsidRDefault="00000000" w:rsidRPr="00000000" w14:paraId="00000009">
      <w:pPr>
        <w:pStyle w:val="Heading2"/>
        <w:rPr/>
      </w:pPr>
      <w:bookmarkStart w:colFirst="0" w:colLast="0" w:name="_w7o5692ryqbr" w:id="3"/>
      <w:bookmarkEnd w:id="3"/>
      <w:r w:rsidDel="00000000" w:rsidR="00000000" w:rsidRPr="00000000">
        <w:rPr>
          <w:rtl w:val="0"/>
        </w:rPr>
        <w:t xml:space="preserve">Hallmarks of Genuine Independence</w:t>
      </w:r>
    </w:p>
    <w:p w:rsidR="00000000" w:rsidDel="00000000" w:rsidP="00000000" w:rsidRDefault="00000000" w:rsidRPr="00000000" w14:paraId="0000000A">
      <w:pPr>
        <w:rPr/>
      </w:pPr>
      <w:r w:rsidDel="00000000" w:rsidR="00000000" w:rsidRPr="00000000">
        <w:rPr>
          <w:rtl w:val="0"/>
        </w:rPr>
        <w:t xml:space="preserve">To mitigate the risk of recharacterization, the marketplace’s Master Service Agreement must explicitly preserve the hallmarks of independence. This is achieved through specific contractual language that mirrors the requirements of the Civil Code.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525.6" w:hRule="atLeast"/>
          <w:tblHeader w:val="1"/>
        </w:trPr>
        <w:tc>
          <w:tcPr/>
          <w:p w:rsidR="00000000" w:rsidDel="00000000" w:rsidP="00000000" w:rsidRDefault="00000000" w:rsidRPr="00000000" w14:paraId="0000000C">
            <w:pPr>
              <w:rPr/>
            </w:pPr>
            <w:r w:rsidDel="00000000" w:rsidR="00000000" w:rsidRPr="00000000">
              <w:rPr>
                <w:rtl w:val="0"/>
              </w:rPr>
              <w:t xml:space="preserve">Characteristic</w:t>
            </w:r>
          </w:p>
        </w:tc>
        <w:tc>
          <w:tcPr/>
          <w:p w:rsidR="00000000" w:rsidDel="00000000" w:rsidP="00000000" w:rsidRDefault="00000000" w:rsidRPr="00000000" w14:paraId="0000000D">
            <w:pPr>
              <w:rPr/>
            </w:pPr>
            <w:r w:rsidDel="00000000" w:rsidR="00000000" w:rsidRPr="00000000">
              <w:rPr>
                <w:rtl w:val="0"/>
              </w:rPr>
              <w:t xml:space="preserve">Independent Contractor (Civil Code)</w:t>
            </w:r>
          </w:p>
        </w:tc>
        <w:tc>
          <w:tcPr/>
          <w:p w:rsidR="00000000" w:rsidDel="00000000" w:rsidP="00000000" w:rsidRDefault="00000000" w:rsidRPr="00000000" w14:paraId="0000000E">
            <w:pPr>
              <w:rPr/>
            </w:pPr>
            <w:r w:rsidDel="00000000" w:rsidR="00000000" w:rsidRPr="00000000">
              <w:rPr>
                <w:rtl w:val="0"/>
              </w:rPr>
              <w:t xml:space="preserve">Employee (Labour Proclamation)</w:t>
            </w:r>
          </w:p>
        </w:tc>
      </w:tr>
      <w:tr>
        <w:trPr>
          <w:cantSplit w:val="0"/>
          <w:trHeight w:val="525.6" w:hRule="atLeast"/>
          <w:tblHeader w:val="0"/>
        </w:trPr>
        <w:tc>
          <w:tcPr/>
          <w:p w:rsidR="00000000" w:rsidDel="00000000" w:rsidP="00000000" w:rsidRDefault="00000000" w:rsidRPr="00000000" w14:paraId="0000000F">
            <w:pPr>
              <w:rPr/>
            </w:pPr>
            <w:r w:rsidDel="00000000" w:rsidR="00000000" w:rsidRPr="00000000">
              <w:rPr>
                <w:b w:val="1"/>
                <w:bCs w:val="1"/>
                <w:rtl w:val="0"/>
              </w:rPr>
              <w:t xml:space="preserve">Control of Work</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Freelancer controls methods, timing, and location [cite: 2].</w:t>
            </w:r>
          </w:p>
        </w:tc>
        <w:tc>
          <w:tcPr/>
          <w:p w:rsidR="00000000" w:rsidDel="00000000" w:rsidP="00000000" w:rsidRDefault="00000000" w:rsidRPr="00000000" w14:paraId="00000011">
            <w:pPr>
              <w:rPr/>
            </w:pPr>
            <w:r w:rsidDel="00000000" w:rsidR="00000000" w:rsidRPr="00000000">
              <w:rPr>
                <w:rtl w:val="0"/>
              </w:rPr>
              <w:t xml:space="preserve">Employer directs when, where, and how work is done [cite: 1].</w:t>
            </w:r>
          </w:p>
        </w:tc>
      </w:tr>
      <w:tr>
        <w:trPr>
          <w:cantSplit w:val="0"/>
          <w:trHeight w:val="525.6" w:hRule="atLeast"/>
          <w:tblHeader w:val="0"/>
        </w:trPr>
        <w:tc>
          <w:tcPr/>
          <w:p w:rsidR="00000000" w:rsidDel="00000000" w:rsidP="00000000" w:rsidRDefault="00000000" w:rsidRPr="00000000" w14:paraId="00000012">
            <w:pPr>
              <w:rPr/>
            </w:pPr>
            <w:r w:rsidDel="00000000" w:rsidR="00000000" w:rsidRPr="00000000">
              <w:rPr>
                <w:b w:val="1"/>
                <w:bCs w:val="1"/>
                <w:rtl w:val="0"/>
              </w:rPr>
              <w:t xml:space="preserve">Tools and Equipment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Freelancer provides own hardware and software [cite: 2, 4].</w:t>
            </w:r>
          </w:p>
        </w:tc>
        <w:tc>
          <w:tcPr/>
          <w:p w:rsidR="00000000" w:rsidDel="00000000" w:rsidP="00000000" w:rsidRDefault="00000000" w:rsidRPr="00000000" w14:paraId="00000014">
            <w:pPr>
              <w:rPr/>
            </w:pPr>
            <w:r w:rsidDel="00000000" w:rsidR="00000000" w:rsidRPr="00000000">
              <w:rPr>
                <w:rtl w:val="0"/>
              </w:rPr>
              <w:t xml:space="preserve">Employer provides tools and materials [cite: 4].</w:t>
            </w:r>
          </w:p>
        </w:tc>
      </w:tr>
      <w:tr>
        <w:trPr>
          <w:cantSplit w:val="0"/>
          <w:trHeight w:val="525.6" w:hRule="atLeast"/>
          <w:tblHeader w:val="0"/>
        </w:trPr>
        <w:tc>
          <w:tcPr/>
          <w:p w:rsidR="00000000" w:rsidDel="00000000" w:rsidP="00000000" w:rsidRDefault="00000000" w:rsidRPr="00000000" w14:paraId="00000015">
            <w:pPr>
              <w:rPr/>
            </w:pPr>
            <w:r w:rsidDel="00000000" w:rsidR="00000000" w:rsidRPr="00000000">
              <w:rPr>
                <w:b w:val="1"/>
                <w:bCs w:val="1"/>
                <w:rtl w:val="0"/>
              </w:rPr>
              <w:t xml:space="preserve">Exclusivity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Relationship is non-exclusive; freelancer serves multiple clients [cite: 2].</w:t>
            </w:r>
          </w:p>
        </w:tc>
        <w:tc>
          <w:tcPr/>
          <w:p w:rsidR="00000000" w:rsidDel="00000000" w:rsidP="00000000" w:rsidRDefault="00000000" w:rsidRPr="00000000" w14:paraId="00000017">
            <w:pPr>
              <w:rPr/>
            </w:pPr>
            <w:r w:rsidDel="00000000" w:rsidR="00000000" w:rsidRPr="00000000">
              <w:rPr>
                <w:rtl w:val="0"/>
              </w:rPr>
              <w:t xml:space="preserve">Typically exclusive to a single employer [cite: 1].</w:t>
            </w:r>
          </w:p>
        </w:tc>
      </w:tr>
      <w:tr>
        <w:trPr>
          <w:cantSplit w:val="0"/>
          <w:trHeight w:val="525.6" w:hRule="atLeast"/>
          <w:tblHeader w:val="0"/>
        </w:trPr>
        <w:tc>
          <w:tcPr/>
          <w:p w:rsidR="00000000" w:rsidDel="00000000" w:rsidP="00000000" w:rsidRDefault="00000000" w:rsidRPr="00000000" w14:paraId="00000018">
            <w:pPr>
              <w:rPr/>
            </w:pPr>
            <w:r w:rsidDel="00000000" w:rsidR="00000000" w:rsidRPr="00000000">
              <w:rPr>
                <w:b w:val="1"/>
                <w:bCs w:val="1"/>
                <w:rtl w:val="0"/>
              </w:rPr>
              <w:t xml:space="preserve">Mandatory Benefits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None; no mandated leave, severance, or labor-court access [cite: 3].</w:t>
            </w:r>
          </w:p>
        </w:tc>
        <w:tc>
          <w:tcPr/>
          <w:p w:rsidR="00000000" w:rsidDel="00000000" w:rsidP="00000000" w:rsidRDefault="00000000" w:rsidRPr="00000000" w14:paraId="0000001A">
            <w:pPr>
              <w:rPr/>
            </w:pPr>
            <w:r w:rsidDel="00000000" w:rsidR="00000000" w:rsidRPr="00000000">
              <w:rPr>
                <w:rtl w:val="0"/>
              </w:rPr>
              <w:t xml:space="preserve">Entitled to leave, severance, and social security [cite: 1].</w:t>
            </w:r>
          </w:p>
        </w:tc>
      </w:tr>
      <w:tr>
        <w:trPr>
          <w:cantSplit w:val="0"/>
          <w:trHeight w:val="525.6"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Governing Law</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Civil Code and Commercial Code [cite: 1].</w:t>
            </w:r>
          </w:p>
        </w:tc>
        <w:tc>
          <w:tcPr/>
          <w:p w:rsidR="00000000" w:rsidDel="00000000" w:rsidP="00000000" w:rsidRDefault="00000000" w:rsidRPr="00000000" w14:paraId="0000001D">
            <w:pPr>
              <w:rPr/>
            </w:pPr>
            <w:r w:rsidDel="00000000" w:rsidR="00000000" w:rsidRPr="00000000">
              <w:rPr>
                <w:rtl w:val="0"/>
              </w:rPr>
              <w:t xml:space="preserve">Labour Proclamation No. 1156/2019 [cite: 1].</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Master Freelance Service Agreement explicitly states that the freelancer is an independent contractor and acknowledges that the Labour Proclamation does not apply to the relationship [cite: 2]. This serves as a vital signal to regulatory authorities regarding the intent of the parties.</w:t>
      </w:r>
    </w:p>
    <w:p w:rsidR="00000000" w:rsidDel="00000000" w:rsidP="00000000" w:rsidRDefault="00000000" w:rsidRPr="00000000" w14:paraId="00000020">
      <w:pPr>
        <w:pStyle w:val="Heading1"/>
        <w:rPr/>
      </w:pPr>
      <w:bookmarkStart w:colFirst="0" w:colLast="0" w:name="_4ike886jxjla" w:id="4"/>
      <w:bookmarkEnd w:id="4"/>
      <w:r w:rsidDel="00000000" w:rsidR="00000000" w:rsidRPr="00000000">
        <w:rPr>
          <w:rtl w:val="0"/>
        </w:rPr>
        <w:t xml:space="preserve">Contractual Framework: The Master Freelance Service Agreement</w:t>
      </w:r>
    </w:p>
    <w:p w:rsidR="00000000" w:rsidDel="00000000" w:rsidP="00000000" w:rsidRDefault="00000000" w:rsidRPr="00000000" w14:paraId="00000021">
      <w:pPr>
        <w:rPr/>
      </w:pPr>
      <w:r w:rsidDel="00000000" w:rsidR="00000000" w:rsidRPr="00000000">
        <w:rPr>
          <w:rtl w:val="0"/>
        </w:rPr>
        <w:t xml:space="preserve">The marketplace operates as a neutral electronic distribution venue, facilitating a digital contract between the client and the freelancer. This agreement is executed digitally upon contract acceptance on the platform, leveraging the legal recognition of electronic signatures provided by the Electronic Transactions Proclamation No. 1205/2020 [cite: 1, 2].</w:t>
      </w:r>
    </w:p>
    <w:p w:rsidR="00000000" w:rsidDel="00000000" w:rsidP="00000000" w:rsidRDefault="00000000" w:rsidRPr="00000000" w14:paraId="00000022">
      <w:pPr>
        <w:pStyle w:val="Heading2"/>
        <w:rPr/>
      </w:pPr>
      <w:bookmarkStart w:colFirst="0" w:colLast="0" w:name="_z8suzzsnfsaz" w:id="5"/>
      <w:bookmarkEnd w:id="5"/>
      <w:r w:rsidDel="00000000" w:rsidR="00000000" w:rsidRPr="00000000">
        <w:rPr>
          <w:rtl w:val="0"/>
        </w:rPr>
        <w:t xml:space="preserve">Scope, Deliverables, and Schedule A</w:t>
      </w:r>
    </w:p>
    <w:p w:rsidR="00000000" w:rsidDel="00000000" w:rsidP="00000000" w:rsidRDefault="00000000" w:rsidRPr="00000000" w14:paraId="00000023">
      <w:pPr>
        <w:rPr/>
      </w:pPr>
      <w:r w:rsidDel="00000000" w:rsidR="00000000" w:rsidRPr="00000000">
        <w:rPr>
          <w:rtl w:val="0"/>
        </w:rPr>
        <w:t xml:space="preserve">Clarity of scope is the primary defense against quality disputes and scope creep. The agreement requires that the freelancer deliver specific digital assets as outlined in "Schedule A" of the contract [cite: 2]. To ensure technical feasibility and mutual understanding, Schedule A must be exhaustive, detailing: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Specific descriptions of each asset or service [cite: 2].</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File formats and technical specifications (e.g., resolution, file types) [cite: 2].</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Quantity and versioning requirements [cite: 2].</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Handover materials, such as source files and documentation [cite: 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Following the submission of work, the client is granted a review period of five business days [cite: 2]. Within this window, the client must either inspect the deliverables and request modifications or confirm acceptance. If the client fails to respond or submit a valid dispute within this period, the deliverables are "deemed accepted," and the platform automatically triggers the disbursement of funds from escrow [cite: 2].</w:t>
      </w:r>
    </w:p>
    <w:p w:rsidR="00000000" w:rsidDel="00000000" w:rsidP="00000000" w:rsidRDefault="00000000" w:rsidRPr="00000000" w14:paraId="0000002B">
      <w:pPr>
        <w:pStyle w:val="Heading2"/>
        <w:rPr/>
      </w:pPr>
      <w:bookmarkStart w:colFirst="0" w:colLast="0" w:name="_wkaiovw89lvm" w:id="6"/>
      <w:bookmarkEnd w:id="6"/>
      <w:r w:rsidDel="00000000" w:rsidR="00000000" w:rsidRPr="00000000">
        <w:rPr>
          <w:rtl w:val="0"/>
        </w:rPr>
        <w:t xml:space="preserve">Revisions and Scope Creep Management</w:t>
      </w:r>
    </w:p>
    <w:p w:rsidR="00000000" w:rsidDel="00000000" w:rsidP="00000000" w:rsidRDefault="00000000" w:rsidRPr="00000000" w14:paraId="0000002C">
      <w:pPr>
        <w:rPr/>
      </w:pPr>
      <w:r w:rsidDel="00000000" w:rsidR="00000000" w:rsidRPr="00000000">
        <w:rPr>
          <w:rtl w:val="0"/>
        </w:rPr>
        <w:t xml:space="preserve">To protect freelancers from infinite revision cycles, the Master Agreement includes up to two rounds of reasonable revisions, provided they align with the original agreed scope [cite: 2]. Any material alterations to project requirements or additional deliverables constitute "scope expansion" and require a separate written agreement and adjusted pricing [cite: 2]. This prevents the devaluation of the freelancer’s labor and ensures the integrity of the original project budget.</w:t>
      </w:r>
    </w:p>
    <w:p w:rsidR="00000000" w:rsidDel="00000000" w:rsidP="00000000" w:rsidRDefault="00000000" w:rsidRPr="00000000" w14:paraId="0000002D">
      <w:pPr>
        <w:pStyle w:val="Heading2"/>
        <w:rPr/>
      </w:pPr>
      <w:bookmarkStart w:colFirst="0" w:colLast="0" w:name="_hdimjt6cmo1u" w:id="7"/>
      <w:bookmarkEnd w:id="7"/>
      <w:r w:rsidDel="00000000" w:rsidR="00000000" w:rsidRPr="00000000">
        <w:rPr>
          <w:rtl w:val="0"/>
        </w:rPr>
        <w:t xml:space="preserve">Intellectual Property Rights and Work-for-Hire Dynamics</w:t>
      </w:r>
    </w:p>
    <w:p w:rsidR="00000000" w:rsidDel="00000000" w:rsidP="00000000" w:rsidRDefault="00000000" w:rsidRPr="00000000" w14:paraId="0000002E">
      <w:pPr>
        <w:rPr/>
      </w:pPr>
      <w:r w:rsidDel="00000000" w:rsidR="00000000" w:rsidRPr="00000000">
        <w:rPr>
          <w:rtl w:val="0"/>
        </w:rPr>
        <w:t xml:space="preserve">In the digital economy, the transfer of intellectual property (IP) is as critical as the financial transaction itself. The agreement is structured as a work-for-hire assignment, where the full IP rights and copyrights in the deliverables transfer to the client [cite: 2]. Crucially, this transfer only occurs upon the "complete release of escrow funds" [cite: 2]. Until the freelancer is paid in full, they retain all IP rights, and the client is legally prohibited from using or modifying the deliverables [cite: 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agreement also recognizes the freelancer's "Pre-Existing Materials." This refers to tools, methodologies, or software libraries that the freelancer owned prior to the project. While the client owns the final unique deliverable, the freelancer retains rights to their pre-existing materials, granting the client a license to use them solely as part of the final deliverables [cite: 2].</w:t>
      </w:r>
    </w:p>
    <w:p w:rsidR="00000000" w:rsidDel="00000000" w:rsidP="00000000" w:rsidRDefault="00000000" w:rsidRPr="00000000" w14:paraId="00000031">
      <w:pPr>
        <w:pStyle w:val="Heading1"/>
        <w:rPr/>
      </w:pPr>
      <w:bookmarkStart w:colFirst="0" w:colLast="0" w:name="_ef4a0i2z1bb5" w:id="8"/>
      <w:bookmarkEnd w:id="8"/>
      <w:r w:rsidDel="00000000" w:rsidR="00000000" w:rsidRPr="00000000">
        <w:rPr>
          <w:rtl w:val="0"/>
        </w:rPr>
        <w:t xml:space="preserve">Financial Architecture and Escrow Integration</w:t>
      </w:r>
    </w:p>
    <w:p w:rsidR="00000000" w:rsidDel="00000000" w:rsidP="00000000" w:rsidRDefault="00000000" w:rsidRPr="00000000" w14:paraId="00000032">
      <w:pPr>
        <w:rPr/>
      </w:pPr>
      <w:r w:rsidDel="00000000" w:rsidR="00000000" w:rsidRPr="00000000">
        <w:rPr>
          <w:rtl w:val="0"/>
        </w:rPr>
        <w:t xml:space="preserve">The marketplace addresses the "trust gap" in the Ethiopian market through a mandatory escrow-based payment system. This mechanism ensures that clients are committed to payment and freelancers are committed to delivery.</w:t>
      </w:r>
    </w:p>
    <w:p w:rsidR="00000000" w:rsidDel="00000000" w:rsidP="00000000" w:rsidRDefault="00000000" w:rsidRPr="00000000" w14:paraId="00000033">
      <w:pPr>
        <w:pStyle w:val="Heading2"/>
        <w:rPr/>
      </w:pPr>
      <w:bookmarkStart w:colFirst="0" w:colLast="0" w:name="_h8ehe221xl4f" w:id="9"/>
      <w:bookmarkEnd w:id="9"/>
      <w:r w:rsidDel="00000000" w:rsidR="00000000" w:rsidRPr="00000000">
        <w:rPr>
          <w:rtl w:val="0"/>
        </w:rPr>
        <w:t xml:space="preserve">Upfront Escrow Funding and Milestone Release</w:t>
      </w:r>
    </w:p>
    <w:p w:rsidR="00000000" w:rsidDel="00000000" w:rsidP="00000000" w:rsidRDefault="00000000" w:rsidRPr="00000000" w14:paraId="00000034">
      <w:pPr>
        <w:rPr/>
      </w:pPr>
      <w:r w:rsidDel="00000000" w:rsidR="00000000" w:rsidRPr="00000000">
        <w:rPr>
          <w:rtl w:val="0"/>
        </w:rPr>
        <w:t xml:space="preserve">Before work commences, the client must deposit 100% of the project fee into the platform’s escrow account [cite: 2]. This deposit is facilitated via local payment rails such as Chapa (supporting Telebirr, CBE Birr, and bank transfers) [cite: 1]. For multi-stage projects, the platform utilizes "Schedule B" to manage milestones.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525.6" w:hRule="atLeast"/>
          <w:tblHeader w:val="1"/>
        </w:trPr>
        <w:tc>
          <w:tcPr/>
          <w:p w:rsidR="00000000" w:rsidDel="00000000" w:rsidP="00000000" w:rsidRDefault="00000000" w:rsidRPr="00000000" w14:paraId="00000036">
            <w:pPr>
              <w:rPr/>
            </w:pPr>
            <w:r w:rsidDel="00000000" w:rsidR="00000000" w:rsidRPr="00000000">
              <w:rPr>
                <w:rtl w:val="0"/>
              </w:rPr>
              <w:t xml:space="preserve">Milestone</w:t>
            </w:r>
          </w:p>
        </w:tc>
        <w:tc>
          <w:tcPr/>
          <w:p w:rsidR="00000000" w:rsidDel="00000000" w:rsidP="00000000" w:rsidRDefault="00000000" w:rsidRPr="00000000" w14:paraId="00000037">
            <w:pPr>
              <w:rPr/>
            </w:pPr>
            <w:r w:rsidDel="00000000" w:rsidR="00000000" w:rsidRPr="00000000">
              <w:rPr>
                <w:rtl w:val="0"/>
              </w:rPr>
              <w:t xml:space="preserve">Deliverable</w:t>
            </w:r>
          </w:p>
        </w:tc>
        <w:tc>
          <w:tcPr/>
          <w:p w:rsidR="00000000" w:rsidDel="00000000" w:rsidP="00000000" w:rsidRDefault="00000000" w:rsidRPr="00000000" w14:paraId="00000038">
            <w:pPr>
              <w:rPr/>
            </w:pPr>
            <w:r w:rsidDel="00000000" w:rsidR="00000000" w:rsidRPr="00000000">
              <w:rPr>
                <w:rtl w:val="0"/>
              </w:rPr>
              <w:t xml:space="preserve">Payment %</w:t>
            </w:r>
          </w:p>
        </w:tc>
        <w:tc>
          <w:tcPr/>
          <w:p w:rsidR="00000000" w:rsidDel="00000000" w:rsidP="00000000" w:rsidRDefault="00000000" w:rsidRPr="00000000" w14:paraId="00000039">
            <w:pPr>
              <w:rPr/>
            </w:pPr>
            <w:r w:rsidDel="00000000" w:rsidR="00000000" w:rsidRPr="00000000">
              <w:rPr>
                <w:rtl w:val="0"/>
              </w:rPr>
              <w:t xml:space="preserve">Release Trigger</w:t>
            </w:r>
          </w:p>
        </w:tc>
      </w:tr>
      <w:tr>
        <w:trPr>
          <w:cantSplit w:val="0"/>
          <w:trHeight w:val="525.6" w:hRule="atLeast"/>
          <w:tblHeader w:val="0"/>
        </w:trPr>
        <w:tc>
          <w:tcPr/>
          <w:p w:rsidR="00000000" w:rsidDel="00000000" w:rsidP="00000000" w:rsidRDefault="00000000" w:rsidRPr="00000000" w14:paraId="0000003A">
            <w:pPr>
              <w:rPr/>
            </w:pPr>
            <w:r w:rsidDel="00000000" w:rsidR="00000000" w:rsidRPr="00000000">
              <w:rPr>
                <w:b w:val="1"/>
                <w:bCs w:val="1"/>
                <w:rtl w:val="0"/>
              </w:rPr>
              <w:t xml:space="preserve">1. Kick-off</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Project plan &amp; wireframes</w:t>
            </w:r>
          </w:p>
        </w:tc>
        <w:tc>
          <w:tcPr/>
          <w:p w:rsidR="00000000" w:rsidDel="00000000" w:rsidP="00000000" w:rsidRDefault="00000000" w:rsidRPr="00000000" w14:paraId="0000003C">
            <w:pPr>
              <w:rPr/>
            </w:pPr>
            <w:r w:rsidDel="00000000" w:rsidR="00000000" w:rsidRPr="00000000">
              <w:rPr>
                <w:rtl w:val="0"/>
              </w:rPr>
              <w:t xml:space="preserve">50% (upfront)</w:t>
            </w:r>
          </w:p>
        </w:tc>
        <w:tc>
          <w:tcPr/>
          <w:p w:rsidR="00000000" w:rsidDel="00000000" w:rsidP="00000000" w:rsidRDefault="00000000" w:rsidRPr="00000000" w14:paraId="0000003D">
            <w:pPr>
              <w:rPr/>
            </w:pPr>
            <w:r w:rsidDel="00000000" w:rsidR="00000000" w:rsidRPr="00000000">
              <w:rPr>
                <w:rtl w:val="0"/>
              </w:rPr>
              <w:t xml:space="preserve">Upon deposit into escrow [cite: 2].</w:t>
            </w:r>
          </w:p>
        </w:tc>
      </w:tr>
      <w:tr>
        <w:trPr>
          <w:cantSplit w:val="0"/>
          <w:trHeight w:val="525.6" w:hRule="atLeast"/>
          <w:tblHeader w:val="0"/>
        </w:trPr>
        <w:tc>
          <w:tcPr/>
          <w:p w:rsidR="00000000" w:rsidDel="00000000" w:rsidP="00000000" w:rsidRDefault="00000000" w:rsidRPr="00000000" w14:paraId="0000003E">
            <w:pPr>
              <w:rPr/>
            </w:pPr>
            <w:r w:rsidDel="00000000" w:rsidR="00000000" w:rsidRPr="00000000">
              <w:rPr>
                <w:b w:val="1"/>
                <w:bCs w:val="1"/>
                <w:rtl w:val="0"/>
              </w:rPr>
              <w:t xml:space="preserve">2. Draft Delivery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First-draft assets</w:t>
            </w:r>
          </w:p>
        </w:tc>
        <w:tc>
          <w:tcPr/>
          <w:p w:rsidR="00000000" w:rsidDel="00000000" w:rsidP="00000000" w:rsidRDefault="00000000" w:rsidRPr="00000000" w14:paraId="00000040">
            <w:pPr>
              <w:rPr/>
            </w:pPr>
            <w:r w:rsidDel="00000000" w:rsidR="00000000" w:rsidRPr="00000000">
              <w:rPr>
                <w:rtl w:val="0"/>
              </w:rPr>
              <w:t xml:space="preserve">—</w:t>
            </w:r>
          </w:p>
        </w:tc>
        <w:tc>
          <w:tcPr/>
          <w:p w:rsidR="00000000" w:rsidDel="00000000" w:rsidP="00000000" w:rsidRDefault="00000000" w:rsidRPr="00000000" w14:paraId="00000041">
            <w:pPr>
              <w:rPr/>
            </w:pPr>
            <w:r w:rsidDel="00000000" w:rsidR="00000000" w:rsidRPr="00000000">
              <w:rPr>
                <w:rtl w:val="0"/>
              </w:rPr>
              <w:t xml:space="preserve">Upon written acceptance [cite: 2].</w:t>
            </w:r>
          </w:p>
        </w:tc>
      </w:tr>
      <w:tr>
        <w:trPr>
          <w:cantSplit w:val="0"/>
          <w:trHeight w:val="525.6" w:hRule="atLeast"/>
          <w:tblHeader w:val="0"/>
        </w:trPr>
        <w:tc>
          <w:tcPr/>
          <w:p w:rsidR="00000000" w:rsidDel="00000000" w:rsidP="00000000" w:rsidRDefault="00000000" w:rsidRPr="00000000" w14:paraId="00000042">
            <w:pPr>
              <w:rPr/>
            </w:pPr>
            <w:r w:rsidDel="00000000" w:rsidR="00000000" w:rsidRPr="00000000">
              <w:rPr>
                <w:b w:val="1"/>
                <w:bCs w:val="1"/>
                <w:rtl w:val="0"/>
              </w:rPr>
              <w:t xml:space="preserve">3. Final Delivery</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Final assets + documentation</w:t>
            </w:r>
          </w:p>
        </w:tc>
        <w:tc>
          <w:tcPr/>
          <w:p w:rsidR="00000000" w:rsidDel="00000000" w:rsidP="00000000" w:rsidRDefault="00000000" w:rsidRPr="00000000" w14:paraId="00000044">
            <w:pPr>
              <w:rPr/>
            </w:pPr>
            <w:r w:rsidDel="00000000" w:rsidR="00000000" w:rsidRPr="00000000">
              <w:rPr>
                <w:rtl w:val="0"/>
              </w:rPr>
              <w:t xml:space="preserve">50% (balance)</w:t>
            </w:r>
          </w:p>
        </w:tc>
        <w:tc>
          <w:tcPr/>
          <w:p w:rsidR="00000000" w:rsidDel="00000000" w:rsidP="00000000" w:rsidRDefault="00000000" w:rsidRPr="00000000" w14:paraId="00000045">
            <w:pPr>
              <w:rPr/>
            </w:pPr>
            <w:r w:rsidDel="00000000" w:rsidR="00000000" w:rsidRPr="00000000">
              <w:rPr>
                <w:rtl w:val="0"/>
              </w:rPr>
              <w:t xml:space="preserve">Upon written acceptance of all assets [cite: 2].</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Funds are released from the escrow account to the freelancer in full upon the client’s written acceptance of the completed project or the expiration of the five-day review window [cite: 2].</w:t>
      </w:r>
    </w:p>
    <w:p w:rsidR="00000000" w:rsidDel="00000000" w:rsidP="00000000" w:rsidRDefault="00000000" w:rsidRPr="00000000" w14:paraId="00000048">
      <w:pPr>
        <w:pStyle w:val="Heading2"/>
        <w:rPr/>
      </w:pPr>
      <w:bookmarkStart w:colFirst="0" w:colLast="0" w:name="_x2416hk7idxx" w:id="10"/>
      <w:bookmarkEnd w:id="10"/>
      <w:r w:rsidDel="00000000" w:rsidR="00000000" w:rsidRPr="00000000">
        <w:rPr>
          <w:rtl w:val="0"/>
        </w:rPr>
        <w:t xml:space="preserve">Statutory Tax Withholding and Remittance</w:t>
      </w:r>
    </w:p>
    <w:p w:rsidR="00000000" w:rsidDel="00000000" w:rsidP="00000000" w:rsidRDefault="00000000" w:rsidRPr="00000000" w14:paraId="00000049">
      <w:pPr>
        <w:rPr/>
      </w:pPr>
      <w:r w:rsidDel="00000000" w:rsidR="00000000" w:rsidRPr="00000000">
        <w:rPr>
          <w:rtl w:val="0"/>
        </w:rPr>
        <w:t xml:space="preserve">The platform acts as a tax-withholding agent, a critical function for legal compliance in Ethiopia. The platform manages statutory withholding taxes for payments of 10,000 ETB or more per project [cite: 2, 3]. The withholding rate depends on the freelancer’s tax status: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With TIN:</w:t>
      </w:r>
      <w:r w:rsidDel="00000000" w:rsidR="00000000" w:rsidRPr="00000000">
        <w:rPr>
          <w:rtl w:val="0"/>
        </w:rPr>
        <w:t xml:space="preserve"> 3% withholding tax [cite: 2, 4].</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Without TIN:</w:t>
      </w:r>
      <w:r w:rsidDel="00000000" w:rsidR="00000000" w:rsidRPr="00000000">
        <w:rPr>
          <w:rtl w:val="0"/>
        </w:rPr>
        <w:t xml:space="preserve"> 30% withholding tax [cite: 3, 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While the freelancer remains responsible for filing their personal income tax, the platform’s withholding and remittance to the Ministry of Revenues ensure that the government captures tax revenue from the digital economy. Additionally, the platform’s own fee revenue (its commission) is subject to a 15% Value Added Tax (VAT) if it crosses the required registration thresholds [cite: 1, 4].</w:t>
      </w:r>
    </w:p>
    <w:p w:rsidR="00000000" w:rsidDel="00000000" w:rsidP="00000000" w:rsidRDefault="00000000" w:rsidRPr="00000000" w14:paraId="0000004F">
      <w:pPr>
        <w:pStyle w:val="Heading1"/>
        <w:rPr/>
      </w:pPr>
      <w:bookmarkStart w:colFirst="0" w:colLast="0" w:name="_vosn1muvkiq1" w:id="11"/>
      <w:bookmarkEnd w:id="11"/>
      <w:r w:rsidDel="00000000" w:rsidR="00000000" w:rsidRPr="00000000">
        <w:rPr>
          <w:rtl w:val="0"/>
        </w:rPr>
        <w:t xml:space="preserve">Regulatory Compliance Pillars</w:t>
      </w:r>
    </w:p>
    <w:p w:rsidR="00000000" w:rsidDel="00000000" w:rsidP="00000000" w:rsidRDefault="00000000" w:rsidRPr="00000000" w14:paraId="00000050">
      <w:pPr>
        <w:rPr/>
      </w:pPr>
      <w:r w:rsidDel="00000000" w:rsidR="00000000" w:rsidRPr="00000000">
        <w:rPr>
          <w:rtl w:val="0"/>
        </w:rPr>
        <w:t xml:space="preserve">Beyond the service agreement, the platform must navigate a dense regulatory environment designed to protect consumers, data, and national financial security.</w:t>
      </w:r>
    </w:p>
    <w:p w:rsidR="00000000" w:rsidDel="00000000" w:rsidP="00000000" w:rsidRDefault="00000000" w:rsidRPr="00000000" w14:paraId="00000051">
      <w:pPr>
        <w:pStyle w:val="Heading2"/>
        <w:rPr/>
      </w:pPr>
      <w:bookmarkStart w:colFirst="0" w:colLast="0" w:name="_5rf8ncbsv5ag" w:id="12"/>
      <w:bookmarkEnd w:id="12"/>
      <w:r w:rsidDel="00000000" w:rsidR="00000000" w:rsidRPr="00000000">
        <w:rPr>
          <w:rtl w:val="0"/>
        </w:rPr>
        <w:t xml:space="preserve">Electronic Transactions Proclamation No. 1205/2020</w:t>
      </w:r>
    </w:p>
    <w:p w:rsidR="00000000" w:rsidDel="00000000" w:rsidP="00000000" w:rsidRDefault="00000000" w:rsidRPr="00000000" w14:paraId="00000052">
      <w:pPr>
        <w:rPr/>
      </w:pPr>
      <w:r w:rsidDel="00000000" w:rsidR="00000000" w:rsidRPr="00000000">
        <w:rPr>
          <w:rtl w:val="0"/>
        </w:rPr>
        <w:t xml:space="preserve">This Proclamation grants full legal recognition to electronic contracts, signatures, and communications [cite: 1]. Under Article 4, platform operators have specific statutory duties: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Identity Verification (KYC):</w:t>
      </w:r>
      <w:r w:rsidDel="00000000" w:rsidR="00000000" w:rsidRPr="00000000">
        <w:rPr>
          <w:rtl w:val="0"/>
        </w:rPr>
        <w:t xml:space="preserve"> Platforms must request, verify, and store the true identity, address, and license information of freelancers [cite: 1].</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"Buy Ethiopian" Requirement:</w:t>
      </w:r>
      <w:r w:rsidDel="00000000" w:rsidR="00000000" w:rsidRPr="00000000">
        <w:rPr>
          <w:rtl w:val="0"/>
        </w:rPr>
        <w:t xml:space="preserve"> Marketplace operators must ensure that at least 50% of the offerings on the platform are local [cite: 1].</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Consumer Rights:</w:t>
      </w:r>
      <w:r w:rsidDel="00000000" w:rsidR="00000000" w:rsidRPr="00000000">
        <w:rPr>
          <w:rtl w:val="0"/>
        </w:rPr>
        <w:t xml:space="preserve"> Clients (as buyers) must be allowed to review and correct orders before confirmation. They also possess a "7-day cooling-off right," allowing them to cancel specific orders without penalty if the service has not yet been initiated [cite: 1].</w:t>
      </w:r>
    </w:p>
    <w:p w:rsidR="00000000" w:rsidDel="00000000" w:rsidP="00000000" w:rsidRDefault="00000000" w:rsidRPr="00000000" w14:paraId="00000057">
      <w:pPr>
        <w:pStyle w:val="Heading2"/>
        <w:rPr/>
      </w:pPr>
      <w:bookmarkStart w:colFirst="0" w:colLast="0" w:name="_4949pgtoivbm" w:id="13"/>
      <w:bookmarkEnd w:id="13"/>
      <w:r w:rsidDel="00000000" w:rsidR="00000000" w:rsidRPr="00000000">
        <w:rPr>
          <w:rtl w:val="0"/>
        </w:rPr>
        <w:t xml:space="preserve">Personal Data Protection Proclamation No. 1321/2024 (PDPP)</w:t>
      </w:r>
    </w:p>
    <w:p w:rsidR="00000000" w:rsidDel="00000000" w:rsidP="00000000" w:rsidRDefault="00000000" w:rsidRPr="00000000" w14:paraId="00000058">
      <w:pPr>
        <w:rPr/>
      </w:pPr>
      <w:r w:rsidDel="00000000" w:rsidR="00000000" w:rsidRPr="00000000">
        <w:rPr>
          <w:rtl w:val="0"/>
        </w:rPr>
        <w:t xml:space="preserve">The PDPP introduces obligations similar to the European GDPR. To comply, the platform must: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Publish a clear privacy notice and obtain explicit user consent for data processing [cite: 1].</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Adhere to </w:t>
      </w:r>
      <w:r w:rsidDel="00000000" w:rsidR="00000000" w:rsidRPr="00000000">
        <w:rPr>
          <w:b w:val="1"/>
          <w:bCs w:val="1"/>
          <w:rtl w:val="0"/>
        </w:rPr>
        <w:t xml:space="preserve">Data Localization</w:t>
      </w:r>
      <w:r w:rsidDel="00000000" w:rsidR="00000000" w:rsidRPr="00000000">
        <w:rPr>
          <w:rtl w:val="0"/>
        </w:rPr>
        <w:t xml:space="preserve"> requirements, meaning that personal data must generally be stored on servers located within Ethiopia [cite: 1].</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Report data breaches to the Ethiopian Communications Authority and affected users within 72 hours of discovery [cite: 1].</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Provide tools for users to access, correct, and delete their personal information [cite: 1].</w:t>
      </w:r>
    </w:p>
    <w:p w:rsidR="00000000" w:rsidDel="00000000" w:rsidP="00000000" w:rsidRDefault="00000000" w:rsidRPr="00000000" w14:paraId="0000005E">
      <w:pPr>
        <w:pStyle w:val="Heading2"/>
        <w:rPr/>
      </w:pPr>
      <w:bookmarkStart w:colFirst="0" w:colLast="0" w:name="_5a3m0txcvrql" w:id="14"/>
      <w:bookmarkEnd w:id="14"/>
      <w:r w:rsidDel="00000000" w:rsidR="00000000" w:rsidRPr="00000000">
        <w:rPr>
          <w:rtl w:val="0"/>
        </w:rPr>
        <w:t xml:space="preserve">AML and Financial Monitoring</w:t>
      </w:r>
    </w:p>
    <w:p w:rsidR="00000000" w:rsidDel="00000000" w:rsidP="00000000" w:rsidRDefault="00000000" w:rsidRPr="00000000" w14:paraId="0000005F">
      <w:pPr>
        <w:rPr/>
      </w:pPr>
      <w:r w:rsidDel="00000000" w:rsidR="00000000" w:rsidRPr="00000000">
        <w:rPr>
          <w:rtl w:val="0"/>
        </w:rPr>
        <w:t xml:space="preserve">To prevent illicit financial flows, the platform must comply with Anti-Money Laundering (AML) frameworks. This requires monitoring transactions for suspicious activity and reporting such incidents to the Financial Intelligence Center (FIC) [cite: 1, 2]. As a payment facilitator, the platform may either register as a payment service provider or partner with existing licensed entities like Ethio Telecom (Telebirr) or Commercial Bank of Ethiopia (CBE) [cite: 1].</w:t>
      </w:r>
    </w:p>
    <w:p w:rsidR="00000000" w:rsidDel="00000000" w:rsidP="00000000" w:rsidRDefault="00000000" w:rsidRPr="00000000" w14:paraId="00000060">
      <w:pPr>
        <w:pStyle w:val="Heading1"/>
        <w:rPr/>
      </w:pPr>
      <w:bookmarkStart w:colFirst="0" w:colLast="0" w:name="_s8uihttrf73t" w:id="15"/>
      <w:bookmarkEnd w:id="15"/>
      <w:r w:rsidDel="00000000" w:rsidR="00000000" w:rsidRPr="00000000">
        <w:rPr>
          <w:rtl w:val="0"/>
        </w:rPr>
        <w:t xml:space="preserve">Technical Implementation and UX Strategy</w:t>
      </w:r>
    </w:p>
    <w:p w:rsidR="00000000" w:rsidDel="00000000" w:rsidP="00000000" w:rsidRDefault="00000000" w:rsidRPr="00000000" w14:paraId="00000061">
      <w:pPr>
        <w:rPr/>
      </w:pPr>
      <w:r w:rsidDel="00000000" w:rsidR="00000000" w:rsidRPr="00000000">
        <w:rPr>
          <w:rtl w:val="0"/>
        </w:rPr>
        <w:t xml:space="preserve">The technical success of the marketplace depends on building an interface that handles the complexity of Ethiopian law while remaining accessible to a population that is often "mobile-first" and bandwidth-sensitive.</w:t>
      </w:r>
    </w:p>
    <w:p w:rsidR="00000000" w:rsidDel="00000000" w:rsidP="00000000" w:rsidRDefault="00000000" w:rsidRPr="00000000" w14:paraId="00000062">
      <w:pPr>
        <w:pStyle w:val="Heading2"/>
        <w:rPr/>
      </w:pPr>
      <w:bookmarkStart w:colFirst="0" w:colLast="0" w:name="_x0f86kq2xhhb" w:id="16"/>
      <w:bookmarkEnd w:id="16"/>
      <w:r w:rsidDel="00000000" w:rsidR="00000000" w:rsidRPr="00000000">
        <w:rPr>
          <w:rtl w:val="0"/>
        </w:rPr>
        <w:t xml:space="preserve">Payment Integration and API Architecture</w:t>
      </w:r>
    </w:p>
    <w:p w:rsidR="00000000" w:rsidDel="00000000" w:rsidP="00000000" w:rsidRDefault="00000000" w:rsidRPr="00000000" w14:paraId="00000063">
      <w:pPr>
        <w:rPr/>
      </w:pPr>
      <w:r w:rsidDel="00000000" w:rsidR="00000000" w:rsidRPr="00000000">
        <w:rPr>
          <w:rtl w:val="0"/>
        </w:rPr>
        <w:t xml:space="preserve">The platform integrates with dominant local mobile money services to facilitate seamless escrow funding and disbursement [cite: 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Telebirr:</w:t>
      </w:r>
      <w:r w:rsidDel="00000000" w:rsidR="00000000" w:rsidRPr="00000000">
        <w:rPr>
          <w:rtl w:val="0"/>
        </w:rPr>
        <w:t xml:space="preserve"> Integration via API for merchant IDs and callback URLs. Telebirr’s USSD support (*220#) is vital for reaching users without high-end smartphones [cite: 1].</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CBE Birr:</w:t>
      </w:r>
      <w:r w:rsidDel="00000000" w:rsidR="00000000" w:rsidRPr="00000000">
        <w:rPr>
          <w:rtl w:val="0"/>
        </w:rPr>
        <w:t xml:space="preserve"> Utilization of bank-to-wallet transfers and potential future API integrations for direct bank transfers [cite: 1].</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EthSwitch:</w:t>
      </w:r>
      <w:r w:rsidDel="00000000" w:rsidR="00000000" w:rsidRPr="00000000">
        <w:rPr>
          <w:rtl w:val="0"/>
        </w:rPr>
        <w:t xml:space="preserve"> Leveraging the national switch for interbank transfers, allowing clients to pay from any domestic bank account [cite: 1].</w:t>
      </w:r>
    </w:p>
    <w:p w:rsidR="00000000" w:rsidDel="00000000" w:rsidP="00000000" w:rsidRDefault="00000000" w:rsidRPr="00000000" w14:paraId="00000068">
      <w:pPr>
        <w:pStyle w:val="Heading2"/>
        <w:rPr/>
      </w:pPr>
      <w:bookmarkStart w:colFirst="0" w:colLast="0" w:name="_77be9xdxbm57" w:id="17"/>
      <w:bookmarkEnd w:id="17"/>
      <w:r w:rsidDel="00000000" w:rsidR="00000000" w:rsidRPr="00000000">
        <w:rPr>
          <w:rtl w:val="0"/>
        </w:rPr>
        <w:t xml:space="preserve">Security, Logging, and Audit Trails</w:t>
      </w:r>
    </w:p>
    <w:p w:rsidR="00000000" w:rsidDel="00000000" w:rsidP="00000000" w:rsidRDefault="00000000" w:rsidRPr="00000000" w14:paraId="00000069">
      <w:pPr>
        <w:rPr/>
      </w:pPr>
      <w:r w:rsidDel="00000000" w:rsidR="00000000" w:rsidRPr="00000000">
        <w:rPr>
          <w:rtl w:val="0"/>
        </w:rPr>
        <w:t xml:space="preserve">To support arbitration and mediation, the platform must maintain an immutable audit log [cite: 1]. Every payment transaction, contract execution, message, and milestone approval must be timestamped and stored securely using HTTPS and encrypted databases [cite: 1, 4]. These logs serve as </w:t>
      </w:r>
      <w:r w:rsidDel="00000000" w:rsidR="00000000" w:rsidRPr="00000000">
        <w:rPr>
          <w:i w:val="1"/>
          <w:iCs w:val="1"/>
          <w:rtl w:val="0"/>
        </w:rPr>
        <w:t xml:space="preserve">prima facie</w:t>
      </w:r>
      <w:r w:rsidDel="00000000" w:rsidR="00000000" w:rsidRPr="00000000">
        <w:rPr>
          <w:rtl w:val="0"/>
        </w:rPr>
        <w:t xml:space="preserve"> evidence in the event of a dispute, demonstrating that both parties digitally assented to the terms [cite: 2].</w:t>
      </w:r>
    </w:p>
    <w:p w:rsidR="00000000" w:rsidDel="00000000" w:rsidP="00000000" w:rsidRDefault="00000000" w:rsidRPr="00000000" w14:paraId="0000006A">
      <w:pPr>
        <w:pStyle w:val="Heading2"/>
        <w:rPr/>
      </w:pPr>
      <w:bookmarkStart w:colFirst="0" w:colLast="0" w:name="_kcyr2z6vf26u" w:id="18"/>
      <w:bookmarkEnd w:id="18"/>
      <w:r w:rsidDel="00000000" w:rsidR="00000000" w:rsidRPr="00000000">
        <w:rPr>
          <w:rtl w:val="0"/>
        </w:rPr>
        <w:t xml:space="preserve">The Telegram Front-End</w:t>
      </w:r>
    </w:p>
    <w:p w:rsidR="00000000" w:rsidDel="00000000" w:rsidP="00000000" w:rsidRDefault="00000000" w:rsidRPr="00000000" w14:paraId="0000006B">
      <w:pPr>
        <w:rPr/>
      </w:pPr>
      <w:r w:rsidDel="00000000" w:rsidR="00000000" w:rsidRPr="00000000">
        <w:rPr>
          <w:rtl w:val="0"/>
        </w:rPr>
        <w:t xml:space="preserve">Given that a significant portion of Ethiopian freelance work already occurs on Telegram, the platform should implement a Telegram bot as a parallel front-end [cite: 1]. This approach reduces data costs for users and leverages an interface they are already comfortable with, while the backend maintains the robust contract and escrow logic missing from informal groups [cite: 1].</w:t>
      </w:r>
    </w:p>
    <w:p w:rsidR="00000000" w:rsidDel="00000000" w:rsidP="00000000" w:rsidRDefault="00000000" w:rsidRPr="00000000" w14:paraId="0000006C">
      <w:pPr>
        <w:pStyle w:val="Heading1"/>
        <w:rPr/>
      </w:pPr>
      <w:bookmarkStart w:colFirst="0" w:colLast="0" w:name="_wurtrdxr19r2" w:id="19"/>
      <w:bookmarkEnd w:id="19"/>
      <w:r w:rsidDel="00000000" w:rsidR="00000000" w:rsidRPr="00000000">
        <w:rPr>
          <w:rtl w:val="0"/>
        </w:rPr>
        <w:t xml:space="preserve">Dispute Resolution: A Multi-Stage Mediation Flow</w:t>
      </w:r>
    </w:p>
    <w:p w:rsidR="00000000" w:rsidDel="00000000" w:rsidP="00000000" w:rsidRDefault="00000000" w:rsidRPr="00000000" w14:paraId="0000006D">
      <w:pPr>
        <w:rPr/>
      </w:pPr>
      <w:r w:rsidDel="00000000" w:rsidR="00000000" w:rsidRPr="00000000">
        <w:rPr>
          <w:rtl w:val="0"/>
        </w:rPr>
        <w:t xml:space="preserve">The marketplace implements a structured dispute flow designed to resolve the majority of conflicts without external legal intervention, adhering to the Arbitration and Enforceability provisions of Article 42 of the Electronic Transactions Proclamation [cite: 1].</w:t>
      </w:r>
    </w:p>
    <w:p w:rsidR="00000000" w:rsidDel="00000000" w:rsidP="00000000" w:rsidRDefault="00000000" w:rsidRPr="00000000" w14:paraId="0000006E">
      <w:pPr>
        <w:pStyle w:val="Heading2"/>
        <w:rPr/>
      </w:pPr>
      <w:bookmarkStart w:colFirst="0" w:colLast="0" w:name="_9abs4nncvbsm" w:id="20"/>
      <w:bookmarkEnd w:id="20"/>
      <w:r w:rsidDel="00000000" w:rsidR="00000000" w:rsidRPr="00000000">
        <w:rPr>
          <w:rtl w:val="0"/>
        </w:rPr>
        <w:t xml:space="preserve">Stage-by-Stage Resolution Process</w:t>
      </w:r>
    </w:p>
    <w:tbl>
      <w:tblPr>
        <w:tblStyle w:val="Table3"/>
        <w:tblW w:w="14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525.6" w:hRule="atLeast"/>
          <w:tblHeader w:val="1"/>
        </w:trPr>
        <w:tc>
          <w:tcPr/>
          <w:p w:rsidR="00000000" w:rsidDel="00000000" w:rsidP="00000000" w:rsidRDefault="00000000" w:rsidRPr="00000000" w14:paraId="0000006F">
            <w:pPr>
              <w:rPr/>
            </w:pPr>
            <w:r w:rsidDel="00000000" w:rsidR="00000000" w:rsidRPr="00000000">
              <w:rPr>
                <w:rtl w:val="0"/>
              </w:rPr>
              <w:t xml:space="preserve">Stage</w:t>
            </w:r>
          </w:p>
        </w:tc>
        <w:tc>
          <w:tcPr/>
          <w:p w:rsidR="00000000" w:rsidDel="00000000" w:rsidP="00000000" w:rsidRDefault="00000000" w:rsidRPr="00000000" w14:paraId="00000070">
            <w:pPr>
              <w:rPr/>
            </w:pPr>
            <w:r w:rsidDel="00000000" w:rsidR="00000000" w:rsidRPr="00000000">
              <w:rPr>
                <w:rtl w:val="0"/>
              </w:rPr>
              <w:t xml:space="preserve">Process</w:t>
            </w:r>
          </w:p>
        </w:tc>
        <w:tc>
          <w:tcPr/>
          <w:p w:rsidR="00000000" w:rsidDel="00000000" w:rsidP="00000000" w:rsidRDefault="00000000" w:rsidRPr="00000000" w14:paraId="00000071">
            <w:pPr>
              <w:rPr/>
            </w:pPr>
            <w:r w:rsidDel="00000000" w:rsidR="00000000" w:rsidRPr="00000000">
              <w:rPr>
                <w:rtl w:val="0"/>
              </w:rPr>
              <w:t xml:space="preserve">Timeline</w:t>
            </w:r>
          </w:p>
        </w:tc>
        <w:tc>
          <w:tcPr/>
          <w:p w:rsidR="00000000" w:rsidDel="00000000" w:rsidP="00000000" w:rsidRDefault="00000000" w:rsidRPr="00000000" w14:paraId="00000072">
            <w:pPr>
              <w:rPr/>
            </w:pPr>
            <w:r w:rsidDel="00000000" w:rsidR="00000000" w:rsidRPr="00000000">
              <w:rPr>
                <w:rtl w:val="0"/>
              </w:rPr>
              <w:t xml:space="preserve">Status</w:t>
            </w:r>
          </w:p>
        </w:tc>
      </w:tr>
      <w:tr>
        <w:trPr>
          <w:cantSplit w:val="0"/>
          <w:trHeight w:val="525.6" w:hRule="atLeast"/>
          <w:tblHeader w:val="0"/>
        </w:trPr>
        <w:tc>
          <w:tcPr/>
          <w:p w:rsidR="00000000" w:rsidDel="00000000" w:rsidP="00000000" w:rsidRDefault="00000000" w:rsidRPr="00000000" w14:paraId="00000073">
            <w:pPr>
              <w:rPr/>
            </w:pPr>
            <w:r w:rsidDel="00000000" w:rsidR="00000000" w:rsidRPr="00000000">
              <w:rPr>
                <w:b w:val="1"/>
                <w:bCs w:val="1"/>
                <w:rtl w:val="0"/>
              </w:rPr>
              <w:t xml:space="preserve">0. Prevention</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Contracts generated with clear scope, timeline, and communication required on-platform [cite: 3].</w:t>
            </w:r>
          </w:p>
        </w:tc>
        <w:tc>
          <w:tcPr/>
          <w:p w:rsidR="00000000" w:rsidDel="00000000" w:rsidP="00000000" w:rsidRDefault="00000000" w:rsidRPr="00000000" w14:paraId="00000075">
            <w:pPr>
              <w:rPr/>
            </w:pPr>
            <w:r w:rsidDel="00000000" w:rsidR="00000000" w:rsidRPr="00000000">
              <w:rPr>
                <w:rtl w:val="0"/>
              </w:rPr>
              <w:t xml:space="preserve">Pre-project</w:t>
            </w:r>
          </w:p>
        </w:tc>
        <w:tc>
          <w:tcPr/>
          <w:p w:rsidR="00000000" w:rsidDel="00000000" w:rsidP="00000000" w:rsidRDefault="00000000" w:rsidRPr="00000000" w14:paraId="00000076">
            <w:pPr>
              <w:rPr/>
            </w:pPr>
            <w:r w:rsidDel="00000000" w:rsidR="00000000" w:rsidRPr="00000000">
              <w:rPr>
                <w:rtl w:val="0"/>
              </w:rPr>
              <w:t xml:space="preserve">Essential</w:t>
            </w:r>
          </w:p>
        </w:tc>
      </w:tr>
      <w:tr>
        <w:trPr>
          <w:cantSplit w:val="0"/>
          <w:trHeight w:val="525.6" w:hRule="atLeast"/>
          <w:tblHeader w:val="0"/>
        </w:trPr>
        <w:tc>
          <w:tcPr/>
          <w:p w:rsidR="00000000" w:rsidDel="00000000" w:rsidP="00000000" w:rsidRDefault="00000000" w:rsidRPr="00000000" w14:paraId="00000077">
            <w:pPr>
              <w:rPr/>
            </w:pPr>
            <w:r w:rsidDel="00000000" w:rsidR="00000000" w:rsidRPr="00000000">
              <w:rPr>
                <w:b w:val="1"/>
                <w:bCs w:val="1"/>
                <w:rtl w:val="0"/>
              </w:rPr>
              <w:t xml:space="preserve">1. Direct Negotiation</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Structured resolution thread opened; parties fill forms stating deliverables vs. expectations [cite: 3].</w:t>
            </w:r>
          </w:p>
        </w:tc>
        <w:tc>
          <w:tcPr/>
          <w:p w:rsidR="00000000" w:rsidDel="00000000" w:rsidP="00000000" w:rsidRDefault="00000000" w:rsidRPr="00000000" w14:paraId="00000079">
            <w:pPr>
              <w:rPr/>
            </w:pPr>
            <w:r w:rsidDel="00000000" w:rsidR="00000000" w:rsidRPr="00000000">
              <w:rPr>
                <w:rtl w:val="0"/>
              </w:rPr>
              <w:t xml:space="preserve">0–2 days</w:t>
            </w:r>
          </w:p>
        </w:tc>
        <w:tc>
          <w:tcPr/>
          <w:p w:rsidR="00000000" w:rsidDel="00000000" w:rsidP="00000000" w:rsidRDefault="00000000" w:rsidRPr="00000000" w14:paraId="0000007A">
            <w:pPr>
              <w:rPr/>
            </w:pPr>
            <w:r w:rsidDel="00000000" w:rsidR="00000000" w:rsidRPr="00000000">
              <w:rPr>
                <w:rtl w:val="0"/>
              </w:rPr>
              <w:t xml:space="preserve">Internal</w:t>
            </w:r>
          </w:p>
        </w:tc>
      </w:tr>
      <w:tr>
        <w:trPr>
          <w:cantSplit w:val="0"/>
          <w:trHeight w:val="525.6" w:hRule="atLeast"/>
          <w:tblHeader w:val="0"/>
        </w:trPr>
        <w:tc>
          <w:tcPr/>
          <w:p w:rsidR="00000000" w:rsidDel="00000000" w:rsidP="00000000" w:rsidRDefault="00000000" w:rsidRPr="00000000" w14:paraId="0000007B">
            <w:pPr>
              <w:rPr/>
            </w:pPr>
            <w:r w:rsidDel="00000000" w:rsidR="00000000" w:rsidRPr="00000000">
              <w:rPr>
                <w:b w:val="1"/>
                <w:bCs w:val="1"/>
                <w:rtl w:val="0"/>
              </w:rPr>
              <w:t xml:space="preserve">2. Evidence Submission</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Platform auto-pulls chat logs and files; parties categorize dispute (e.g., non-delivery) [cite: 1, 3].</w:t>
            </w:r>
          </w:p>
        </w:tc>
        <w:tc>
          <w:tcPr/>
          <w:p w:rsidR="00000000" w:rsidDel="00000000" w:rsidP="00000000" w:rsidRDefault="00000000" w:rsidRPr="00000000" w14:paraId="0000007D">
            <w:pPr>
              <w:rPr/>
            </w:pPr>
            <w:r w:rsidDel="00000000" w:rsidR="00000000" w:rsidRPr="00000000">
              <w:rPr>
                <w:rtl w:val="0"/>
              </w:rPr>
              <w:t xml:space="preserve">Ongoing</w:t>
            </w:r>
          </w:p>
        </w:tc>
        <w:tc>
          <w:tcPr/>
          <w:p w:rsidR="00000000" w:rsidDel="00000000" w:rsidP="00000000" w:rsidRDefault="00000000" w:rsidRPr="00000000" w14:paraId="0000007E">
            <w:pPr>
              <w:rPr/>
            </w:pPr>
            <w:r w:rsidDel="00000000" w:rsidR="00000000" w:rsidRPr="00000000">
              <w:rPr>
                <w:rtl w:val="0"/>
              </w:rPr>
              <w:t xml:space="preserve">Internal</w:t>
            </w:r>
          </w:p>
        </w:tc>
      </w:tr>
      <w:tr>
        <w:trPr>
          <w:cantSplit w:val="0"/>
          <w:trHeight w:val="525.6" w:hRule="atLeast"/>
          <w:tblHeader w:val="0"/>
        </w:trPr>
        <w:tc>
          <w:tcPr/>
          <w:p w:rsidR="00000000" w:rsidDel="00000000" w:rsidP="00000000" w:rsidRDefault="00000000" w:rsidRPr="00000000" w14:paraId="0000007F">
            <w:pPr>
              <w:rPr/>
            </w:pPr>
            <w:r w:rsidDel="00000000" w:rsidR="00000000" w:rsidRPr="00000000">
              <w:rPr>
                <w:b w:val="1"/>
                <w:bCs w:val="1"/>
                <w:rtl w:val="0"/>
              </w:rPr>
              <w:t xml:space="preserve">3. Platform Mediation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Trained mediator issues a non-binding recommendation (full release, refund, or partial split) [cite: 3].</w:t>
            </w:r>
          </w:p>
        </w:tc>
        <w:tc>
          <w:tcPr/>
          <w:p w:rsidR="00000000" w:rsidDel="00000000" w:rsidP="00000000" w:rsidRDefault="00000000" w:rsidRPr="00000000" w14:paraId="00000081">
            <w:pPr>
              <w:rPr/>
            </w:pPr>
            <w:r w:rsidDel="00000000" w:rsidR="00000000" w:rsidRPr="00000000">
              <w:rPr>
                <w:rtl w:val="0"/>
              </w:rPr>
              <w:t xml:space="preserve">3–5 days</w:t>
            </w:r>
          </w:p>
        </w:tc>
        <w:tc>
          <w:tcPr/>
          <w:p w:rsidR="00000000" w:rsidDel="00000000" w:rsidP="00000000" w:rsidRDefault="00000000" w:rsidRPr="00000000" w14:paraId="00000082">
            <w:pPr>
              <w:rPr/>
            </w:pPr>
            <w:r w:rsidDel="00000000" w:rsidR="00000000" w:rsidRPr="00000000">
              <w:rPr>
                <w:rtl w:val="0"/>
              </w:rPr>
              <w:t xml:space="preserve">Internal</w:t>
            </w:r>
          </w:p>
        </w:tc>
      </w:tr>
      <w:tr>
        <w:trPr>
          <w:cantSplit w:val="0"/>
          <w:trHeight w:val="525.6" w:hRule="atLeast"/>
          <w:tblHeader w:val="0"/>
        </w:trPr>
        <w:tc>
          <w:tcPr/>
          <w:p w:rsidR="00000000" w:rsidDel="00000000" w:rsidP="00000000" w:rsidRDefault="00000000" w:rsidRPr="00000000" w14:paraId="00000083">
            <w:pPr>
              <w:rPr/>
            </w:pPr>
            <w:r w:rsidDel="00000000" w:rsidR="00000000" w:rsidRPr="00000000">
              <w:rPr>
                <w:b w:val="1"/>
                <w:bCs w:val="1"/>
                <w:rtl w:val="0"/>
              </w:rPr>
              <w:t xml:space="preserve">4. Arbitration</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Case escalates to AACCSA if mediation fails; platform hands over the assembled evidence bundle [cite: 1, 3].</w:t>
            </w:r>
          </w:p>
        </w:tc>
        <w:tc>
          <w:tcPr/>
          <w:p w:rsidR="00000000" w:rsidDel="00000000" w:rsidP="00000000" w:rsidRDefault="00000000" w:rsidRPr="00000000" w14:paraId="00000085">
            <w:pPr>
              <w:rPr/>
            </w:pPr>
            <w:r w:rsidDel="00000000" w:rsidR="00000000" w:rsidRPr="00000000">
              <w:rPr>
                <w:rtl w:val="0"/>
              </w:rPr>
              <w:t xml:space="preserve">30–60 days</w:t>
            </w:r>
          </w:p>
        </w:tc>
        <w:tc>
          <w:tcPr/>
          <w:p w:rsidR="00000000" w:rsidDel="00000000" w:rsidP="00000000" w:rsidRDefault="00000000" w:rsidRPr="00000000" w14:paraId="00000086">
            <w:pPr>
              <w:rPr/>
            </w:pPr>
            <w:r w:rsidDel="00000000" w:rsidR="00000000" w:rsidRPr="00000000">
              <w:rPr>
                <w:rtl w:val="0"/>
              </w:rPr>
              <w:t xml:space="preserve">Binding</w:t>
            </w:r>
          </w:p>
        </w:tc>
      </w:tr>
    </w:tbl>
    <w:p w:rsidR="00000000" w:rsidDel="00000000" w:rsidP="00000000" w:rsidRDefault="00000000" w:rsidRPr="00000000" w14:paraId="00000087">
      <w:pPr>
        <w:pStyle w:val="Heading2"/>
        <w:rPr/>
      </w:pPr>
      <w:bookmarkStart w:colFirst="0" w:colLast="0" w:name="_t9dnhz5zvskw" w:id="21"/>
      <w:bookmarkEnd w:id="21"/>
      <w:r w:rsidDel="00000000" w:rsidR="00000000" w:rsidRPr="00000000">
        <w:rPr>
          <w:rtl w:val="0"/>
        </w:rPr>
        <w:t xml:space="preserve">Statutory Arbitration: Proclamation No. 1237/2021</w:t>
      </w:r>
    </w:p>
    <w:p w:rsidR="00000000" w:rsidDel="00000000" w:rsidP="00000000" w:rsidRDefault="00000000" w:rsidRPr="00000000" w14:paraId="00000088">
      <w:pPr>
        <w:rPr/>
      </w:pPr>
      <w:r w:rsidDel="00000000" w:rsidR="00000000" w:rsidRPr="00000000">
        <w:rPr>
          <w:rtl w:val="0"/>
        </w:rPr>
        <w:t xml:space="preserve">If a dispute cannot be resolved through internal mediation, it moves to binding arbitration in Addis Ababa under the Arbitration and Conciliation Proclamation No. 1237/2021 [cite: 1, 2]. The platform names the Addis Ababa Chamber of Commerce and Sectoral Associations (AACCSA) as the preferred arbitral institution [cite: 2, 4]. Arbitration awards are final and binding in Ethiopia, and because Ethiopia acceded to the New York Convention in 2020, these awards are internationally enforceable—a critical factor for future expansion to foreign or diaspora clients [cite: 1, 4].</w:t>
      </w:r>
    </w:p>
    <w:p w:rsidR="00000000" w:rsidDel="00000000" w:rsidP="00000000" w:rsidRDefault="00000000" w:rsidRPr="00000000" w14:paraId="00000089">
      <w:pPr>
        <w:pStyle w:val="Heading1"/>
        <w:rPr/>
      </w:pPr>
      <w:bookmarkStart w:colFirst="0" w:colLast="0" w:name="_4lh0vaebaro0" w:id="22"/>
      <w:bookmarkEnd w:id="22"/>
      <w:r w:rsidDel="00000000" w:rsidR="00000000" w:rsidRPr="00000000">
        <w:rPr>
          <w:rtl w:val="0"/>
        </w:rPr>
        <w:t xml:space="preserve">Market Strategy and Business Model</w:t>
      </w:r>
    </w:p>
    <w:p w:rsidR="00000000" w:rsidDel="00000000" w:rsidP="00000000" w:rsidRDefault="00000000" w:rsidRPr="00000000" w14:paraId="0000008A">
      <w:pPr>
        <w:rPr/>
      </w:pPr>
      <w:r w:rsidDel="00000000" w:rsidR="00000000" w:rsidRPr="00000000">
        <w:rPr>
          <w:rtl w:val="0"/>
        </w:rPr>
        <w:t xml:space="preserve">To outperform existing informal channels and global platforms, the marketplace must offer a superior value proposition centered on local trust and lower fees.</w:t>
      </w:r>
    </w:p>
    <w:p w:rsidR="00000000" w:rsidDel="00000000" w:rsidP="00000000" w:rsidRDefault="00000000" w:rsidRPr="00000000" w14:paraId="0000008B">
      <w:pPr>
        <w:pStyle w:val="Heading2"/>
        <w:rPr/>
      </w:pPr>
      <w:bookmarkStart w:colFirst="0" w:colLast="0" w:name="_5yr8sopdkb07" w:id="23"/>
      <w:bookmarkEnd w:id="23"/>
      <w:r w:rsidDel="00000000" w:rsidR="00000000" w:rsidRPr="00000000">
        <w:rPr>
          <w:rtl w:val="0"/>
        </w:rPr>
        <w:t xml:space="preserve">Competitive Positioning</w:t>
      </w:r>
    </w:p>
    <w:tbl>
      <w:tblPr>
        <w:tblStyle w:val="Table4"/>
        <w:tblW w:w="14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525.6" w:hRule="atLeast"/>
          <w:tblHeader w:val="1"/>
        </w:trPr>
        <w:tc>
          <w:tcPr/>
          <w:p w:rsidR="00000000" w:rsidDel="00000000" w:rsidP="00000000" w:rsidRDefault="00000000" w:rsidRPr="00000000" w14:paraId="0000008C">
            <w:pPr>
              <w:rPr/>
            </w:pPr>
            <w:r w:rsidDel="00000000" w:rsidR="00000000" w:rsidRPr="00000000">
              <w:rPr>
                <w:rtl w:val="0"/>
              </w:rPr>
              <w:t xml:space="preserve">Platform</w:t>
            </w:r>
          </w:p>
        </w:tc>
        <w:tc>
          <w:tcPr/>
          <w:p w:rsidR="00000000" w:rsidDel="00000000" w:rsidP="00000000" w:rsidRDefault="00000000" w:rsidRPr="00000000" w14:paraId="0000008D">
            <w:pPr>
              <w:rPr/>
            </w:pPr>
            <w:r w:rsidDel="00000000" w:rsidR="00000000" w:rsidRPr="00000000">
              <w:rPr>
                <w:rtl w:val="0"/>
              </w:rPr>
              <w:t xml:space="preserve">Fee Structure</w:t>
            </w:r>
          </w:p>
        </w:tc>
        <w:tc>
          <w:tcPr/>
          <w:p w:rsidR="00000000" w:rsidDel="00000000" w:rsidP="00000000" w:rsidRDefault="00000000" w:rsidRPr="00000000" w14:paraId="0000008E">
            <w:pPr>
              <w:rPr/>
            </w:pPr>
            <w:r w:rsidDel="00000000" w:rsidR="00000000" w:rsidRPr="00000000">
              <w:rPr>
                <w:rtl w:val="0"/>
              </w:rPr>
              <w:t xml:space="preserve">Local Integration</w:t>
            </w:r>
          </w:p>
        </w:tc>
        <w:tc>
          <w:tcPr/>
          <w:p w:rsidR="00000000" w:rsidDel="00000000" w:rsidP="00000000" w:rsidRDefault="00000000" w:rsidRPr="00000000" w14:paraId="0000008F">
            <w:pPr>
              <w:rPr/>
            </w:pPr>
            <w:r w:rsidDel="00000000" w:rsidR="00000000" w:rsidRPr="00000000">
              <w:rPr>
                <w:rtl w:val="0"/>
              </w:rPr>
              <w:t xml:space="preserve">Dispute Recourse</w:t>
            </w:r>
          </w:p>
        </w:tc>
      </w:tr>
      <w:tr>
        <w:trPr>
          <w:cantSplit w:val="0"/>
          <w:trHeight w:val="525.6" w:hRule="atLeast"/>
          <w:tblHeader w:val="0"/>
        </w:trPr>
        <w:tc>
          <w:tcPr/>
          <w:p w:rsidR="00000000" w:rsidDel="00000000" w:rsidP="00000000" w:rsidRDefault="00000000" w:rsidRPr="00000000" w14:paraId="00000090">
            <w:pPr>
              <w:rPr/>
            </w:pPr>
            <w:r w:rsidDel="00000000" w:rsidR="00000000" w:rsidRPr="00000000">
              <w:rPr>
                <w:b w:val="1"/>
                <w:bCs w:val="1"/>
                <w:rtl w:val="0"/>
              </w:rPr>
              <w:t xml:space="preserve">Global (Upwork/Fiverr)</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10–20% [cite: 1, 3]</w:t>
            </w:r>
          </w:p>
        </w:tc>
        <w:tc>
          <w:tcPr/>
          <w:p w:rsidR="00000000" w:rsidDel="00000000" w:rsidP="00000000" w:rsidRDefault="00000000" w:rsidRPr="00000000" w14:paraId="00000092">
            <w:pPr>
              <w:rPr/>
            </w:pPr>
            <w:r w:rsidDel="00000000" w:rsidR="00000000" w:rsidRPr="00000000">
              <w:rPr>
                <w:rtl w:val="0"/>
              </w:rPr>
              <w:t xml:space="preserve">None (no ETB rails)</w:t>
            </w:r>
          </w:p>
        </w:tc>
        <w:tc>
          <w:tcPr/>
          <w:p w:rsidR="00000000" w:rsidDel="00000000" w:rsidP="00000000" w:rsidRDefault="00000000" w:rsidRPr="00000000" w14:paraId="00000093">
            <w:pPr>
              <w:rPr/>
            </w:pPr>
            <w:r w:rsidDel="00000000" w:rsidR="00000000" w:rsidRPr="00000000">
              <w:rPr>
                <w:rtl w:val="0"/>
              </w:rPr>
              <w:t xml:space="preserve">Global arbitration (costly)</w:t>
            </w:r>
          </w:p>
        </w:tc>
      </w:tr>
      <w:tr>
        <w:trPr>
          <w:cantSplit w:val="0"/>
          <w:trHeight w:val="525.6" w:hRule="atLeast"/>
          <w:tblHeader w:val="0"/>
        </w:trPr>
        <w:tc>
          <w:tcPr/>
          <w:p w:rsidR="00000000" w:rsidDel="00000000" w:rsidP="00000000" w:rsidRDefault="00000000" w:rsidRPr="00000000" w14:paraId="00000094">
            <w:pPr>
              <w:rPr/>
            </w:pPr>
            <w:r w:rsidDel="00000000" w:rsidR="00000000" w:rsidRPr="00000000">
              <w:rPr>
                <w:b w:val="1"/>
                <w:bCs w:val="1"/>
                <w:rtl w:val="0"/>
              </w:rPr>
              <w:t xml:space="preserve">Informal (Telegram)</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0%</w:t>
            </w:r>
          </w:p>
        </w:tc>
        <w:tc>
          <w:tcPr/>
          <w:p w:rsidR="00000000" w:rsidDel="00000000" w:rsidP="00000000" w:rsidRDefault="00000000" w:rsidRPr="00000000" w14:paraId="00000096">
            <w:pPr>
              <w:rPr/>
            </w:pPr>
            <w:r w:rsidDel="00000000" w:rsidR="00000000" w:rsidRPr="00000000">
              <w:rPr>
                <w:rtl w:val="0"/>
              </w:rPr>
              <w:t xml:space="preserve">Informal</w:t>
            </w:r>
          </w:p>
        </w:tc>
        <w:tc>
          <w:tcPr/>
          <w:p w:rsidR="00000000" w:rsidDel="00000000" w:rsidP="00000000" w:rsidRDefault="00000000" w:rsidRPr="00000000" w14:paraId="00000097">
            <w:pPr>
              <w:rPr/>
            </w:pPr>
            <w:r w:rsidDel="00000000" w:rsidR="00000000" w:rsidRPr="00000000">
              <w:rPr>
                <w:rtl w:val="0"/>
              </w:rPr>
              <w:t xml:space="preserve">None (reputation only)</w:t>
            </w:r>
          </w:p>
        </w:tc>
      </w:tr>
      <w:tr>
        <w:trPr>
          <w:cantSplit w:val="0"/>
          <w:trHeight w:val="525.6" w:hRule="atLeast"/>
          <w:tblHeader w:val="0"/>
        </w:trPr>
        <w:tc>
          <w:tcPr/>
          <w:p w:rsidR="00000000" w:rsidDel="00000000" w:rsidP="00000000" w:rsidRDefault="00000000" w:rsidRPr="00000000" w14:paraId="00000098">
            <w:pPr>
              <w:rPr/>
            </w:pPr>
            <w:r w:rsidDel="00000000" w:rsidR="00000000" w:rsidRPr="00000000">
              <w:rPr>
                <w:b w:val="1"/>
                <w:bCs w:val="1"/>
                <w:rtl w:val="0"/>
              </w:rPr>
              <w:t xml:space="preserve">Domestic Marketplace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10–15% (split) [cite: 1, 3]</w:t>
            </w:r>
          </w:p>
        </w:tc>
        <w:tc>
          <w:tcPr/>
          <w:p w:rsidR="00000000" w:rsidDel="00000000" w:rsidP="00000000" w:rsidRDefault="00000000" w:rsidRPr="00000000" w14:paraId="0000009A">
            <w:pPr>
              <w:rPr/>
            </w:pPr>
            <w:r w:rsidDel="00000000" w:rsidR="00000000" w:rsidRPr="00000000">
              <w:rPr>
                <w:rtl w:val="0"/>
              </w:rPr>
              <w:t xml:space="preserve">Native (Telebirr/CBE)</w:t>
            </w:r>
          </w:p>
        </w:tc>
        <w:tc>
          <w:tcPr/>
          <w:p w:rsidR="00000000" w:rsidDel="00000000" w:rsidP="00000000" w:rsidRDefault="00000000" w:rsidRPr="00000000" w14:paraId="0000009B">
            <w:pPr>
              <w:rPr/>
            </w:pPr>
            <w:r w:rsidDel="00000000" w:rsidR="00000000" w:rsidRPr="00000000">
              <w:rPr>
                <w:rtl w:val="0"/>
              </w:rPr>
              <w:t xml:space="preserve">AACCSA Arbitration</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 "take-rate" of 10–15% per transaction is suggested, split between the client and the freelancer (e.g., 5% each) [cite: 1, 3]. This is materially lower than the global standard, making it attractive in Birr terms.</w:t>
      </w:r>
    </w:p>
    <w:p w:rsidR="00000000" w:rsidDel="00000000" w:rsidP="00000000" w:rsidRDefault="00000000" w:rsidRPr="00000000" w14:paraId="0000009E">
      <w:pPr>
        <w:pStyle w:val="Heading2"/>
        <w:rPr/>
      </w:pPr>
      <w:bookmarkStart w:colFirst="0" w:colLast="0" w:name="_17wv8hqq1t5o" w:id="24"/>
      <w:bookmarkEnd w:id="24"/>
      <w:r w:rsidDel="00000000" w:rsidR="00000000" w:rsidRPr="00000000">
        <w:rPr>
          <w:rtl w:val="0"/>
        </w:rPr>
        <w:t xml:space="preserve">Launch Strategy: Skill Categorization</w:t>
      </w:r>
    </w:p>
    <w:p w:rsidR="00000000" w:rsidDel="00000000" w:rsidP="00000000" w:rsidRDefault="00000000" w:rsidRPr="00000000" w14:paraId="0000009F">
      <w:pPr>
        <w:rPr/>
      </w:pPr>
      <w:r w:rsidDel="00000000" w:rsidR="00000000" w:rsidRPr="00000000">
        <w:rPr>
          <w:rtl w:val="0"/>
        </w:rPr>
        <w:t xml:space="preserve">Rather than launching as a general-purpose marketplace, the platform should target high-demand "soft, tech, and digital" skills where output is easily verified online [cite: 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Tech:</w:t>
      </w:r>
      <w:r w:rsidDel="00000000" w:rsidR="00000000" w:rsidRPr="00000000">
        <w:rPr>
          <w:rtl w:val="0"/>
        </w:rPr>
        <w:t xml:space="preserve"> Web and mobile development, QA testing, and WordPress maintenance [cite: 1, 3].</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Digital/Creative:</w:t>
      </w:r>
      <w:r w:rsidDel="00000000" w:rsidR="00000000" w:rsidRPr="00000000">
        <w:rPr>
          <w:rtl w:val="0"/>
        </w:rPr>
        <w:t xml:space="preserve"> Graphic design, content writing (English + Amharic), video editing, and SEO [cite: 1, 3].</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Professional Services:</w:t>
      </w:r>
      <w:r w:rsidDel="00000000" w:rsidR="00000000" w:rsidRPr="00000000">
        <w:rPr>
          <w:rtl w:val="0"/>
        </w:rPr>
        <w:t xml:space="preserve"> Virtual assistance, bookkeeping, and basic HR/recruitment support [cite: 1, 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Focusing on 4–6 narrow subcategories initially allows the platform to build supply-demand liquidity and test the escrow/dispute logic before scaling to more complex service lines [cite: 1, 3].</w:t>
      </w:r>
    </w:p>
    <w:p w:rsidR="00000000" w:rsidDel="00000000" w:rsidP="00000000" w:rsidRDefault="00000000" w:rsidRPr="00000000" w14:paraId="000000A6">
      <w:pPr>
        <w:pStyle w:val="Heading1"/>
        <w:rPr/>
      </w:pPr>
      <w:bookmarkStart w:colFirst="0" w:colLast="0" w:name="_u4mv3aelpa3i" w:id="25"/>
      <w:bookmarkEnd w:id="25"/>
      <w:r w:rsidDel="00000000" w:rsidR="00000000" w:rsidRPr="00000000">
        <w:rPr>
          <w:rtl w:val="0"/>
        </w:rPr>
        <w:t xml:space="preserve">Conclusion</w:t>
      </w:r>
    </w:p>
    <w:p w:rsidR="00000000" w:rsidDel="00000000" w:rsidP="00000000" w:rsidRDefault="00000000" w:rsidRPr="00000000" w14:paraId="000000A7">
      <w:pPr>
        <w:rPr/>
      </w:pPr>
      <w:r w:rsidDel="00000000" w:rsidR="00000000" w:rsidRPr="00000000">
        <w:rPr>
          <w:rtl w:val="0"/>
        </w:rPr>
        <w:t xml:space="preserve">The successful implementation of a domestic freelance marketplace in Ethiopia requires more than just functional software; it requires a robust legal design that protects users from the "misclassification" trap and ensures payment security through escrow. By aligning the platform's Master Service Agreement with the Civil Code, the Electronic Transactions Proclamation, and the Data Protection Proclamation, the marketplace can offer a level of security that informal Telegram groups cannot match.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integration of local payment systems like Telebirr, combined with a structured dispute resolution flow ending in AACCSA-backed arbitration, provides a complete ecosystem of trust. For the freelancer, this architecture ensures timely payment and IP protection. For the client, it ensures deliverable quality and legal clarity. Ultimately, this marketplace serves as a critical bridge, transitioning the Ethiopian workforce from the precarious informal sector into a formalized, contract-backed digital future.</w:t>
      </w:r>
    </w:p>
    <w:p w:rsidR="00000000" w:rsidDel="00000000" w:rsidP="00000000" w:rsidRDefault="00000000" w:rsidRPr="00000000" w14:paraId="000000AA">
      <w:pPr>
        <w:pStyle w:val="Heading1"/>
        <w:rPr/>
      </w:pPr>
      <w:bookmarkStart w:colFirst="0" w:colLast="0" w:name="_netoe7kn5agt" w:id="26"/>
      <w:bookmarkEnd w:id="26"/>
      <w:r w:rsidDel="00000000" w:rsidR="00000000" w:rsidRPr="00000000">
        <w:rPr>
          <w:rtl w:val="0"/>
        </w:rPr>
        <w:t xml:space="preserve">Sources</w:t>
      </w:r>
    </w:p>
    <w:p w:rsidR="00000000" w:rsidDel="00000000" w:rsidP="00000000" w:rsidRDefault="00000000" w:rsidRPr="00000000" w14:paraId="000000AB">
      <w:pPr>
        <w:numPr>
          <w:ilvl w:val="0"/>
          <w:numId w:val="1"/>
        </w:numPr>
        <w:ind w:left="720" w:hanging="360"/>
      </w:pPr>
      <w:hyperlink r:id="rId6">
        <w:r w:rsidDel="00000000" w:rsidR="00000000" w:rsidRPr="00000000">
          <w:rPr>
            <w:color w:val="1155cc"/>
            <w:u w:val="single"/>
            <w:rtl w:val="0"/>
          </w:rPr>
          <w:t xml:space="preserve">Ethiopian Freelance Marketplace - Legal Design and Implementation (Draft 0).docx</w:t>
        </w:r>
      </w:hyperlink>
      <w:r w:rsidDel="00000000" w:rsidR="00000000" w:rsidRPr="00000000">
        <w:rPr>
          <w:rtl w:val="0"/>
        </w:rPr>
      </w:r>
    </w:p>
    <w:p w:rsidR="00000000" w:rsidDel="00000000" w:rsidP="00000000" w:rsidRDefault="00000000" w:rsidRPr="00000000" w14:paraId="000000AC">
      <w:pPr>
        <w:numPr>
          <w:ilvl w:val="0"/>
          <w:numId w:val="1"/>
        </w:numPr>
        <w:ind w:left="720" w:hanging="360"/>
      </w:pPr>
      <w:hyperlink r:id="rId7">
        <w:r w:rsidDel="00000000" w:rsidR="00000000" w:rsidRPr="00000000">
          <w:rPr>
            <w:color w:val="1155cc"/>
            <w:u w:val="single"/>
            <w:rtl w:val="0"/>
          </w:rPr>
          <w:t xml:space="preserve">Ethiopian Freelance Marketplace - Legal Design and Implementation (Draft 0)</w:t>
        </w:r>
      </w:hyperlink>
      <w:r w:rsidDel="00000000" w:rsidR="00000000" w:rsidRPr="00000000">
        <w:rPr>
          <w:rtl w:val="0"/>
        </w:rPr>
      </w:r>
    </w:p>
    <w:p w:rsidR="00000000" w:rsidDel="00000000" w:rsidP="00000000" w:rsidRDefault="00000000" w:rsidRPr="00000000" w14:paraId="000000AD">
      <w:pPr>
        <w:numPr>
          <w:ilvl w:val="0"/>
          <w:numId w:val="1"/>
        </w:numPr>
        <w:ind w:left="720" w:hanging="360"/>
      </w:pPr>
      <w:hyperlink r:id="rId8">
        <w:r w:rsidDel="00000000" w:rsidR="00000000" w:rsidRPr="00000000">
          <w:rPr>
            <w:color w:val="1155cc"/>
            <w:u w:val="single"/>
            <w:rtl w:val="0"/>
          </w:rPr>
          <w:t xml:space="preserve">Draft 0 of legal design and implementation</w:t>
        </w:r>
      </w:hyperlink>
      <w:r w:rsidDel="00000000" w:rsidR="00000000" w:rsidRPr="00000000">
        <w:rPr>
          <w:rtl w:val="0"/>
        </w:rPr>
      </w:r>
    </w:p>
    <w:p w:rsidR="00000000" w:rsidDel="00000000" w:rsidP="00000000" w:rsidRDefault="00000000" w:rsidRPr="00000000" w14:paraId="000000AE">
      <w:pPr>
        <w:numPr>
          <w:ilvl w:val="0"/>
          <w:numId w:val="1"/>
        </w:numPr>
        <w:ind w:left="720" w:hanging="360"/>
      </w:pPr>
      <w:hyperlink r:id="rId9">
        <w:r w:rsidDel="00000000" w:rsidR="00000000" w:rsidRPr="00000000">
          <w:rPr>
            <w:color w:val="1155cc"/>
            <w:u w:val="single"/>
            <w:rtl w:val="0"/>
          </w:rPr>
          <w:t xml:space="preserve">Ethiopian Marketplace ToS Legal Review</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ibre Baskervill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w:embedRegular w:fontKey="{00000000-0000-0000-0000-000000000000}" r:id="rId7" w:subsetted="0"/>
    <w:embedBold w:fontKey="{00000000-0000-0000-0000-000000000000}" r:id="rId8" w:subsetted="0"/>
  </w:font>
  <w:font w:name="Merriweath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1f1f1f"/>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48"/>
      <w:szCs w:val="48"/>
    </w:rPr>
  </w:style>
  <w:style w:type="paragraph" w:styleId="Heading2">
    <w:name w:val="heading 2"/>
    <w:basedOn w:val="Normal"/>
    <w:next w:val="Normal"/>
    <w:pPr>
      <w:keepNext w:val="1"/>
      <w:keepLines w:val="1"/>
      <w:pageBreakBefore w:val="0"/>
      <w:spacing w:after="80" w:before="360" w:lineRule="auto"/>
    </w:pPr>
    <w:rPr>
      <w:rFonts w:ascii="Merriweather" w:cs="Merriweather" w:eastAsia="Merriweather" w:hAnsi="Merriweather"/>
      <w:b w:val="1"/>
      <w:bCs w:val="1"/>
      <w:color w:val="1f1f1f"/>
      <w:sz w:val="36"/>
      <w:szCs w:val="36"/>
    </w:rPr>
  </w:style>
  <w:style w:type="paragraph" w:styleId="Heading3">
    <w:name w:val="heading 3"/>
    <w:basedOn w:val="Normal"/>
    <w:next w:val="Normal"/>
    <w:pPr>
      <w:keepNext w:val="1"/>
      <w:keepLines w:val="1"/>
      <w:pageBreakBefore w:val="0"/>
      <w:spacing w:after="80" w:before="280" w:lineRule="auto"/>
    </w:pPr>
    <w:rPr>
      <w:rFonts w:ascii="Merriweather" w:cs="Merriweather" w:eastAsia="Merriweather" w:hAnsi="Merriweather"/>
      <w:b w:val="1"/>
      <w:bCs w:val="1"/>
      <w:color w:val="1f1f1f"/>
      <w:sz w:val="28"/>
      <w:szCs w:val="28"/>
    </w:rPr>
  </w:style>
  <w:style w:type="paragraph" w:styleId="Heading4">
    <w:name w:val="heading 4"/>
    <w:basedOn w:val="Normal"/>
    <w:next w:val="Normal"/>
    <w:pPr>
      <w:keepNext w:val="1"/>
      <w:keepLines w:val="1"/>
      <w:pageBreakBefore w:val="0"/>
      <w:spacing w:after="40" w:before="240" w:lineRule="auto"/>
    </w:pPr>
    <w:rPr>
      <w:rFonts w:ascii="Libre Baskerville" w:cs="Libre Baskerville" w:eastAsia="Libre Baskerville" w:hAnsi="Libre Baskerville"/>
      <w:b w:val="1"/>
      <w:bCs w:val="1"/>
      <w:color w:val="1f1f1f"/>
      <w:sz w:val="24"/>
      <w:szCs w:val="24"/>
    </w:rPr>
  </w:style>
  <w:style w:type="paragraph" w:styleId="Heading5">
    <w:name w:val="heading 5"/>
    <w:basedOn w:val="Normal"/>
    <w:next w:val="Normal"/>
    <w:pPr>
      <w:keepNext w:val="1"/>
      <w:keepLines w:val="1"/>
      <w:pageBreakBefore w:val="0"/>
      <w:spacing w:after="40" w:before="220" w:lineRule="auto"/>
    </w:pPr>
    <w:rPr>
      <w:rFonts w:ascii="Lexend" w:cs="Lexend" w:eastAsia="Lexend" w:hAnsi="Lexend"/>
      <w:b w:val="1"/>
      <w:bCs w:val="1"/>
      <w:color w:val="1f1f1f"/>
      <w:sz w:val="24"/>
      <w:szCs w:val="24"/>
    </w:rPr>
  </w:style>
  <w:style w:type="paragraph" w:styleId="Heading6">
    <w:name w:val="heading 6"/>
    <w:basedOn w:val="Normal"/>
    <w:next w:val="Normal"/>
    <w:pPr>
      <w:keepNext w:val="1"/>
      <w:keepLines w:val="1"/>
      <w:pageBreakBefore w:val="0"/>
      <w:spacing w:after="40" w:before="200" w:lineRule="auto"/>
    </w:pPr>
    <w:rPr>
      <w:rFonts w:ascii="Lexend Light" w:cs="Lexend Light" w:eastAsia="Lexend Light" w:hAnsi="Lexend Light"/>
      <w:b w:val="1"/>
      <w:bCs w:val="1"/>
      <w:i w:val="1"/>
      <w:iCs w:val="1"/>
      <w:color w:val="1f1f1f"/>
      <w:sz w:val="24"/>
      <w:szCs w:val="24"/>
    </w:rPr>
  </w:style>
  <w:style w:type="paragraph" w:styleId="Title">
    <w:name w:val="Title"/>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72"/>
      <w:szCs w:val="72"/>
    </w:rPr>
  </w:style>
  <w:style w:type="paragraph" w:styleId="Subtitle">
    <w:name w:val="Subtitle"/>
    <w:basedOn w:val="Normal"/>
    <w:next w:val="Normal"/>
    <w:pPr>
      <w:keepNext w:val="1"/>
      <w:keepLines w:val="1"/>
      <w:pageBreakBefore w:val="0"/>
      <w:spacing w:after="80" w:before="360" w:lineRule="auto"/>
    </w:pPr>
    <w:rPr>
      <w:rFonts w:ascii="Lexend Light" w:cs="Lexend Light" w:eastAsia="Lexend Light" w:hAnsi="Lexend Light"/>
      <w:i w:val="1"/>
      <w:iCs w:val="1"/>
      <w:color w:val="1f1f1f"/>
      <w:sz w:val="36"/>
      <w:szCs w:val="36"/>
    </w:rPr>
  </w:style>
  <w:style w:type="table" w:styleId="Table1">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2">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3">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4">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u899iAhuzuqZl0FyLdGmckw84zsBgxmMYep4__jO6_Q" TargetMode="External"/><Relationship Id="rId5" Type="http://schemas.openxmlformats.org/officeDocument/2006/relationships/styles" Target="styles.xml"/><Relationship Id="rId6" Type="http://schemas.openxmlformats.org/officeDocument/2006/relationships/hyperlink" Target="https://drive.google.com/open?id=10GEfrQ6M5dosvw1yD_OhHSzKJb6bqlvz" TargetMode="External"/><Relationship Id="rId7" Type="http://schemas.openxmlformats.org/officeDocument/2006/relationships/hyperlink" Target="https://drive.google.com/open?id=1dbJik3nRqv9U0Fo24K0knGMPjHUdL4hUbqkfOqvjdxs" TargetMode="External"/><Relationship Id="rId8" Type="http://schemas.openxmlformats.org/officeDocument/2006/relationships/hyperlink" Target="https://drive.google.com/open?id=1yV42NluAYXD9aVQmi6RwYBjqFCDSTs_i4PAwlnBTYs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ibreBaskerville-regular.ttf"/><Relationship Id="rId4" Type="http://schemas.openxmlformats.org/officeDocument/2006/relationships/font" Target="fonts/LibreBaskerville-bold.ttf"/><Relationship Id="rId11" Type="http://schemas.openxmlformats.org/officeDocument/2006/relationships/font" Target="fonts/Merriweather-italic.ttf"/><Relationship Id="rId10" Type="http://schemas.openxmlformats.org/officeDocument/2006/relationships/font" Target="fonts/Merriweather-bold.ttf"/><Relationship Id="rId12" Type="http://schemas.openxmlformats.org/officeDocument/2006/relationships/font" Target="fonts/Merriweather-boldItalic.ttf"/><Relationship Id="rId9" Type="http://schemas.openxmlformats.org/officeDocument/2006/relationships/font" Target="fonts/Merriweather-regular.ttf"/><Relationship Id="rId5" Type="http://schemas.openxmlformats.org/officeDocument/2006/relationships/font" Target="fonts/LibreBaskerville-italic.ttf"/><Relationship Id="rId6" Type="http://schemas.openxmlformats.org/officeDocument/2006/relationships/font" Target="fonts/LibreBaskerville-boldItalic.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