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tkb6gvrdm0hb" w:id="0"/>
      <w:bookmarkEnd w:id="0"/>
      <w:r w:rsidDel="00000000" w:rsidR="00000000" w:rsidRPr="00000000">
        <w:rPr>
          <w:rtl w:val="0"/>
        </w:rPr>
        <w:t xml:space="preserve">Legal Design and Implementation of a Domestic Freelance Marketplace in Ethiopia</w:t>
      </w:r>
    </w:p>
    <w:p w:rsidR="00000000" w:rsidDel="00000000" w:rsidP="00000000" w:rsidRDefault="00000000" w:rsidRPr="00000000" w14:paraId="00000002">
      <w:pPr>
        <w:rPr/>
      </w:pPr>
      <w:r w:rsidDel="00000000" w:rsidR="00000000" w:rsidRPr="00000000">
        <w:rPr>
          <w:rtl w:val="0"/>
        </w:rPr>
        <w:t xml:space="preserve">The Ethiopian labor market is undergoing a structural transformation, transitioning from traditional informal employment toward a formalized digital gig economy. This shift is driven by a massive surge in digital literacy and the proliferation of mobile payment infrastructure. Historically, freelance work in Ethiopia has been characterized by high-risk, informal arrangements conducted through messaging platforms like Telegram and WhatsApp, which provide no legal protection or escrow mechanisms [cite: 1, 2, 3]. The implementation of a domestic freelance marketplace necessitates a sophisticated legal and technical architecture that aligns with four primary pillars: the Labour Proclamation No. 1156/2019, the Electronic Transactions Proclamation No. 1205/2020, the Personal Data Protection Proclamation No. 1321/2024, and the new 2024 Anti-Money Laundering framework [cite: 2, 4]. By functioning as a neutral electronic distribution venue and payment facilitator, the platform aims to mitigate the trust deficit between clients and freelancers while ensuring rigorous statutory compliance [cite: 1, 2, 3].</w:t>
      </w:r>
    </w:p>
    <w:p w:rsidR="00000000" w:rsidDel="00000000" w:rsidP="00000000" w:rsidRDefault="00000000" w:rsidRPr="00000000" w14:paraId="00000003">
      <w:pPr>
        <w:pStyle w:val="Heading1"/>
        <w:rPr/>
      </w:pPr>
      <w:bookmarkStart w:colFirst="0" w:colLast="0" w:name="_vqhlzr21rzqn" w:id="1"/>
      <w:bookmarkEnd w:id="1"/>
      <w:r w:rsidDel="00000000" w:rsidR="00000000" w:rsidRPr="00000000">
        <w:rPr>
          <w:rtl w:val="0"/>
        </w:rPr>
        <w:t xml:space="preserve">Jurisdictional Boundaries and the Avoidance of Employment Liability</w:t>
      </w:r>
    </w:p>
    <w:p w:rsidR="00000000" w:rsidDel="00000000" w:rsidP="00000000" w:rsidRDefault="00000000" w:rsidRPr="00000000" w14:paraId="00000004">
      <w:pPr>
        <w:rPr/>
      </w:pPr>
      <w:r w:rsidDel="00000000" w:rsidR="00000000" w:rsidRPr="00000000">
        <w:rPr>
          <w:rtl w:val="0"/>
        </w:rPr>
        <w:t xml:space="preserve">The foundational legal challenge in designing an Ethiopian marketplace is the strict distinction between employment and independent contracting. Under the Labour Proclamation No. 1156/2019, employees are entitled to comprehensive protections, including mandated working hours, leave, severance, and protection against unfair dismissal [cite: 1, 2]. Freelancers, however, fall under the "contract of services" category governed by the Civil Code and Commercial Code [cite: 2, 3]. To maintain its status as a neutral marketplace, the platform must explicitly state in its Terms of Service (ToS) that it is not an employer, agent, or supervisor of any user [cite: 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risk of relationship recharacterization—often termed "misclassification"—is a significant legal landmine. Ethiopian authorities prioritize the actual substance of the working relationship over the labels used in a contract [cite: 1]. If a freelancer works fixed hours under direct supervision and remains exclusive to one client long-term, the relationship can be legally reclassified as employment, triggering retroactive obligations for the client [cite: 1, 2]. To counter this, the platform’s auto-generated Service Agreements must reinforce independent contractor status through specific clauses.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bdc3c7" w:space="0" w:sz="4" w:val="single"/>
          <w:left w:color="000000" w:space="0" w:sz="0" w:val="nil"/>
          <w:bottom w:color="bdc3c7" w:space="0" w:sz="4" w:val="single"/>
          <w:right w:color="000000" w:space="0" w:sz="0" w:val="nil"/>
          <w:insideH w:color="ecf0f1"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8">
            <w:pPr>
              <w:rPr/>
            </w:pPr>
            <w:r w:rsidDel="00000000" w:rsidR="00000000" w:rsidRPr="00000000">
              <w:rPr>
                <w:rtl w:val="0"/>
              </w:rPr>
              <w:t xml:space="preserve">Clause Category</w:t>
            </w:r>
          </w:p>
        </w:tc>
        <w:tc>
          <w:tcPr/>
          <w:p w:rsidR="00000000" w:rsidDel="00000000" w:rsidP="00000000" w:rsidRDefault="00000000" w:rsidRPr="00000000" w14:paraId="00000009">
            <w:pPr>
              <w:rPr/>
            </w:pPr>
            <w:r w:rsidDel="00000000" w:rsidR="00000000" w:rsidRPr="00000000">
              <w:rPr>
                <w:rtl w:val="0"/>
              </w:rPr>
              <w:t xml:space="preserve">Implementation Requirement</w:t>
            </w:r>
          </w:p>
        </w:tc>
        <w:tc>
          <w:tcPr/>
          <w:p w:rsidR="00000000" w:rsidDel="00000000" w:rsidP="00000000" w:rsidRDefault="00000000" w:rsidRPr="00000000" w14:paraId="0000000A">
            <w:pPr>
              <w:rPr/>
            </w:pPr>
            <w:r w:rsidDel="00000000" w:rsidR="00000000" w:rsidRPr="00000000">
              <w:rPr>
                <w:rtl w:val="0"/>
              </w:rPr>
              <w:t xml:space="preserve">Legal Impact</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Manner and Means</w:t>
            </w:r>
          </w:p>
        </w:tc>
        <w:tc>
          <w:tcPr/>
          <w:p w:rsidR="00000000" w:rsidDel="00000000" w:rsidP="00000000" w:rsidRDefault="00000000" w:rsidRPr="00000000" w14:paraId="0000000C">
            <w:pPr>
              <w:rPr/>
            </w:pPr>
            <w:r w:rsidDel="00000000" w:rsidR="00000000" w:rsidRPr="00000000">
              <w:rPr>
                <w:rtl w:val="0"/>
              </w:rPr>
              <w:t xml:space="preserve">Freelancer retains absolute control over timing, location, and methods.</w:t>
            </w:r>
          </w:p>
        </w:tc>
        <w:tc>
          <w:tcPr/>
          <w:p w:rsidR="00000000" w:rsidDel="00000000" w:rsidP="00000000" w:rsidRDefault="00000000" w:rsidRPr="00000000" w14:paraId="0000000D">
            <w:pPr>
              <w:rPr/>
            </w:pPr>
            <w:r w:rsidDel="00000000" w:rsidR="00000000" w:rsidRPr="00000000">
              <w:rPr>
                <w:rtl w:val="0"/>
              </w:rPr>
              <w:t xml:space="preserve">Prevents supervision-based employment claims.</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Equipment and Tools</w:t>
            </w:r>
          </w:p>
        </w:tc>
        <w:tc>
          <w:tcPr/>
          <w:p w:rsidR="00000000" w:rsidDel="00000000" w:rsidP="00000000" w:rsidRDefault="00000000" w:rsidRPr="00000000" w14:paraId="0000000F">
            <w:pPr>
              <w:rPr/>
            </w:pPr>
            <w:r w:rsidDel="00000000" w:rsidR="00000000" w:rsidRPr="00000000">
              <w:rPr>
                <w:rtl w:val="0"/>
              </w:rPr>
              <w:t xml:space="preserve">Freelancer provides their own hardware, software, and workspace.</w:t>
            </w:r>
          </w:p>
        </w:tc>
        <w:tc>
          <w:tcPr/>
          <w:p w:rsidR="00000000" w:rsidDel="00000000" w:rsidP="00000000" w:rsidRDefault="00000000" w:rsidRPr="00000000" w14:paraId="00000010">
            <w:pPr>
              <w:rPr/>
            </w:pPr>
            <w:r w:rsidDel="00000000" w:rsidR="00000000" w:rsidRPr="00000000">
              <w:rPr>
                <w:rtl w:val="0"/>
              </w:rPr>
              <w:t xml:space="preserve">Establishes the independent nature of the business.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Non-Exclusivity</w:t>
            </w:r>
          </w:p>
        </w:tc>
        <w:tc>
          <w:tcPr/>
          <w:p w:rsidR="00000000" w:rsidDel="00000000" w:rsidP="00000000" w:rsidRDefault="00000000" w:rsidRPr="00000000" w14:paraId="00000012">
            <w:pPr>
              <w:rPr/>
            </w:pPr>
            <w:r w:rsidDel="00000000" w:rsidR="00000000" w:rsidRPr="00000000">
              <w:rPr>
                <w:rtl w:val="0"/>
              </w:rPr>
              <w:t xml:space="preserve">Explicit right for freelancers to serve multiple clients simultaneously.</w:t>
            </w:r>
          </w:p>
        </w:tc>
        <w:tc>
          <w:tcPr/>
          <w:p w:rsidR="00000000" w:rsidDel="00000000" w:rsidP="00000000" w:rsidRDefault="00000000" w:rsidRPr="00000000" w14:paraId="00000013">
            <w:pPr>
              <w:rPr/>
            </w:pPr>
            <w:r w:rsidDel="00000000" w:rsidR="00000000" w:rsidRPr="00000000">
              <w:rPr>
                <w:rtl w:val="0"/>
              </w:rPr>
              <w:t xml:space="preserve">Weakens the argument for economic dependency.</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No Authority to Bind</w:t>
            </w:r>
          </w:p>
        </w:tc>
        <w:tc>
          <w:tcPr/>
          <w:p w:rsidR="00000000" w:rsidDel="00000000" w:rsidP="00000000" w:rsidRDefault="00000000" w:rsidRPr="00000000" w14:paraId="00000015">
            <w:pPr>
              <w:rPr/>
            </w:pPr>
            <w:r w:rsidDel="00000000" w:rsidR="00000000" w:rsidRPr="00000000">
              <w:rPr>
                <w:rtl w:val="0"/>
              </w:rPr>
              <w:t xml:space="preserve">Freelancer cannot enter into contracts on behalf of the client.</w:t>
            </w:r>
          </w:p>
        </w:tc>
        <w:tc>
          <w:tcPr/>
          <w:p w:rsidR="00000000" w:rsidDel="00000000" w:rsidP="00000000" w:rsidRDefault="00000000" w:rsidRPr="00000000" w14:paraId="00000016">
            <w:pPr>
              <w:rPr/>
            </w:pPr>
            <w:r w:rsidDel="00000000" w:rsidR="00000000" w:rsidRPr="00000000">
              <w:rPr>
                <w:rtl w:val="0"/>
              </w:rPr>
              <w:t xml:space="preserve">Clarifies the lack of an agency relationship.</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These legal safeguards ensure the platform bears no employment liability and remains a venue for project-based transactions rather than labor-hire [cite: 2, 3]. The ToS must further clarify that the platform does not guarantee work quality or commercial outcomes, placing the burden of deliverable acceptance directly on the client within the escrow framework [cite: 2].</w:t>
      </w:r>
    </w:p>
    <w:p w:rsidR="00000000" w:rsidDel="00000000" w:rsidP="00000000" w:rsidRDefault="00000000" w:rsidRPr="00000000" w14:paraId="00000019">
      <w:pPr>
        <w:pStyle w:val="Heading1"/>
        <w:rPr/>
      </w:pPr>
      <w:bookmarkStart w:colFirst="0" w:colLast="0" w:name="_hruexz9qwehr" w:id="2"/>
      <w:bookmarkEnd w:id="2"/>
      <w:r w:rsidDel="00000000" w:rsidR="00000000" w:rsidRPr="00000000">
        <w:rPr>
          <w:rtl w:val="0"/>
        </w:rPr>
        <w:t xml:space="preserve">Regulatory Standards for Electronic Commerce and Identity</w:t>
      </w:r>
    </w:p>
    <w:p w:rsidR="00000000" w:rsidDel="00000000" w:rsidP="00000000" w:rsidRDefault="00000000" w:rsidRPr="00000000" w14:paraId="0000001A">
      <w:pPr>
        <w:rPr/>
      </w:pPr>
      <w:r w:rsidDel="00000000" w:rsidR="00000000" w:rsidRPr="00000000">
        <w:rPr>
          <w:rtl w:val="0"/>
        </w:rPr>
        <w:t xml:space="preserve">The Electronic Transactions Proclamation No. 1205/2020 serves as the primary statute governing digital contracts in Ethiopia. It grants full legal recognition to electronic signatures, effectively allowing agreements formed on the platform to be validly executed and stored online [cite: 2, 3]. However, Article 4 of the Proclamation classifies platform operators as responsible parties, mandating that they collect and verify the true identity, address, and license information of all sellers (freelancers) [cite: 2, 3].</w:t>
      </w:r>
    </w:p>
    <w:p w:rsidR="00000000" w:rsidDel="00000000" w:rsidP="00000000" w:rsidRDefault="00000000" w:rsidRPr="00000000" w14:paraId="0000001B">
      <w:pPr>
        <w:pStyle w:val="Heading2"/>
        <w:rPr/>
      </w:pPr>
      <w:bookmarkStart w:colFirst="0" w:colLast="0" w:name="_14fu28ftug0q" w:id="3"/>
      <w:bookmarkEnd w:id="3"/>
      <w:r w:rsidDel="00000000" w:rsidR="00000000" w:rsidRPr="00000000">
        <w:rPr>
          <w:rtl w:val="0"/>
        </w:rPr>
        <w:t xml:space="preserve">Mandatory Identification and KYC Protocols</w:t>
      </w:r>
    </w:p>
    <w:p w:rsidR="00000000" w:rsidDel="00000000" w:rsidP="00000000" w:rsidRDefault="00000000" w:rsidRPr="00000000" w14:paraId="0000001C">
      <w:pPr>
        <w:rPr/>
      </w:pPr>
      <w:r w:rsidDel="00000000" w:rsidR="00000000" w:rsidRPr="00000000">
        <w:rPr>
          <w:rtl w:val="0"/>
        </w:rPr>
        <w:t xml:space="preserve">To satisfy these statutory requirements, the platform must implement a rigorous Know Your Customer (KYC) and Anti-Money Laundering (AML) process. Users are required to submit valid identity documents, phone numbers, addresses, and Tax Identification Numbers (TIN) where applicable [cite: 2]. Account functionality, including contract posting and fund withdrawals, must be restricted until these checks are finalized [cite: 2, 4]. Integration with the national Fayda ID system (Proclamation No. 1284/2023) is a strategic priority, as it provides biometric-linked verification that aligns with the government's digital ID roadmap [cite: 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platform must also adhere to the "Buy Ethiopian" requirement outlined in Proclamation 1205/2020. This mandate requires that at least 50% of the offerings on the platform must be local [cite: 2, 3]. For a domestic-only launch, this requirement is easily met, but it requires continuous monitoring as the platform considers future cross-border expansion [cite: 2].</w:t>
      </w:r>
    </w:p>
    <w:p w:rsidR="00000000" w:rsidDel="00000000" w:rsidP="00000000" w:rsidRDefault="00000000" w:rsidRPr="00000000" w14:paraId="0000001F">
      <w:pPr>
        <w:pStyle w:val="Heading2"/>
        <w:rPr/>
      </w:pPr>
      <w:bookmarkStart w:colFirst="0" w:colLast="0" w:name="_ip0990x73yz0" w:id="4"/>
      <w:bookmarkEnd w:id="4"/>
      <w:r w:rsidDel="00000000" w:rsidR="00000000" w:rsidRPr="00000000">
        <w:rPr>
          <w:rtl w:val="0"/>
        </w:rPr>
        <w:t xml:space="preserve">Consumer Protection and Message Confidentiality</w:t>
      </w:r>
    </w:p>
    <w:p w:rsidR="00000000" w:rsidDel="00000000" w:rsidP="00000000" w:rsidRDefault="00000000" w:rsidRPr="00000000" w14:paraId="00000020">
      <w:pPr>
        <w:rPr/>
      </w:pPr>
      <w:r w:rsidDel="00000000" w:rsidR="00000000" w:rsidRPr="00000000">
        <w:rPr>
          <w:rtl w:val="0"/>
        </w:rPr>
        <w:t xml:space="preserve">Proclamation 1205/2020 further codifies several consumer rights that the platform must enforce through its ToS. Sellers are required to display exhaustive service details, prices, and terms, allowing buyers to review and correct orders before confirmation [cite: 2, 3]. Most critically, the law provides for a 7-day "cooling-off" period, during which consumers may cancel orders without penalty [cite: 2, 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unique challenge arises from the Proclamation’s requirement for message secrecy. While the law treats the breach of electronic message confidentiality as a criminal matter, the platform’s dispute resolution process requires access to communication logs as evidence [cite: 2, 3]. The ToS must therefore mandate that all work-related communications occur on-platform to preserve these records as evidentiary logs during disputes, essentially creating a "permitted disclosure" environment within the Service Agreement’s mutual NDA [cite: 2, 3].</w:t>
      </w:r>
    </w:p>
    <w:p w:rsidR="00000000" w:rsidDel="00000000" w:rsidP="00000000" w:rsidRDefault="00000000" w:rsidRPr="00000000" w14:paraId="00000023">
      <w:pPr>
        <w:pStyle w:val="Heading1"/>
        <w:rPr/>
      </w:pPr>
      <w:bookmarkStart w:colFirst="0" w:colLast="0" w:name="_l340n376yl0n" w:id="5"/>
      <w:bookmarkEnd w:id="5"/>
      <w:r w:rsidDel="00000000" w:rsidR="00000000" w:rsidRPr="00000000">
        <w:rPr>
          <w:rtl w:val="0"/>
        </w:rPr>
        <w:t xml:space="preserve">Financial Architecture and Escrow Custody</w:t>
      </w:r>
    </w:p>
    <w:p w:rsidR="00000000" w:rsidDel="00000000" w:rsidP="00000000" w:rsidRDefault="00000000" w:rsidRPr="00000000" w14:paraId="00000024">
      <w:pPr>
        <w:rPr/>
      </w:pPr>
      <w:r w:rsidDel="00000000" w:rsidR="00000000" w:rsidRPr="00000000">
        <w:rPr>
          <w:rtl w:val="0"/>
        </w:rPr>
        <w:t xml:space="preserve">The "trust gap" in the Ethiopian freelance market—where clients fear abandonment and freelancers fear payment default—is bridged through a dedicated escrow system [cite: 1]. The platform acts as a custodian, holding client deposits in a dedicated company account prior to project initiation [cite: 2].</w:t>
      </w:r>
    </w:p>
    <w:p w:rsidR="00000000" w:rsidDel="00000000" w:rsidP="00000000" w:rsidRDefault="00000000" w:rsidRPr="00000000" w14:paraId="00000025">
      <w:pPr>
        <w:pStyle w:val="Heading2"/>
        <w:rPr/>
      </w:pPr>
      <w:bookmarkStart w:colFirst="0" w:colLast="0" w:name="_5tu45a3t66ju" w:id="6"/>
      <w:bookmarkEnd w:id="6"/>
      <w:r w:rsidDel="00000000" w:rsidR="00000000" w:rsidRPr="00000000">
        <w:rPr>
          <w:rtl w:val="0"/>
        </w:rPr>
        <w:t xml:space="preserve">Escrow Architecture and Logic</w:t>
      </w:r>
    </w:p>
    <w:p w:rsidR="00000000" w:rsidDel="00000000" w:rsidP="00000000" w:rsidRDefault="00000000" w:rsidRPr="00000000" w14:paraId="00000026">
      <w:pPr>
        <w:rPr/>
      </w:pPr>
      <w:r w:rsidDel="00000000" w:rsidR="00000000" w:rsidRPr="00000000">
        <w:rPr>
          <w:rtl w:val="0"/>
        </w:rPr>
        <w:t xml:space="preserve">The platform can adopt one of three primary escrow models, each with distinct regulatory and operational profiles.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bdc3c7" w:space="0" w:sz="4" w:val="single"/>
          <w:left w:color="000000" w:space="0" w:sz="0" w:val="nil"/>
          <w:bottom w:color="bdc3c7" w:space="0" w:sz="4" w:val="single"/>
          <w:right w:color="000000" w:space="0" w:sz="0" w:val="nil"/>
          <w:insideH w:color="ecf0f1"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8">
            <w:pPr>
              <w:rPr/>
            </w:pPr>
            <w:r w:rsidDel="00000000" w:rsidR="00000000" w:rsidRPr="00000000">
              <w:rPr>
                <w:rtl w:val="0"/>
              </w:rPr>
              <w:t xml:space="preserve">Architecture</w:t>
            </w:r>
          </w:p>
        </w:tc>
        <w:tc>
          <w:tcPr/>
          <w:p w:rsidR="00000000" w:rsidDel="00000000" w:rsidP="00000000" w:rsidRDefault="00000000" w:rsidRPr="00000000" w14:paraId="00000029">
            <w:pPr>
              <w:rPr/>
            </w:pPr>
            <w:r w:rsidDel="00000000" w:rsidR="00000000" w:rsidRPr="00000000">
              <w:rPr>
                <w:rtl w:val="0"/>
              </w:rPr>
              <w:t xml:space="preserve">Operational Mechanism</w:t>
            </w:r>
          </w:p>
        </w:tc>
        <w:tc>
          <w:tcPr/>
          <w:p w:rsidR="00000000" w:rsidDel="00000000" w:rsidP="00000000" w:rsidRDefault="00000000" w:rsidRPr="00000000" w14:paraId="0000002A">
            <w:pPr>
              <w:rPr/>
            </w:pPr>
            <w:r w:rsidDel="00000000" w:rsidR="00000000" w:rsidRPr="00000000">
              <w:rPr>
                <w:rtl w:val="0"/>
              </w:rPr>
              <w:t xml:space="preserve">Compliance Implication</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In-Platform Wallet</w:t>
            </w:r>
          </w:p>
        </w:tc>
        <w:tc>
          <w:tcPr/>
          <w:p w:rsidR="00000000" w:rsidDel="00000000" w:rsidP="00000000" w:rsidRDefault="00000000" w:rsidRPr="00000000" w14:paraId="0000002C">
            <w:pPr>
              <w:rPr/>
            </w:pPr>
            <w:r w:rsidDel="00000000" w:rsidR="00000000" w:rsidRPr="00000000">
              <w:rPr>
                <w:rtl w:val="0"/>
              </w:rPr>
              <w:t xml:space="preserve">Clients pay into a platform-owned wallet via APIs like Telebirr.</w:t>
            </w:r>
          </w:p>
        </w:tc>
        <w:tc>
          <w:tcPr/>
          <w:p w:rsidR="00000000" w:rsidDel="00000000" w:rsidP="00000000" w:rsidRDefault="00000000" w:rsidRPr="00000000" w14:paraId="0000002D">
            <w:pPr>
              <w:rPr/>
            </w:pPr>
            <w:r w:rsidDel="00000000" w:rsidR="00000000" w:rsidRPr="00000000">
              <w:rPr>
                <w:rtl w:val="0"/>
              </w:rPr>
              <w:t xml:space="preserve">High. Requires Payment Service Provider (PSP) licensing.</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Bank Custodian Account</w:t>
            </w:r>
          </w:p>
        </w:tc>
        <w:tc>
          <w:tcPr/>
          <w:p w:rsidR="00000000" w:rsidDel="00000000" w:rsidP="00000000" w:rsidRDefault="00000000" w:rsidRPr="00000000" w14:paraId="0000002F">
            <w:pPr>
              <w:rPr/>
            </w:pPr>
            <w:r w:rsidDel="00000000" w:rsidR="00000000" w:rsidRPr="00000000">
              <w:rPr>
                <w:rtl w:val="0"/>
              </w:rPr>
              <w:t xml:space="preserve">Funds are wired to a dedicated bank account held by the platform.</w:t>
            </w:r>
          </w:p>
        </w:tc>
        <w:tc>
          <w:tcPr/>
          <w:p w:rsidR="00000000" w:rsidDel="00000000" w:rsidP="00000000" w:rsidRDefault="00000000" w:rsidRPr="00000000" w14:paraId="00000030">
            <w:pPr>
              <w:rPr/>
            </w:pPr>
            <w:r w:rsidDel="00000000" w:rsidR="00000000" w:rsidRPr="00000000">
              <w:rPr>
                <w:rtl w:val="0"/>
              </w:rPr>
              <w:t xml:space="preserve">Moderate. Simplest regulatory footprint but slower reconciliation.</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Third-Party Escrow</w:t>
            </w:r>
          </w:p>
        </w:tc>
        <w:tc>
          <w:tcPr/>
          <w:p w:rsidR="00000000" w:rsidDel="00000000" w:rsidP="00000000" w:rsidRDefault="00000000" w:rsidRPr="00000000" w14:paraId="00000032">
            <w:pPr>
              <w:rPr/>
            </w:pPr>
            <w:r w:rsidDel="00000000" w:rsidR="00000000" w:rsidRPr="00000000">
              <w:rPr>
                <w:rtl w:val="0"/>
              </w:rPr>
              <w:t xml:space="preserve">Engaging a licensed professional escrow or PSP provider.</w:t>
            </w:r>
          </w:p>
        </w:tc>
        <w:tc>
          <w:tcPr/>
          <w:p w:rsidR="00000000" w:rsidDel="00000000" w:rsidP="00000000" w:rsidRDefault="00000000" w:rsidRPr="00000000" w14:paraId="00000033">
            <w:pPr>
              <w:rPr/>
            </w:pPr>
            <w:r w:rsidDel="00000000" w:rsidR="00000000" w:rsidRPr="00000000">
              <w:rPr>
                <w:rtl w:val="0"/>
              </w:rPr>
              <w:t xml:space="preserve">Low. Offloads custody risks to a specialized partner.</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Regardless of the chosen architecture, the system must implement a "Pending -&gt; Held -&gt; Released/Refunded" state machine logic [cite: 2]. Payments are released as a lump sum only upon explicit client acceptance of the deliverables or the expiration of a fixed "deemed acceptance" window, usually set at 5 to 7 days [cite: 2]. This structure ensures that freelancers are protected from default and clients are protected from project abandonment [cite: 2].</w:t>
      </w:r>
    </w:p>
    <w:p w:rsidR="00000000" w:rsidDel="00000000" w:rsidP="00000000" w:rsidRDefault="00000000" w:rsidRPr="00000000" w14:paraId="00000036">
      <w:pPr>
        <w:pStyle w:val="Heading2"/>
        <w:rPr/>
      </w:pPr>
      <w:bookmarkStart w:colFirst="0" w:colLast="0" w:name="_j6gcdvkpn63r" w:id="7"/>
      <w:bookmarkEnd w:id="7"/>
      <w:r w:rsidDel="00000000" w:rsidR="00000000" w:rsidRPr="00000000">
        <w:rPr>
          <w:rtl w:val="0"/>
        </w:rPr>
        <w:t xml:space="preserve">Commission and Taxation Management</w:t>
      </w:r>
    </w:p>
    <w:p w:rsidR="00000000" w:rsidDel="00000000" w:rsidP="00000000" w:rsidRDefault="00000000" w:rsidRPr="00000000" w14:paraId="00000037">
      <w:pPr>
        <w:rPr/>
      </w:pPr>
      <w:r w:rsidDel="00000000" w:rsidR="00000000" w:rsidRPr="00000000">
        <w:rPr>
          <w:rtl w:val="0"/>
        </w:rPr>
        <w:t xml:space="preserve">Platform service fees, or the "take-rate," are automatically deducted from the escrow total before the final payout to the freelancer [cite: 2]. For the price-sensitive Ethiopian market, a take-rate of 10% to 15% is recommended—split evenly as 5% from the client and 5% from the freelancer—to remain competitive against global platforms like Fiverr, which often charge a flat 20% [cite: 2, 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Tax compliance is another critical function of the payment facilitator role. The Ministry of Revenues mandates specific withholding rates for service payments. If a project payout reaches or exceeds 10,000 ETB, the platform must collect the freelancer’s TIN to manage withholding tax: 3% if a TIN is provided, and 30% otherwise [cite: 2, 3]. The platform's own fee revenue is typically subject to a 15% Value Added Tax (VAT) if it exceeds statutory registration thresholds [cite: 3].</w:t>
      </w:r>
    </w:p>
    <w:p w:rsidR="00000000" w:rsidDel="00000000" w:rsidP="00000000" w:rsidRDefault="00000000" w:rsidRPr="00000000" w14:paraId="0000003A">
      <w:pPr>
        <w:pStyle w:val="Heading1"/>
        <w:rPr/>
      </w:pPr>
      <w:bookmarkStart w:colFirst="0" w:colLast="0" w:name="_xtjtd1x1ldf1" w:id="8"/>
      <w:bookmarkEnd w:id="8"/>
      <w:r w:rsidDel="00000000" w:rsidR="00000000" w:rsidRPr="00000000">
        <w:rPr>
          <w:rtl w:val="0"/>
        </w:rPr>
        <w:t xml:space="preserve">Anti-Money Laundering and Suspicious Activity Monitoring</w:t>
      </w:r>
    </w:p>
    <w:p w:rsidR="00000000" w:rsidDel="00000000" w:rsidP="00000000" w:rsidRDefault="00000000" w:rsidRPr="00000000" w14:paraId="0000003B">
      <w:pPr>
        <w:rPr/>
      </w:pPr>
      <w:r w:rsidDel="00000000" w:rsidR="00000000" w:rsidRPr="00000000">
        <w:rPr>
          <w:rtl w:val="0"/>
        </w:rPr>
        <w:t xml:space="preserve">Ethiopia's regulatory landscape for financial transparency has been significantly modernized with the introduction of the Prevention and Suppression of Money Laundering and Financing of Terrorism Proclamation No. ___/2024 [cite: 4]. This new law replaces the previous 2013 proclamation and imposes more stringent reporting and record-keeping requirements on entities handling payments.</w:t>
      </w:r>
    </w:p>
    <w:p w:rsidR="00000000" w:rsidDel="00000000" w:rsidP="00000000" w:rsidRDefault="00000000" w:rsidRPr="00000000" w14:paraId="0000003C">
      <w:pPr>
        <w:pStyle w:val="Heading2"/>
        <w:rPr/>
      </w:pPr>
      <w:bookmarkStart w:colFirst="0" w:colLast="0" w:name="_ot2kip8dk9wh" w:id="9"/>
      <w:bookmarkEnd w:id="9"/>
      <w:r w:rsidDel="00000000" w:rsidR="00000000" w:rsidRPr="00000000">
        <w:rPr>
          <w:rtl w:val="0"/>
        </w:rPr>
        <w:t xml:space="preserve">Tiered KYC and Fayda ID Integration</w:t>
      </w:r>
    </w:p>
    <w:p w:rsidR="00000000" w:rsidDel="00000000" w:rsidP="00000000" w:rsidRDefault="00000000" w:rsidRPr="00000000" w14:paraId="0000003D">
      <w:pPr>
        <w:rPr/>
      </w:pPr>
      <w:r w:rsidDel="00000000" w:rsidR="00000000" w:rsidRPr="00000000">
        <w:rPr>
          <w:rtl w:val="0"/>
        </w:rPr>
        <w:t xml:space="preserve">To balance user onboarding with compliance, the platform should employ a tiered KYC system. Tier 1 (Basic) covers all users and requires government ID and phone verification. Tier 2 (Payout-Eligible) is mandatory for freelancers seeking withdrawals and adds TIN verification and bank account linking. Tier 3 (High-Risk) involves enhanced due diligence for users with transaction volumes exceeding 500,000 ETB within short durations or those identified as Politically Exposed Persons (PEPs) [cite: 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integration of Fayda ID is non-negotiable for long-term scalability. As a biometric-linked digital identity, it provides the most credible defense against "ghost accounts" and fraudulent profiles [cite: 4]. The platform must also monitor for specific "red flags," such as structured small deposits totaling over 500,000 ETB within 7 days, or rapid movement of funds where a deposit and withdrawal occur within 24 hours [cite: 4]. Suspicious Transaction Reports (STRs) must be filed with the Financial Intelligence Center (FIC) within 24 hours of suspicion [cite: 4].</w:t>
      </w:r>
    </w:p>
    <w:p w:rsidR="00000000" w:rsidDel="00000000" w:rsidP="00000000" w:rsidRDefault="00000000" w:rsidRPr="00000000" w14:paraId="00000040">
      <w:pPr>
        <w:pStyle w:val="Heading2"/>
        <w:rPr/>
      </w:pPr>
      <w:bookmarkStart w:colFirst="0" w:colLast="0" w:name="_v6t2ltwdtlto" w:id="10"/>
      <w:bookmarkEnd w:id="10"/>
      <w:r w:rsidDel="00000000" w:rsidR="00000000" w:rsidRPr="00000000">
        <w:rPr>
          <w:rtl w:val="0"/>
        </w:rPr>
        <w:t xml:space="preserve">Data Retention Mandates</w:t>
      </w:r>
    </w:p>
    <w:p w:rsidR="00000000" w:rsidDel="00000000" w:rsidP="00000000" w:rsidRDefault="00000000" w:rsidRPr="00000000" w14:paraId="00000041">
      <w:pPr>
        <w:rPr/>
      </w:pPr>
      <w:r w:rsidDel="00000000" w:rsidR="00000000" w:rsidRPr="00000000">
        <w:rPr>
          <w:rtl w:val="0"/>
        </w:rPr>
        <w:t xml:space="preserve">A critical correction to earlier marketplace designs is the extension of record retention periods. While previous drafts suggested 5 to 7 years, the 2024 AML framework and NBE Directive FIS/04/2021 mandate a 10-year retention period for all customer identification records, transaction logs, and dispute communications [cite: 3, 4]. Database architecture must therefore include immutable audit trails and "Write Once Read Many" (WORM) storage to ensure compliance for the full duration of the relationship plus 10 years [cite: 4].</w:t>
      </w:r>
    </w:p>
    <w:p w:rsidR="00000000" w:rsidDel="00000000" w:rsidP="00000000" w:rsidRDefault="00000000" w:rsidRPr="00000000" w14:paraId="00000042">
      <w:pPr>
        <w:pStyle w:val="Heading1"/>
        <w:rPr/>
      </w:pPr>
      <w:bookmarkStart w:colFirst="0" w:colLast="0" w:name="_n3luxh1xlflr" w:id="11"/>
      <w:bookmarkEnd w:id="11"/>
      <w:r w:rsidDel="00000000" w:rsidR="00000000" w:rsidRPr="00000000">
        <w:rPr>
          <w:rtl w:val="0"/>
        </w:rPr>
        <w:t xml:space="preserve">Data Protection and Privacy Sovereignty</w:t>
      </w:r>
    </w:p>
    <w:p w:rsidR="00000000" w:rsidDel="00000000" w:rsidP="00000000" w:rsidRDefault="00000000" w:rsidRPr="00000000" w14:paraId="00000043">
      <w:pPr>
        <w:rPr/>
      </w:pPr>
      <w:r w:rsidDel="00000000" w:rsidR="00000000" w:rsidRPr="00000000">
        <w:rPr>
          <w:rtl w:val="0"/>
        </w:rPr>
        <w:t xml:space="preserve">The Personal Data Protection Proclamation No. 1321/2024 (PDPP) represents the most significant regulatory hurdle for digital platforms in Ethiopia. It introduces GDPR-like obligations, focusing on user consent, data localization, and subject rights [cite: 3, 4].</w:t>
      </w:r>
    </w:p>
    <w:p w:rsidR="00000000" w:rsidDel="00000000" w:rsidP="00000000" w:rsidRDefault="00000000" w:rsidRPr="00000000" w14:paraId="00000044">
      <w:pPr>
        <w:pStyle w:val="Heading2"/>
        <w:rPr/>
      </w:pPr>
      <w:bookmarkStart w:colFirst="0" w:colLast="0" w:name="_x0q28ptx9267" w:id="12"/>
      <w:bookmarkEnd w:id="12"/>
      <w:r w:rsidDel="00000000" w:rsidR="00000000" w:rsidRPr="00000000">
        <w:rPr>
          <w:rtl w:val="0"/>
        </w:rPr>
        <w:t xml:space="preserve">Mandatory ECA Registration and DPO Appointment</w:t>
      </w:r>
    </w:p>
    <w:p w:rsidR="00000000" w:rsidDel="00000000" w:rsidP="00000000" w:rsidRDefault="00000000" w:rsidRPr="00000000" w14:paraId="00000045">
      <w:pPr>
        <w:rPr/>
      </w:pPr>
      <w:r w:rsidDel="00000000" w:rsidR="00000000" w:rsidRPr="00000000">
        <w:rPr>
          <w:rtl w:val="0"/>
        </w:rPr>
        <w:t xml:space="preserve">All data controllers and processors must register with the Ethiopian Communications Authority (ECA) before beginning operations [cite: 4]. The platform is classified as a data controller because it determines the purposes and means of processing identity documents and financial history [cite: 4]. Furthermore, the platform must appoint a dedicated Data Protection Officer (DPO) and conduct a Data Protection Impact Assessment (DPIA) if it engages in large-scale processing of sensitive financial data [cite: 4].</w:t>
      </w:r>
    </w:p>
    <w:p w:rsidR="00000000" w:rsidDel="00000000" w:rsidP="00000000" w:rsidRDefault="00000000" w:rsidRPr="00000000" w14:paraId="00000046">
      <w:pPr>
        <w:pStyle w:val="Heading2"/>
        <w:rPr/>
      </w:pPr>
      <w:bookmarkStart w:colFirst="0" w:colLast="0" w:name="_2a1120jcw8yu" w:id="13"/>
      <w:bookmarkEnd w:id="13"/>
      <w:r w:rsidDel="00000000" w:rsidR="00000000" w:rsidRPr="00000000">
        <w:rPr>
          <w:rtl w:val="0"/>
        </w:rPr>
        <w:t xml:space="preserve">Data Subject Rights and Localization</w:t>
      </w:r>
    </w:p>
    <w:p w:rsidR="00000000" w:rsidDel="00000000" w:rsidP="00000000" w:rsidRDefault="00000000" w:rsidRPr="00000000" w14:paraId="00000047">
      <w:pPr>
        <w:rPr/>
      </w:pPr>
      <w:r w:rsidDel="00000000" w:rsidR="00000000" w:rsidRPr="00000000">
        <w:rPr>
          <w:rtl w:val="0"/>
        </w:rPr>
        <w:t xml:space="preserve">Users are granted several exerciseable rights under the PDPP, which the platform must implement through user-facing tools: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Right to Access:</w:t>
      </w:r>
      <w:r w:rsidDel="00000000" w:rsidR="00000000" w:rsidRPr="00000000">
        <w:rPr>
          <w:rtl w:val="0"/>
        </w:rPr>
        <w:t xml:space="preserve"> A "Download My Data" button generating machine-readable exports within 30 days [cite: 4].</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Right to Rectification:</w:t>
      </w:r>
      <w:r w:rsidDel="00000000" w:rsidR="00000000" w:rsidRPr="00000000">
        <w:rPr>
          <w:rtl w:val="0"/>
        </w:rPr>
        <w:t xml:space="preserve"> In-app forms for correcting inaccurate profile or identity data [cite: 4].</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Right to Erasure:</w:t>
      </w:r>
      <w:r w:rsidDel="00000000" w:rsidR="00000000" w:rsidRPr="00000000">
        <w:rPr>
          <w:rtl w:val="0"/>
        </w:rPr>
        <w:t xml:space="preserve"> A mechanism to request account deletion, with the caveat that KYC and transaction data must be retained for the 10-year AML period before hard-deletion [cite: 4].</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Right to Portability:</w:t>
      </w:r>
      <w:r w:rsidDel="00000000" w:rsidR="00000000" w:rsidRPr="00000000">
        <w:rPr>
          <w:rtl w:val="0"/>
        </w:rPr>
        <w:t xml:space="preserve"> Allowing users to move their profile data to another service [cite: 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Article 22 of the PDPP mandates data sovereignty: all personal data collected in Ethiopia must be stored domestically as the default [cite: 3, 4]. Primary hosting should utilize Ethiopian-based cloud providers like Ethio Telecom Cloud or Safaricom Ethiopia rather than international providers like AWS, unless explicit ECA approval is obtained and Standard Contractual Clauses (SCCs) are executed [cite: 4].</w:t>
      </w:r>
    </w:p>
    <w:p w:rsidR="00000000" w:rsidDel="00000000" w:rsidP="00000000" w:rsidRDefault="00000000" w:rsidRPr="00000000" w14:paraId="0000004F">
      <w:pPr>
        <w:pStyle w:val="Heading1"/>
        <w:rPr/>
      </w:pPr>
      <w:bookmarkStart w:colFirst="0" w:colLast="0" w:name="_mo8qhermhrr5" w:id="14"/>
      <w:bookmarkEnd w:id="14"/>
      <w:r w:rsidDel="00000000" w:rsidR="00000000" w:rsidRPr="00000000">
        <w:rPr>
          <w:rtl w:val="0"/>
        </w:rPr>
        <w:t xml:space="preserve">The Structured Dispute Resolution Protocol</w:t>
      </w:r>
    </w:p>
    <w:p w:rsidR="00000000" w:rsidDel="00000000" w:rsidP="00000000" w:rsidRDefault="00000000" w:rsidRPr="00000000" w14:paraId="00000050">
      <w:pPr>
        <w:rPr/>
      </w:pPr>
      <w:r w:rsidDel="00000000" w:rsidR="00000000" w:rsidRPr="00000000">
        <w:rPr>
          <w:rtl w:val="0"/>
        </w:rPr>
        <w:t xml:space="preserve">To maintain marketplace integrity without relying on the slow-moving court system, the platform must implement a multi-stage dispute resolution flow. This process is designed to resolve scope confusion and quality disagreements quickly and cost-effectively [cite: 1].</w:t>
      </w:r>
    </w:p>
    <w:p w:rsidR="00000000" w:rsidDel="00000000" w:rsidP="00000000" w:rsidRDefault="00000000" w:rsidRPr="00000000" w14:paraId="00000051">
      <w:pPr>
        <w:pStyle w:val="Heading2"/>
        <w:rPr/>
      </w:pPr>
      <w:bookmarkStart w:colFirst="0" w:colLast="0" w:name="_bsbpx2r2g3fr" w:id="15"/>
      <w:bookmarkEnd w:id="15"/>
      <w:r w:rsidDel="00000000" w:rsidR="00000000" w:rsidRPr="00000000">
        <w:rPr>
          <w:rtl w:val="0"/>
        </w:rPr>
        <w:t xml:space="preserve">The Four Stages of Conflict Resolution</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Direct Resolution (0–2 Days):</w:t>
      </w:r>
      <w:r w:rsidDel="00000000" w:rsidR="00000000" w:rsidRPr="00000000">
        <w:rPr>
          <w:rtl w:val="0"/>
        </w:rPr>
        <w:t xml:space="preserve"> When a milestone is rejected, the app opens a structured form where both sides must specify their expectations and deliverables. Many misunderstandings resolve at this stage within 48 hours [cite: 1].</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Evidence Submission:</w:t>
      </w:r>
      <w:r w:rsidDel="00000000" w:rsidR="00000000" w:rsidRPr="00000000">
        <w:rPr>
          <w:rtl w:val="0"/>
        </w:rPr>
        <w:t xml:space="preserve"> If unresolved, the platform "auto-pulls" the evidence bundle, which includes the timestamped contract, deliverable links, and the in-app message logs [cite: 1]. External communications (e.g., via Telegram) are disallowed to ensure the evidence trail remains immutable [cite: 1].</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Platform Mediation (3–5 Days):</w:t>
      </w:r>
      <w:r w:rsidDel="00000000" w:rsidR="00000000" w:rsidRPr="00000000">
        <w:rPr>
          <w:rtl w:val="0"/>
        </w:rPr>
        <w:t xml:space="preserve"> A human mediator reviews the evidence against the Service Agreement terms and issues a non-binding recommendation. This could be a full release to the freelancer, a full refund to the client, or a partial split with a new revision deadline [cite: 1, 2].</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Institutional Arbitration:</w:t>
      </w:r>
      <w:r w:rsidDel="00000000" w:rsidR="00000000" w:rsidRPr="00000000">
        <w:rPr>
          <w:rtl w:val="0"/>
        </w:rPr>
        <w:t xml:space="preserve"> If mediation fails, either side may file for binding arbitration [cite: 2].</w:t>
      </w:r>
    </w:p>
    <w:p w:rsidR="00000000" w:rsidDel="00000000" w:rsidP="00000000" w:rsidRDefault="00000000" w:rsidRPr="00000000" w14:paraId="00000056">
      <w:pPr>
        <w:pStyle w:val="Heading2"/>
        <w:rPr/>
      </w:pPr>
      <w:bookmarkStart w:colFirst="0" w:colLast="0" w:name="_kh3icsxmkzla" w:id="16"/>
      <w:bookmarkEnd w:id="16"/>
      <w:r w:rsidDel="00000000" w:rsidR="00000000" w:rsidRPr="00000000">
        <w:rPr>
          <w:rtl w:val="0"/>
        </w:rPr>
        <w:t xml:space="preserve">Finality through Arbitration</w:t>
      </w:r>
    </w:p>
    <w:p w:rsidR="00000000" w:rsidDel="00000000" w:rsidP="00000000" w:rsidRDefault="00000000" w:rsidRPr="00000000" w14:paraId="00000057">
      <w:pPr>
        <w:rPr/>
      </w:pPr>
      <w:r w:rsidDel="00000000" w:rsidR="00000000" w:rsidRPr="00000000">
        <w:rPr>
          <w:rtl w:val="0"/>
        </w:rPr>
        <w:t xml:space="preserve">The arbitration clause in the platform's contracts should name Addis Ababa as the seat and Ethiopian law as the governing law [cite: 2, 3]. The Addis Ababa Chamber of Commerce and Sectoral Associations (AACCSA) is the recommended arbitral institution due to its established infrastructure and internationally enforceable awards under the New York Convention, which Ethiopia acceded to in 2020 [cite: 2, 3]. It is critical to note that if a dispute is recharacterized as an employment relationship, it falls under the jurisdiction of labor courts, and the arbitration award may be set aside [cite: 1].</w:t>
      </w:r>
    </w:p>
    <w:p w:rsidR="00000000" w:rsidDel="00000000" w:rsidP="00000000" w:rsidRDefault="00000000" w:rsidRPr="00000000" w14:paraId="00000058">
      <w:pPr>
        <w:pStyle w:val="Heading1"/>
        <w:rPr/>
      </w:pPr>
      <w:bookmarkStart w:colFirst="0" w:colLast="0" w:name="_6mzw9qgzz22s" w:id="17"/>
      <w:bookmarkEnd w:id="17"/>
      <w:r w:rsidDel="00000000" w:rsidR="00000000" w:rsidRPr="00000000">
        <w:rPr>
          <w:rtl w:val="0"/>
        </w:rPr>
        <w:t xml:space="preserve">Market Positioning and Competitive Strategy</w:t>
      </w:r>
    </w:p>
    <w:p w:rsidR="00000000" w:rsidDel="00000000" w:rsidP="00000000" w:rsidRDefault="00000000" w:rsidRPr="00000000" w14:paraId="00000059">
      <w:pPr>
        <w:rPr/>
      </w:pPr>
      <w:r w:rsidDel="00000000" w:rsidR="00000000" w:rsidRPr="00000000">
        <w:rPr>
          <w:rtl w:val="0"/>
        </w:rPr>
        <w:t xml:space="preserve">The marketplace must solve the structural weaknesses of global giants like Upwork and local job boards like Afriwork to achieve a dominant market share [cite: 2, 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500.0" w:type="dxa"/>
        <w:jc w:val="left"/>
        <w:tblBorders>
          <w:top w:color="bdc3c7" w:space="0" w:sz="4" w:val="single"/>
          <w:left w:color="000000" w:space="0" w:sz="0" w:val="nil"/>
          <w:bottom w:color="bdc3c7" w:space="0" w:sz="4" w:val="single"/>
          <w:right w:color="000000" w:space="0" w:sz="0" w:val="nil"/>
          <w:insideH w:color="ecf0f1" w:space="0" w:sz="4"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5B">
            <w:pPr>
              <w:rPr/>
            </w:pPr>
            <w:r w:rsidDel="00000000" w:rsidR="00000000" w:rsidRPr="00000000">
              <w:rPr>
                <w:rtl w:val="0"/>
              </w:rPr>
              <w:t xml:space="preserve">Competitor Type</w:t>
            </w:r>
          </w:p>
        </w:tc>
        <w:tc>
          <w:tcPr/>
          <w:p w:rsidR="00000000" w:rsidDel="00000000" w:rsidP="00000000" w:rsidRDefault="00000000" w:rsidRPr="00000000" w14:paraId="0000005C">
            <w:pPr>
              <w:rPr/>
            </w:pPr>
            <w:r w:rsidDel="00000000" w:rsidR="00000000" w:rsidRPr="00000000">
              <w:rPr>
                <w:rtl w:val="0"/>
              </w:rPr>
              <w:t xml:space="preserve">Major Weaknesses</w:t>
            </w:r>
          </w:p>
        </w:tc>
        <w:tc>
          <w:tcPr/>
          <w:p w:rsidR="00000000" w:rsidDel="00000000" w:rsidP="00000000" w:rsidRDefault="00000000" w:rsidRPr="00000000" w14:paraId="0000005D">
            <w:pPr>
              <w:rPr/>
            </w:pPr>
            <w:r w:rsidDel="00000000" w:rsidR="00000000" w:rsidRPr="00000000">
              <w:rPr>
                <w:rtl w:val="0"/>
              </w:rPr>
              <w:t xml:space="preserve">Marketplace Competitive Advantage</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Global Platforms</w:t>
            </w:r>
          </w:p>
        </w:tc>
        <w:tc>
          <w:tcPr/>
          <w:p w:rsidR="00000000" w:rsidDel="00000000" w:rsidP="00000000" w:rsidRDefault="00000000" w:rsidRPr="00000000" w14:paraId="0000005F">
            <w:pPr>
              <w:rPr/>
            </w:pPr>
            <w:r w:rsidDel="00000000" w:rsidR="00000000" w:rsidRPr="00000000">
              <w:rPr>
                <w:rtl w:val="0"/>
              </w:rPr>
              <w:t xml:space="preserve">No local payment rails; high fees in birr; "digital glass ceiling" for African talent.</w:t>
            </w:r>
          </w:p>
        </w:tc>
        <w:tc>
          <w:tcPr/>
          <w:p w:rsidR="00000000" w:rsidDel="00000000" w:rsidP="00000000" w:rsidRDefault="00000000" w:rsidRPr="00000000" w14:paraId="00000060">
            <w:pPr>
              <w:rPr/>
            </w:pPr>
            <w:r w:rsidDel="00000000" w:rsidR="00000000" w:rsidRPr="00000000">
              <w:rPr>
                <w:rtl w:val="0"/>
              </w:rPr>
              <w:t xml:space="preserve">Native Chapa integration (Telebirr/CBE); lower take-rate; fairer ranking for local specialists [cite: 2, 3].</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Local Listing Boards</w:t>
            </w:r>
          </w:p>
        </w:tc>
        <w:tc>
          <w:tcPr/>
          <w:p w:rsidR="00000000" w:rsidDel="00000000" w:rsidP="00000000" w:rsidRDefault="00000000" w:rsidRPr="00000000" w14:paraId="00000062">
            <w:pPr>
              <w:rPr/>
            </w:pPr>
            <w:r w:rsidDel="00000000" w:rsidR="00000000" w:rsidRPr="00000000">
              <w:rPr>
                <w:rtl w:val="0"/>
              </w:rPr>
              <w:t xml:space="preserve">No escrow; no standard contracts; no legal protection; listings only.</w:t>
            </w:r>
          </w:p>
        </w:tc>
        <w:tc>
          <w:tcPr/>
          <w:p w:rsidR="00000000" w:rsidDel="00000000" w:rsidP="00000000" w:rsidRDefault="00000000" w:rsidRPr="00000000" w14:paraId="00000063">
            <w:pPr>
              <w:rPr/>
            </w:pPr>
            <w:r w:rsidDel="00000000" w:rsidR="00000000" w:rsidRPr="00000000">
              <w:rPr>
                <w:rtl w:val="0"/>
              </w:rPr>
              <w:t xml:space="preserve">Categorical upgrade with real escrow, auto-generated contracts, and mediation [cite: 1, 2].</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Informal Groups</w:t>
            </w:r>
          </w:p>
        </w:tc>
        <w:tc>
          <w:tcPr/>
          <w:p w:rsidR="00000000" w:rsidDel="00000000" w:rsidP="00000000" w:rsidRDefault="00000000" w:rsidRPr="00000000" w14:paraId="00000065">
            <w:pPr>
              <w:rPr/>
            </w:pPr>
            <w:r w:rsidDel="00000000" w:rsidR="00000000" w:rsidRPr="00000000">
              <w:rPr>
                <w:rtl w:val="0"/>
              </w:rPr>
              <w:t xml:space="preserve">No recourse for bad faith; zero identity verification; high fraud risk.</w:t>
            </w:r>
          </w:p>
        </w:tc>
        <w:tc>
          <w:tcPr/>
          <w:p w:rsidR="00000000" w:rsidDel="00000000" w:rsidP="00000000" w:rsidRDefault="00000000" w:rsidRPr="00000000" w14:paraId="00000066">
            <w:pPr>
              <w:rPr/>
            </w:pPr>
            <w:r w:rsidDel="00000000" w:rsidR="00000000" w:rsidRPr="00000000">
              <w:rPr>
                <w:rtl w:val="0"/>
              </w:rPr>
              <w:t xml:space="preserve">Verified identity (Fayda ID) and a two-way accountability score for users [cite: 1, 2].</w:t>
            </w:r>
          </w:p>
        </w:tc>
      </w:tr>
    </w:tbl>
    <w:p w:rsidR="00000000" w:rsidDel="00000000" w:rsidP="00000000" w:rsidRDefault="00000000" w:rsidRPr="00000000" w14:paraId="00000067">
      <w:pPr>
        <w:pStyle w:val="Heading2"/>
        <w:rPr/>
      </w:pPr>
      <w:bookmarkStart w:colFirst="0" w:colLast="0" w:name="_e63vkuav9ntu" w:id="18"/>
      <w:bookmarkEnd w:id="18"/>
      <w:r w:rsidDel="00000000" w:rsidR="00000000" w:rsidRPr="00000000">
        <w:rPr>
          <w:rtl w:val="0"/>
        </w:rPr>
        <w:t xml:space="preserve">Launch Lever and Sustainability</w:t>
      </w:r>
    </w:p>
    <w:p w:rsidR="00000000" w:rsidDel="00000000" w:rsidP="00000000" w:rsidRDefault="00000000" w:rsidRPr="00000000" w14:paraId="00000068">
      <w:pPr>
        <w:rPr/>
      </w:pPr>
      <w:r w:rsidDel="00000000" w:rsidR="00000000" w:rsidRPr="00000000">
        <w:rPr>
          <w:rtl w:val="0"/>
        </w:rPr>
        <w:t xml:space="preserve">The platform’s sustainability depends on its ability to formalize the massive volume of freelance work currently happening via Telegram bots [cite: 2]. The initial launch should focus on 4 to 6 specific digital subcategories—such as web development, graphic design, and virtual assistance—where the "trust gap" is most acute [cite: 1, 2]. Long-term profitability will be supported by "Phase 2" features, including verified skill badges, featured job listings, and enterprise accounts for companies needing recurring freelance capacity [cite: 1, 2, 3].</w:t>
      </w:r>
    </w:p>
    <w:p w:rsidR="00000000" w:rsidDel="00000000" w:rsidP="00000000" w:rsidRDefault="00000000" w:rsidRPr="00000000" w14:paraId="00000069">
      <w:pPr>
        <w:pStyle w:val="Heading1"/>
        <w:rPr/>
      </w:pPr>
      <w:bookmarkStart w:colFirst="0" w:colLast="0" w:name="_hy2riidwtz8x" w:id="19"/>
      <w:bookmarkEnd w:id="19"/>
      <w:r w:rsidDel="00000000" w:rsidR="00000000" w:rsidRPr="00000000">
        <w:rPr>
          <w:rtl w:val="0"/>
        </w:rPr>
        <w:t xml:space="preserve">Technical and UX Implementation Roadmap</w:t>
      </w:r>
    </w:p>
    <w:p w:rsidR="00000000" w:rsidDel="00000000" w:rsidP="00000000" w:rsidRDefault="00000000" w:rsidRPr="00000000" w14:paraId="0000006A">
      <w:pPr>
        <w:rPr/>
      </w:pPr>
      <w:r w:rsidDel="00000000" w:rsidR="00000000" w:rsidRPr="00000000">
        <w:rPr>
          <w:rtl w:val="0"/>
        </w:rPr>
        <w:t xml:space="preserve">The transition from legal design to a functional product requires a phased approach that prioritizes foundational regulatory and financial decisions [cite: 1, 2].</w:t>
      </w:r>
    </w:p>
    <w:p w:rsidR="00000000" w:rsidDel="00000000" w:rsidP="00000000" w:rsidRDefault="00000000" w:rsidRPr="00000000" w14:paraId="0000006B">
      <w:pPr>
        <w:pStyle w:val="Heading2"/>
        <w:rPr/>
      </w:pPr>
      <w:bookmarkStart w:colFirst="0" w:colLast="0" w:name="_uc5q1uuoyy4a" w:id="20"/>
      <w:bookmarkEnd w:id="20"/>
      <w:r w:rsidDel="00000000" w:rsidR="00000000" w:rsidRPr="00000000">
        <w:rPr>
          <w:rtl w:val="0"/>
        </w:rPr>
        <w:t xml:space="preserve">Phase 0: Foundations and Blocking Decisions</w:t>
      </w:r>
    </w:p>
    <w:p w:rsidR="00000000" w:rsidDel="00000000" w:rsidP="00000000" w:rsidRDefault="00000000" w:rsidRPr="00000000" w14:paraId="0000006C">
      <w:pPr>
        <w:rPr/>
      </w:pPr>
      <w:r w:rsidDel="00000000" w:rsidR="00000000" w:rsidRPr="00000000">
        <w:rPr>
          <w:rtl w:val="0"/>
        </w:rPr>
        <w:t xml:space="preserve">The platform must immediately confirm the 4 to 6 launch subcategories, lock the take-rate percentage and split (proposed at 10% total, 5/5), and finalize the escrow architecture [cite: 1, 2]. Choosing between a bank custodian account and a partner PSP determines the platform's licensing burden from day one [cite: 2, 3].</w:t>
      </w:r>
    </w:p>
    <w:p w:rsidR="00000000" w:rsidDel="00000000" w:rsidP="00000000" w:rsidRDefault="00000000" w:rsidRPr="00000000" w14:paraId="0000006D">
      <w:pPr>
        <w:pStyle w:val="Heading2"/>
        <w:rPr/>
      </w:pPr>
      <w:bookmarkStart w:colFirst="0" w:colLast="0" w:name="_6vfu9bxfwga" w:id="21"/>
      <w:bookmarkEnd w:id="21"/>
      <w:r w:rsidDel="00000000" w:rsidR="00000000" w:rsidRPr="00000000">
        <w:rPr>
          <w:rtl w:val="0"/>
        </w:rPr>
        <w:t xml:space="preserve">Phase 1: Legal and Regulatory Foundation (0–30 Days)</w:t>
      </w:r>
    </w:p>
    <w:p w:rsidR="00000000" w:rsidDel="00000000" w:rsidP="00000000" w:rsidRDefault="00000000" w:rsidRPr="00000000" w14:paraId="0000006E">
      <w:pPr>
        <w:rPr/>
      </w:pPr>
      <w:r w:rsidDel="00000000" w:rsidR="00000000" w:rsidRPr="00000000">
        <w:rPr>
          <w:rtl w:val="0"/>
        </w:rPr>
        <w:t xml:space="preserve">This phase involves engaging a law firm to translate the ToS and Service Agreement outlines into enforceable legal language [cite: 1, 2]. Simultaneously, the platform must register as a business entity and file as a data controller with the ECA [cite: 2, 4].</w:t>
      </w:r>
    </w:p>
    <w:p w:rsidR="00000000" w:rsidDel="00000000" w:rsidP="00000000" w:rsidRDefault="00000000" w:rsidRPr="00000000" w14:paraId="0000006F">
      <w:pPr>
        <w:pStyle w:val="Heading2"/>
        <w:rPr/>
      </w:pPr>
      <w:bookmarkStart w:colFirst="0" w:colLast="0" w:name="_wzhpo0ujdhe6" w:id="22"/>
      <w:bookmarkEnd w:id="22"/>
      <w:r w:rsidDel="00000000" w:rsidR="00000000" w:rsidRPr="00000000">
        <w:rPr>
          <w:rtl w:val="0"/>
        </w:rPr>
        <w:t xml:space="preserve">Phase 2: Core Development (30–90 Days)</w:t>
      </w:r>
    </w:p>
    <w:p w:rsidR="00000000" w:rsidDel="00000000" w:rsidP="00000000" w:rsidRDefault="00000000" w:rsidRPr="00000000" w14:paraId="00000070">
      <w:pPr>
        <w:rPr/>
      </w:pPr>
      <w:r w:rsidDel="00000000" w:rsidR="00000000" w:rsidRPr="00000000">
        <w:rPr>
          <w:rtl w:val="0"/>
        </w:rPr>
        <w:t xml:space="preserve">The engineering team must build the backend for KYC status tracking (OCR + liveness checks), integrate the Telebirr and bank APIs, and construct the escrow module [cite: 1, 4]. UX design must focus on clear status indicators such as "Escrow Paid," "Awaiting Release," and "Dispute Raised" to maintain transparency [cite: 2, 3].</w:t>
      </w:r>
    </w:p>
    <w:p w:rsidR="00000000" w:rsidDel="00000000" w:rsidP="00000000" w:rsidRDefault="00000000" w:rsidRPr="00000000" w14:paraId="00000071">
      <w:pPr>
        <w:pStyle w:val="Heading2"/>
        <w:rPr/>
      </w:pPr>
      <w:bookmarkStart w:colFirst="0" w:colLast="0" w:name="_djjzlw8hhh8v" w:id="23"/>
      <w:bookmarkEnd w:id="23"/>
      <w:r w:rsidDel="00000000" w:rsidR="00000000" w:rsidRPr="00000000">
        <w:rPr>
          <w:rtl w:val="0"/>
        </w:rPr>
        <w:t xml:space="preserve">Phase 3: Operational Maturity (90–180 Days)</w:t>
      </w:r>
    </w:p>
    <w:p w:rsidR="00000000" w:rsidDel="00000000" w:rsidP="00000000" w:rsidRDefault="00000000" w:rsidRPr="00000000" w14:paraId="00000072">
      <w:pPr>
        <w:rPr/>
      </w:pPr>
      <w:r w:rsidDel="00000000" w:rsidR="00000000" w:rsidRPr="00000000">
        <w:rPr>
          <w:rtl w:val="0"/>
        </w:rPr>
        <w:t xml:space="preserve">Mid-term goals include establishing the DPO role, conducting a third-party security audit and penetration test, and formalizing the 72-hour breach notification protocol [cite: 4]. The platform should also begin automating red-flag detection for AML monitoring and PEP screening [cite: 4].</w:t>
      </w:r>
    </w:p>
    <w:p w:rsidR="00000000" w:rsidDel="00000000" w:rsidP="00000000" w:rsidRDefault="00000000" w:rsidRPr="00000000" w14:paraId="00000073">
      <w:pPr>
        <w:pStyle w:val="Heading1"/>
        <w:rPr/>
      </w:pPr>
      <w:bookmarkStart w:colFirst="0" w:colLast="0" w:name="_5hww8y2c3z1t" w:id="24"/>
      <w:bookmarkEnd w:id="24"/>
      <w:r w:rsidDel="00000000" w:rsidR="00000000" w:rsidRPr="00000000">
        <w:rPr>
          <w:rtl w:val="0"/>
        </w:rPr>
        <w:t xml:space="preserve">Conclusions and Strategic Outlook</w:t>
      </w:r>
    </w:p>
    <w:p w:rsidR="00000000" w:rsidDel="00000000" w:rsidP="00000000" w:rsidRDefault="00000000" w:rsidRPr="00000000" w14:paraId="00000074">
      <w:pPr>
        <w:rPr/>
      </w:pPr>
      <w:r w:rsidDel="00000000" w:rsidR="00000000" w:rsidRPr="00000000">
        <w:rPr>
          <w:rtl w:val="0"/>
        </w:rPr>
        <w:t xml:space="preserve">The establishment of a domestic freelance marketplace in Ethiopia is a categorical upgrade over the current landscape of informal Telegram groups and trust-based referrals. By integrating the mandates of the Electronic Transactions Proclamation No. 1205/2020 and the Personal Data Protection Proclamation No. 1321/2024, the platform creates a "protected environment" that formalizes digital labor [cite: 2, 4]. The true competitive advantage of the system lies in its ability to offer a seamless "Contract -&gt; Pay -&gt; Deliver" cycle that eliminates the need for external legal intervention for the vast majority of users [cite: 2, 3]. As the ecosystem matures, the integration of Fayda ID as a biometric verification standard and the adoption of institutional arbitration through AACCSA will ensure the marketplace remains the most credible venue for the nation's growing digital workforce [cite: 2, 4]. Success will ultimately depend on balancing the rigorous 10-year AML retention requirements with the privacy rights of users, all while maintaining a take-rate that rewards completed work rather than entry [cite: 3, 4].</w:t>
      </w:r>
    </w:p>
    <w:p w:rsidR="00000000" w:rsidDel="00000000" w:rsidP="00000000" w:rsidRDefault="00000000" w:rsidRPr="00000000" w14:paraId="00000075">
      <w:pPr>
        <w:pStyle w:val="Heading1"/>
        <w:rPr/>
      </w:pPr>
      <w:bookmarkStart w:colFirst="0" w:colLast="0" w:name="_s173x7eggkp0" w:id="25"/>
      <w:bookmarkEnd w:id="25"/>
      <w:r w:rsidDel="00000000" w:rsidR="00000000" w:rsidRPr="00000000">
        <w:rPr>
          <w:rtl w:val="0"/>
        </w:rPr>
        <w:t xml:space="preserve">Sources</w:t>
      </w:r>
    </w:p>
    <w:p w:rsidR="00000000" w:rsidDel="00000000" w:rsidP="00000000" w:rsidRDefault="00000000" w:rsidRPr="00000000" w14:paraId="00000076">
      <w:pPr>
        <w:numPr>
          <w:ilvl w:val="0"/>
          <w:numId w:val="1"/>
        </w:numPr>
        <w:ind w:left="720" w:hanging="360"/>
      </w:pPr>
      <w:hyperlink r:id="rId6">
        <w:r w:rsidDel="00000000" w:rsidR="00000000" w:rsidRPr="00000000">
          <w:rPr>
            <w:color w:val="1155cc"/>
            <w:u w:val="single"/>
            <w:rtl w:val="0"/>
          </w:rPr>
          <w:t xml:space="preserve">Draft 0 of legal design and implementation</w:t>
        </w:r>
      </w:hyperlink>
      <w:r w:rsidDel="00000000" w:rsidR="00000000" w:rsidRPr="00000000">
        <w:rPr>
          <w:rtl w:val="0"/>
        </w:rPr>
      </w:r>
    </w:p>
    <w:p w:rsidR="00000000" w:rsidDel="00000000" w:rsidP="00000000" w:rsidRDefault="00000000" w:rsidRPr="00000000" w14:paraId="00000077">
      <w:pPr>
        <w:numPr>
          <w:ilvl w:val="0"/>
          <w:numId w:val="1"/>
        </w:numPr>
        <w:ind w:left="720" w:hanging="360"/>
      </w:pPr>
      <w:hyperlink r:id="rId7">
        <w:r w:rsidDel="00000000" w:rsidR="00000000" w:rsidRPr="00000000">
          <w:rPr>
            <w:color w:val="1155cc"/>
            <w:u w:val="single"/>
            <w:rtl w:val="0"/>
          </w:rPr>
          <w:t xml:space="preserve">Ethiopian Freelance Marketplace - Legal Design and Implementation (Draft 0)</w:t>
        </w:r>
      </w:hyperlink>
      <w:r w:rsidDel="00000000" w:rsidR="00000000" w:rsidRPr="00000000">
        <w:rPr>
          <w:rtl w:val="0"/>
        </w:rPr>
      </w:r>
    </w:p>
    <w:p w:rsidR="00000000" w:rsidDel="00000000" w:rsidP="00000000" w:rsidRDefault="00000000" w:rsidRPr="00000000" w14:paraId="00000078">
      <w:pPr>
        <w:numPr>
          <w:ilvl w:val="0"/>
          <w:numId w:val="1"/>
        </w:numPr>
        <w:ind w:left="720" w:hanging="360"/>
      </w:pPr>
      <w:hyperlink r:id="rId8">
        <w:r w:rsidDel="00000000" w:rsidR="00000000" w:rsidRPr="00000000">
          <w:rPr>
            <w:color w:val="1155cc"/>
            <w:u w:val="single"/>
            <w:rtl w:val="0"/>
          </w:rPr>
          <w:t xml:space="preserve">Ethiopian Freelance Marketplace - Legal Design and Implementation (Draft 0).docx</w:t>
        </w:r>
      </w:hyperlink>
      <w:r w:rsidDel="00000000" w:rsidR="00000000" w:rsidRPr="00000000">
        <w:rPr>
          <w:rtl w:val="0"/>
        </w:rPr>
      </w:r>
    </w:p>
    <w:p w:rsidR="00000000" w:rsidDel="00000000" w:rsidP="00000000" w:rsidRDefault="00000000" w:rsidRPr="00000000" w14:paraId="00000079">
      <w:pPr>
        <w:numPr>
          <w:ilvl w:val="0"/>
          <w:numId w:val="1"/>
        </w:numPr>
        <w:ind w:left="720" w:hanging="360"/>
      </w:pPr>
      <w:hyperlink r:id="rId9">
        <w:r w:rsidDel="00000000" w:rsidR="00000000" w:rsidRPr="00000000">
          <w:rPr>
            <w:color w:val="1155cc"/>
            <w:u w:val="single"/>
            <w:rtl w:val="0"/>
          </w:rPr>
          <w:t xml:space="preserve">Ethiopian KYC/AML &amp; PDPP Compliance Roadmap</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1a1a1a"/>
        <w:sz w:val="24"/>
        <w:szCs w:val="24"/>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c3e50"/>
      <w:sz w:val="40"/>
      <w:szCs w:val="40"/>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34495e"/>
      <w:sz w:val="36"/>
      <w:szCs w:val="36"/>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455a64"/>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c2833"/>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2c3e50"/>
        <w:sz w:val="24"/>
        <w:szCs w:val="24"/>
      </w:rPr>
      <w:tcPr>
        <w:shd w:fill="f8f9f9"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2c3e50"/>
        <w:sz w:val="24"/>
        <w:szCs w:val="24"/>
      </w:rPr>
      <w:tcPr>
        <w:shd w:fill="f8f9f9"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2c3e50"/>
        <w:sz w:val="24"/>
        <w:szCs w:val="24"/>
      </w:rPr>
      <w:tcPr>
        <w:shd w:fill="f8f9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QjuLksmCMiC46-dIwGgfQQj-6fvE04_kTb48JBLC-lA" TargetMode="External"/><Relationship Id="rId5" Type="http://schemas.openxmlformats.org/officeDocument/2006/relationships/styles" Target="styles.xml"/><Relationship Id="rId6" Type="http://schemas.openxmlformats.org/officeDocument/2006/relationships/hyperlink" Target="https://drive.google.com/open?id=1yV42NluAYXD9aVQmi6RwYBjqFCDSTs_i4PAwlnBTYsQ" TargetMode="External"/><Relationship Id="rId7" Type="http://schemas.openxmlformats.org/officeDocument/2006/relationships/hyperlink" Target="https://drive.google.com/open?id=1dbJik3nRqv9U0Fo24K0knGMPjHUdL4hUbqkfOqvjdxs" TargetMode="External"/><Relationship Id="rId8" Type="http://schemas.openxmlformats.org/officeDocument/2006/relationships/hyperlink" Target="https://drive.google.com/open?id=10GEfrQ6M5dosvw1yD_OhHSzKJb6bqlv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