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eastAsia="Arial" w:cs="Arial"/>
          <w:b/>
          <w:i w:val="0"/>
          <w:color w:val="000000"/>
          <w:sz w:val="44"/>
          <w:spacing w:val="0"/>
          <w:w w:val="100"/>
        </w:rPr>
        <w:t>Gloss Manuscript 1.005</w:t>
      </w:r>
    </w:p>
    <w:p>
      <w:pPr>
        <w:spacing w:after="280"/>
      </w:pPr>
      <w:r>
        <w:rPr>
          <w:rFonts w:ascii="Arial" w:hAnsi="Arial" w:eastAsia="Arial" w:cs="Arial"/>
          <w:b w:val="0"/>
          <w:i w:val="0"/>
          <w:color w:val="5E5E5E"/>
          <w:sz w:val="22"/>
          <w:spacing w:val="0"/>
          <w:w w:val="100"/>
        </w:rPr>
        <w:t>Application-native spacing test: Word kerning off, spacing normal, scale 100%</w:t>
      </w:r>
    </w:p>
    <w:p>
      <w:pPr>
        <w:spacing w:before="0" w:after="140" w:line="240" w:lineRule="auto"/>
      </w:pPr>
      <w:r>
        <w:rPr>
          <w:rFonts w:ascii="Arial" w:hAnsi="Arial" w:eastAsia="Arial" w:cs="Arial"/>
          <w:b/>
          <w:i w:val="0"/>
          <w:color w:val="2E74B5"/>
          <w:sz w:val="20"/>
          <w:spacing w:val="0"/>
          <w:w w:val="100"/>
        </w:rPr>
        <w:t>TARGET PHRASES</w:t>
      </w:r>
    </w:p>
    <w:p>
      <w:pPr>
        <w:spacing w:before="0" w:after="240" w:line="300" w:lineRule="auto"/>
      </w:pPr>
      <w:r>
        <w:rPr>
          <w:rFonts w:ascii="Gloss Manuscript" w:hAnsi="Gloss Manuscript" w:eastAsia="Gloss Manuscript" w:cs="Gloss Manuscript"/>
          <w:b w:val="0"/>
          <w:i w:val="0"/>
          <w:color w:val="000000"/>
          <w:sz w:val="46"/>
          <w:spacing w:val="0"/>
          <w:w w:val="100"/>
        </w:rPr>
        <w:t>funds transfers,    This    The Claimant's    Official</w:t>
      </w:r>
    </w:p>
    <w:p>
      <w:pPr>
        <w:spacing w:before="0" w:after="280" w:line="300" w:lineRule="auto"/>
      </w:pPr>
      <w:r>
        <w:rPr>
          <w:rFonts w:ascii="Gloss Manuscript" w:hAnsi="Gloss Manuscript" w:eastAsia="Gloss Manuscript" w:cs="Gloss Manuscript"/>
          <w:b w:val="0"/>
          <w:i w:val="0"/>
          <w:color w:val="000000"/>
          <w:sz w:val="28"/>
          <w:spacing w:val="0"/>
          <w:w w:val="100"/>
        </w:rPr>
        <w:t>funds transfers, funds transferred, five funds, official funds, sufficient funds</w:t>
      </w:r>
    </w:p>
    <w:p>
      <w:pPr>
        <w:spacing w:before="0" w:after="140" w:line="240" w:lineRule="auto"/>
      </w:pPr>
      <w:r>
        <w:rPr>
          <w:rFonts w:ascii="Arial" w:hAnsi="Arial" w:eastAsia="Arial" w:cs="Arial"/>
          <w:b/>
          <w:i w:val="0"/>
          <w:color w:val="2E74B5"/>
          <w:sz w:val="20"/>
          <w:spacing w:val="0"/>
          <w:w w:val="100"/>
        </w:rPr>
        <w:t>LONG TEXT AT ORDINARY WORD SIZE</w:t>
      </w:r>
    </w:p>
    <w:p>
      <w:pPr>
        <w:spacing w:before="0" w:after="140" w:line="300" w:lineRule="auto"/>
      </w:pPr>
      <w:r>
        <w:rPr>
          <w:rFonts w:ascii="Gloss Manuscript" w:hAnsi="Gloss Manuscript" w:eastAsia="Gloss Manuscript" w:cs="Gloss Manuscript"/>
          <w:b w:val="0"/>
          <w:i w:val="0"/>
          <w:color w:val="000000"/>
          <w:sz w:val="22"/>
          <w:spacing w:val="0"/>
          <w:w w:val="100"/>
        </w:rPr>
        <w:t>This case revolves around ACH credit transfers. The plaintiff argues that their claims fall under Article 4A of the UCC. As defined in section 4A-102, Article 4A governs funds transfers, defined as the series of transactions beginning with the originator's payment order and made for the purpose of making payment to the beneficiary of the order.</w:t>
      </w:r>
    </w:p>
    <w:p>
      <w:pPr>
        <w:spacing w:before="0" w:after="140" w:line="300" w:lineRule="auto"/>
      </w:pPr>
      <w:r>
        <w:rPr>
          <w:rFonts w:ascii="Gloss Manuscript" w:hAnsi="Gloss Manuscript" w:eastAsia="Gloss Manuscript" w:cs="Gloss Manuscript"/>
          <w:b w:val="0"/>
          <w:i w:val="0"/>
          <w:color w:val="000000"/>
          <w:sz w:val="22"/>
          <w:spacing w:val="0"/>
          <w:w w:val="100"/>
        </w:rPr>
        <w:t>In the first part of this opinion, I will explain the general framework set out by Article 4A and its special terminology, as applied to the case at hand. In the second part, I will analyze the central claims advanced by the Claimant, taking into consideration undisputed factual claims and, where none is clearly established, explain how the analysis would proceed under different factual assumptions.</w:t>
      </w:r>
    </w:p>
    <w:p>
      <w:pPr>
        <w:spacing w:before="0" w:after="140" w:line="300" w:lineRule="auto"/>
      </w:pPr>
      <w:r>
        <w:rPr>
          <w:rFonts w:ascii="Gloss Manuscript" w:hAnsi="Gloss Manuscript" w:eastAsia="Gloss Manuscript" w:cs="Gloss Manuscript"/>
          <w:b w:val="0"/>
          <w:i w:val="0"/>
          <w:color w:val="000000"/>
          <w:sz w:val="22"/>
          <w:spacing w:val="0"/>
          <w:w w:val="100"/>
        </w:rPr>
        <w:t>Because my considered view is that the remedies sought by the plaintiffs are not available to them under Article 4A, I will dedicate Part III to analyzing whether they can still seek their remedies under alternative legal theories. Official records, sufficient findings, and funds transfers should read as an even texture rather than a sequence of visibly separated glyphs.</w:t>
      </w:r>
    </w:p>
    <w:p>
      <w:r>
        <w:br w:type="page"/>
      </w:r>
    </w:p>
    <w:p>
      <w:pPr>
        <w:spacing w:before="0" w:after="140" w:line="240" w:lineRule="auto"/>
      </w:pPr>
      <w:r>
        <w:rPr>
          <w:rFonts w:ascii="Arial" w:hAnsi="Arial" w:eastAsia="Arial" w:cs="Arial"/>
          <w:b/>
          <w:i w:val="0"/>
          <w:color w:val="2E74B5"/>
          <w:sz w:val="20"/>
          <w:spacing w:val="0"/>
          <w:w w:val="100"/>
        </w:rPr>
        <w:t>WEIGHT AND STYLE CHECK</w:t>
      </w:r>
    </w:p>
    <w:p>
      <w:pPr>
        <w:spacing w:before="0" w:after="180" w:line="300" w:lineRule="auto"/>
      </w:pPr>
      <w:r>
        <w:rPr>
          <w:rFonts w:ascii="Gloss Manuscript" w:hAnsi="Gloss Manuscript" w:eastAsia="Gloss Manuscript" w:cs="Gloss Manuscript"/>
          <w:b w:val="0"/>
          <w:i w:val="0"/>
          <w:color w:val="000000"/>
          <w:sz w:val="32"/>
          <w:spacing w:val="0"/>
          <w:w w:val="100"/>
        </w:rPr>
        <w:t>Regular — funds transfers, This, The Claimant's, Official</w:t>
      </w:r>
    </w:p>
    <w:p>
      <w:pPr>
        <w:spacing w:before="0" w:after="180" w:line="300" w:lineRule="auto"/>
      </w:pPr>
      <w:r>
        <w:rPr>
          <w:rFonts w:ascii="Gloss Manuscript" w:hAnsi="Gloss Manuscript" w:eastAsia="Gloss Manuscript" w:cs="Gloss Manuscript"/>
          <w:b w:val="0"/>
          <w:i/>
          <w:color w:val="000000"/>
          <w:sz w:val="32"/>
          <w:spacing w:val="0"/>
          <w:w w:val="100"/>
        </w:rPr>
        <w:t>Italic — funds transfers, This, The Claimant's, Official</w:t>
      </w:r>
    </w:p>
    <w:p>
      <w:pPr>
        <w:spacing w:before="0" w:after="280" w:line="300" w:lineRule="auto"/>
      </w:pPr>
      <w:r>
        <w:rPr>
          <w:rFonts w:ascii="Gloss Manuscript" w:hAnsi="Gloss Manuscript" w:eastAsia="Gloss Manuscript" w:cs="Gloss Manuscript"/>
          <w:b/>
          <w:i w:val="0"/>
          <w:color w:val="000000"/>
          <w:sz w:val="32"/>
          <w:spacing w:val="0"/>
          <w:w w:val="100"/>
        </w:rPr>
        <w:t>Bold — funds transfers, This, The Claimant's, Official</w:t>
      </w:r>
    </w:p>
    <w:p>
      <w:pPr>
        <w:spacing w:before="0" w:after="140" w:line="240" w:lineRule="auto"/>
      </w:pPr>
      <w:r>
        <w:rPr>
          <w:rFonts w:ascii="Arial" w:hAnsi="Arial" w:eastAsia="Arial" w:cs="Arial"/>
          <w:b/>
          <w:i w:val="0"/>
          <w:color w:val="2E74B5"/>
          <w:sz w:val="20"/>
          <w:spacing w:val="0"/>
          <w:w w:val="100"/>
        </w:rPr>
        <w:t>REPEATED LOWERCASE TEXTURE</w:t>
      </w:r>
    </w:p>
    <w:p>
      <w:pPr>
        <w:spacing w:before="0" w:after="160" w:line="300" w:lineRule="auto"/>
      </w:pPr>
      <w:r>
        <w:rPr>
          <w:rFonts w:ascii="Gloss Manuscript" w:hAnsi="Gloss Manuscript" w:eastAsia="Gloss Manuscript" w:cs="Gloss Manuscript"/>
          <w:b w:val="0"/>
          <w:i w:val="0"/>
          <w:color w:val="000000"/>
          <w:sz w:val="32"/>
          <w:spacing w:val="0"/>
          <w:w w:val="100"/>
        </w:rPr>
        <w:t>abcdefghijklmnopqrstuvwxyz  abcdefghijklmnopqrstuvwxyz</w:t>
      </w:r>
    </w:p>
    <w:p>
      <w:pPr>
        <w:spacing w:before="0" w:after="160" w:line="300" w:lineRule="auto"/>
      </w:pPr>
      <w:r>
        <w:rPr>
          <w:rFonts w:ascii="Gloss Manuscript" w:hAnsi="Gloss Manuscript" w:eastAsia="Gloss Manuscript" w:cs="Gloss Manuscript"/>
          <w:b w:val="0"/>
          <w:i w:val="0"/>
          <w:color w:val="000000"/>
          <w:sz w:val="28"/>
          <w:spacing w:val="0"/>
          <w:w w:val="100"/>
        </w:rPr>
        <w:t>minimum nominal official affiliation difficult fulfillment funds transfers</w:t>
      </w:r>
    </w:p>
    <w:p>
      <w:pPr>
        <w:spacing w:before="0" w:after="160" w:line="300" w:lineRule="auto"/>
      </w:pPr>
      <w:r>
        <w:rPr>
          <w:rFonts w:ascii="Gloss Manuscript" w:hAnsi="Gloss Manuscript" w:eastAsia="Gloss Manuscript" w:cs="Gloss Manuscript"/>
          <w:b w:val="0"/>
          <w:i w:val="0"/>
          <w:color w:val="000000"/>
          <w:sz w:val="28"/>
          <w:spacing w:val="0"/>
          <w:w w:val="100"/>
        </w:rPr>
        <w:t>humanitarian institutional constitutional administrative international</w:t>
      </w:r>
    </w:p>
    <w:p>
      <w:pPr>
        <w:spacing w:before="0" w:after="240" w:line="300" w:lineRule="auto"/>
      </w:pPr>
      <w:r>
        <w:rPr>
          <w:rFonts w:ascii="Gloss Manuscript" w:hAnsi="Gloss Manuscript" w:eastAsia="Gloss Manuscript" w:cs="Gloss Manuscript"/>
          <w:b w:val="0"/>
          <w:i w:val="0"/>
          <w:color w:val="000000"/>
          <w:sz w:val="28"/>
          <w:spacing w:val="0"/>
          <w:w w:val="100"/>
        </w:rPr>
        <w:t>The quick brown fox jumps over the lazy dog. Sphinx of black quartz, judge my vow.</w:t>
      </w:r>
    </w:p>
    <w:p>
      <w:pPr>
        <w:spacing w:before="0" w:after="140" w:line="240" w:lineRule="auto"/>
      </w:pPr>
      <w:r>
        <w:rPr>
          <w:rFonts w:ascii="Arial" w:hAnsi="Arial" w:eastAsia="Arial" w:cs="Arial"/>
          <w:b/>
          <w:i w:val="0"/>
          <w:color w:val="2E74B5"/>
          <w:sz w:val="20"/>
          <w:spacing w:val="0"/>
          <w:w w:val="100"/>
        </w:rPr>
        <w:t>CONTROL NOTE</w:t>
      </w:r>
    </w:p>
    <w:p>
      <w:pPr>
        <w:spacing w:before="0" w:after="140" w:line="300" w:lineRule="auto"/>
      </w:pPr>
      <w:r>
        <w:rPr>
          <w:rFonts w:ascii="Gloss Manuscript" w:hAnsi="Gloss Manuscript" w:eastAsia="Gloss Manuscript" w:cs="Gloss Manuscript"/>
          <w:b w:val="0"/>
          <w:i w:val="0"/>
          <w:color w:val="000000"/>
          <w:sz w:val="22"/>
          <w:spacing w:val="0"/>
          <w:w w:val="100"/>
        </w:rPr>
        <w:t>This file deliberately uses normal character spacing and 100% horizontal scale. No Word pair-kerning threshold is enabled, so the proof exercises the base advances and sidebearings rather than relying on pair-specific kerning.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b w:val="0"/>
        <w:i w:val="0"/>
        <w:color w:val="5E5E5E"/>
        <w:sz w:val="16"/>
        <w:spacing w:val="0"/>
        <w:w w:val="100"/>
      </w:rPr>
      <w:t>VERSION 1.005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cs="Arial"/>
        <w:b/>
        <w:i w:val="0"/>
        <w:color w:val="5E5E5E"/>
        <w:sz w:val="16"/>
        <w:spacing w:val="0"/>
        <w:w w:val="100"/>
      </w:rPr>
      <w:t>GLOSS MANUSCRIPT / WORD SPACING 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Gloss Manuscript" w:hAnsi="Gloss Manuscrip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 Manuscript 1.005 Word Spacing Test</dc:title>
  <dc:subject>No-kerning application proof</dc:subject>
  <dc:creator>Gloss Manuscript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