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475569"/>
          <w:sz w:val="21"/>
        </w:rPr>
        <w:t>Future-Innovation Lab | UWC CoLab for Digital Inclusion and Social Innovation</w:t>
      </w:r>
    </w:p>
    <w:p>
      <w:pPr>
        <w:spacing w:after="0"/>
        <w:jc w:val="center"/>
      </w:pPr>
      <w:r>
        <w:rPr>
          <w:b/>
          <w:i w:val="0"/>
          <w:color w:val="0F1C37"/>
          <w:sz w:val="52"/>
        </w:rPr>
        <w:t>STUDENT SUPPORT INSIGHTS TOOL</w:t>
      </w:r>
    </w:p>
    <w:p>
      <w:pPr>
        <w:spacing w:after="40"/>
        <w:jc w:val="center"/>
      </w:pPr>
      <w:r>
        <w:rPr>
          <w:b/>
          <w:i w:val="0"/>
          <w:color w:val="2563EB"/>
          <w:sz w:val="30"/>
        </w:rPr>
        <w:t>AI-Enabled Learner Support Analytics Prototype</w:t>
      </w:r>
    </w:p>
    <w:p>
      <w:pPr>
        <w:spacing w:after="120"/>
        <w:jc w:val="center"/>
      </w:pPr>
      <w:r>
        <w:rPr>
          <w:b w:val="0"/>
          <w:i w:val="0"/>
          <w:color w:val="475569"/>
          <w:sz w:val="20"/>
        </w:rPr>
        <w:t>Final Integrated Report  |  SFIA Level 3 Integrated Assessment  |  Programme AI Internship - Cohort 5</w:t>
      </w:r>
    </w:p>
    <w:p>
      <w:pPr>
        <w:spacing w:after="120"/>
        <w:jc w:val="center"/>
      </w:pPr>
      <w:r>
        <w:drawing>
          <wp:inline xmlns:a="http://schemas.openxmlformats.org/drawingml/2006/main" xmlns:pic="http://schemas.openxmlformats.org/drawingml/2006/picture">
            <wp:extent cx="6217920" cy="2176272"/>
            <wp:docPr id="22" name="Picture 22"/>
            <wp:cNvGraphicFramePr>
              <a:graphicFrameLocks noChangeAspect="1"/>
            </wp:cNvGraphicFramePr>
            <a:graphic>
              <a:graphicData uri="http://schemas.openxmlformats.org/drawingml/2006/picture">
                <pic:pic>
                  <pic:nvPicPr>
                    <pic:cNvPr id="0" name="student_support_cover_visual_v2.png"/>
                    <pic:cNvPicPr/>
                  </pic:nvPicPr>
                  <pic:blipFill>
                    <a:blip r:embed="rId30"/>
                    <a:stretch>
                      <a:fillRect/>
                    </a:stretch>
                  </pic:blipFill>
                  <pic:spPr>
                    <a:xfrm>
                      <a:off x="0" y="0"/>
                      <a:ext cx="6217920" cy="2176272"/>
                    </a:xfrm>
                    <a:prstGeom prst="rect"/>
                  </pic:spPr>
                </pic:pic>
              </a:graphicData>
            </a:graphic>
          </wp:inline>
        </w:drawing>
      </w:r>
    </w:p>
    <w:tbl>
      <w:tblPr>
        <w:tblW w:type="auto" w:w="0"/>
        <w:jc w:val="center"/>
        <w:tblLook w:firstColumn="1" w:firstRow="1" w:lastColumn="0" w:lastRow="0" w:noHBand="0" w:noVBand="1" w:val="04A0"/>
      </w:tblPr>
      <w:tblGrid>
        <w:gridCol w:w="5112"/>
        <w:gridCol w:w="5112"/>
      </w:tblGrid>
      <w:tr>
        <w:tc>
          <w:tcPr>
            <w:tcW w:type="dxa" w:w="3240"/>
            <w:shd w:fill="0F1C37"/>
            <w:top w:val="single" w:sz="6" w:space="0" w:color="A8B4C6"/>
            <w:left w:val="single" w:sz="6" w:space="0" w:color="A8B4C6"/>
            <w:bottom w:val="single" w:sz="6" w:space="0" w:color="A8B4C6"/>
            <w:right w:val="single" w:sz="6" w:space="0" w:color="A8B4C6"/>
            <w:vAlign w:val="center"/>
          </w:tcPr>
          <w:p>
            <w:r/>
            <w:r>
              <w:rPr>
                <w:b/>
                <w:i w:val="0"/>
                <w:color w:val="FFFFFF"/>
                <w:sz w:val="20"/>
              </w:rPr>
              <w:t>Student</w:t>
            </w:r>
          </w:p>
        </w:tc>
        <w:tc>
          <w:tcPr>
            <w:tcW w:type="dxa" w:w="6552"/>
            <w:top w:val="single" w:sz="6" w:space="0" w:color="A8B4C6"/>
            <w:left w:val="single" w:sz="6" w:space="0" w:color="A8B4C6"/>
            <w:bottom w:val="single" w:sz="6" w:space="0" w:color="A8B4C6"/>
            <w:right w:val="single" w:sz="6" w:space="0" w:color="A8B4C6"/>
            <w:vAlign w:val="center"/>
          </w:tcPr>
          <w:p>
            <w:r/>
            <w:r>
              <w:rPr>
                <w:b w:val="0"/>
                <w:i w:val="0"/>
                <w:color w:val="111827"/>
                <w:sz w:val="20"/>
              </w:rPr>
              <w:t>Yonela Jongola</w:t>
            </w:r>
          </w:p>
        </w:tc>
      </w:tr>
      <w:tr>
        <w:tc>
          <w:tcPr>
            <w:tcW w:type="dxa" w:w="3240"/>
            <w:shd w:fill="0F1C37"/>
            <w:top w:val="single" w:sz="6" w:space="0" w:color="A8B4C6"/>
            <w:left w:val="single" w:sz="6" w:space="0" w:color="A8B4C6"/>
            <w:bottom w:val="single" w:sz="6" w:space="0" w:color="A8B4C6"/>
            <w:right w:val="single" w:sz="6" w:space="0" w:color="A8B4C6"/>
            <w:vAlign w:val="center"/>
          </w:tcPr>
          <w:p>
            <w:r/>
            <w:r>
              <w:rPr>
                <w:b/>
                <w:i w:val="0"/>
                <w:color w:val="FFFFFF"/>
                <w:sz w:val="20"/>
              </w:rPr>
              <w:t>Student Number</w:t>
            </w:r>
          </w:p>
        </w:tc>
        <w:tc>
          <w:tcPr>
            <w:tcW w:type="dxa" w:w="6552"/>
            <w:top w:val="single" w:sz="6" w:space="0" w:color="A8B4C6"/>
            <w:left w:val="single" w:sz="6" w:space="0" w:color="A8B4C6"/>
            <w:bottom w:val="single" w:sz="6" w:space="0" w:color="A8B4C6"/>
            <w:right w:val="single" w:sz="6" w:space="0" w:color="A8B4C6"/>
            <w:vAlign w:val="center"/>
          </w:tcPr>
          <w:p>
            <w:r/>
            <w:r>
              <w:rPr>
                <w:b w:val="0"/>
                <w:i w:val="0"/>
                <w:color w:val="111827"/>
                <w:sz w:val="20"/>
              </w:rPr>
              <w:t>12525456122</w:t>
            </w:r>
          </w:p>
        </w:tc>
      </w:tr>
      <w:tr>
        <w:tc>
          <w:tcPr>
            <w:tcW w:type="dxa" w:w="3240"/>
            <w:shd w:fill="0F1C37"/>
            <w:top w:val="single" w:sz="6" w:space="0" w:color="A8B4C6"/>
            <w:left w:val="single" w:sz="6" w:space="0" w:color="A8B4C6"/>
            <w:bottom w:val="single" w:sz="6" w:space="0" w:color="A8B4C6"/>
            <w:right w:val="single" w:sz="6" w:space="0" w:color="A8B4C6"/>
            <w:vAlign w:val="center"/>
          </w:tcPr>
          <w:p>
            <w:r/>
            <w:r>
              <w:rPr>
                <w:b/>
                <w:i w:val="0"/>
                <w:color w:val="FFFFFF"/>
                <w:sz w:val="20"/>
              </w:rPr>
              <w:t>Programme</w:t>
            </w:r>
          </w:p>
        </w:tc>
        <w:tc>
          <w:tcPr>
            <w:tcW w:type="dxa" w:w="6552"/>
            <w:top w:val="single" w:sz="6" w:space="0" w:color="A8B4C6"/>
            <w:left w:val="single" w:sz="6" w:space="0" w:color="A8B4C6"/>
            <w:bottom w:val="single" w:sz="6" w:space="0" w:color="A8B4C6"/>
            <w:right w:val="single" w:sz="6" w:space="0" w:color="A8B4C6"/>
            <w:vAlign w:val="center"/>
          </w:tcPr>
          <w:p>
            <w:r/>
            <w:r>
              <w:rPr>
                <w:b w:val="0"/>
                <w:i w:val="0"/>
                <w:color w:val="111827"/>
                <w:sz w:val="20"/>
              </w:rPr>
              <w:t>AI Internship - Cohort 5</w:t>
            </w:r>
          </w:p>
        </w:tc>
      </w:tr>
      <w:tr>
        <w:tc>
          <w:tcPr>
            <w:tcW w:type="dxa" w:w="3240"/>
            <w:shd w:fill="0F1C37"/>
            <w:top w:val="single" w:sz="6" w:space="0" w:color="A8B4C6"/>
            <w:left w:val="single" w:sz="6" w:space="0" w:color="A8B4C6"/>
            <w:bottom w:val="single" w:sz="6" w:space="0" w:color="A8B4C6"/>
            <w:right w:val="single" w:sz="6" w:space="0" w:color="A8B4C6"/>
            <w:vAlign w:val="center"/>
          </w:tcPr>
          <w:p>
            <w:r/>
            <w:r>
              <w:rPr>
                <w:b/>
                <w:i w:val="0"/>
                <w:color w:val="FFFFFF"/>
                <w:sz w:val="20"/>
              </w:rPr>
              <w:t>Assessment</w:t>
            </w:r>
          </w:p>
        </w:tc>
        <w:tc>
          <w:tcPr>
            <w:tcW w:type="dxa" w:w="6552"/>
            <w:top w:val="single" w:sz="6" w:space="0" w:color="A8B4C6"/>
            <w:left w:val="single" w:sz="6" w:space="0" w:color="A8B4C6"/>
            <w:bottom w:val="single" w:sz="6" w:space="0" w:color="A8B4C6"/>
            <w:right w:val="single" w:sz="6" w:space="0" w:color="A8B4C6"/>
            <w:vAlign w:val="center"/>
          </w:tcPr>
          <w:p>
            <w:r/>
            <w:r>
              <w:rPr>
                <w:b w:val="0"/>
                <w:i w:val="0"/>
                <w:color w:val="111827"/>
                <w:sz w:val="20"/>
              </w:rPr>
              <w:t>SFIA Level 3 Integrated Assessment</w:t>
            </w:r>
          </w:p>
        </w:tc>
      </w:tr>
      <w:tr>
        <w:tc>
          <w:tcPr>
            <w:tcW w:type="dxa" w:w="3240"/>
            <w:shd w:fill="0F1C37"/>
            <w:top w:val="single" w:sz="6" w:space="0" w:color="A8B4C6"/>
            <w:left w:val="single" w:sz="6" w:space="0" w:color="A8B4C6"/>
            <w:bottom w:val="single" w:sz="6" w:space="0" w:color="A8B4C6"/>
            <w:right w:val="single" w:sz="6" w:space="0" w:color="A8B4C6"/>
            <w:vAlign w:val="center"/>
          </w:tcPr>
          <w:p>
            <w:r/>
            <w:r>
              <w:rPr>
                <w:b/>
                <w:i w:val="0"/>
                <w:color w:val="FFFFFF"/>
                <w:sz w:val="20"/>
              </w:rPr>
              <w:t>Submission</w:t>
            </w:r>
          </w:p>
        </w:tc>
        <w:tc>
          <w:tcPr>
            <w:tcW w:type="dxa" w:w="6552"/>
            <w:top w:val="single" w:sz="6" w:space="0" w:color="A8B4C6"/>
            <w:left w:val="single" w:sz="6" w:space="0" w:color="A8B4C6"/>
            <w:bottom w:val="single" w:sz="6" w:space="0" w:color="A8B4C6"/>
            <w:right w:val="single" w:sz="6" w:space="0" w:color="A8B4C6"/>
            <w:vAlign w:val="center"/>
          </w:tcPr>
          <w:p>
            <w:r/>
            <w:r>
              <w:rPr>
                <w:b w:val="0"/>
                <w:i w:val="0"/>
                <w:color w:val="111827"/>
                <w:sz w:val="20"/>
              </w:rPr>
              <w:t>Integrated Word/PDF Report and Evidence Folder</w:t>
            </w:r>
          </w:p>
        </w:tc>
      </w:tr>
      <w:tr>
        <w:tc>
          <w:tcPr>
            <w:tcW w:type="dxa" w:w="3240"/>
            <w:shd w:fill="0F1C37"/>
            <w:top w:val="single" w:sz="6" w:space="0" w:color="A8B4C6"/>
            <w:left w:val="single" w:sz="6" w:space="0" w:color="A8B4C6"/>
            <w:bottom w:val="single" w:sz="6" w:space="0" w:color="A8B4C6"/>
            <w:right w:val="single" w:sz="6" w:space="0" w:color="A8B4C6"/>
            <w:vAlign w:val="center"/>
          </w:tcPr>
          <w:p>
            <w:r/>
            <w:r>
              <w:rPr>
                <w:b/>
                <w:i w:val="0"/>
                <w:color w:val="FFFFFF"/>
                <w:sz w:val="20"/>
              </w:rPr>
              <w:t>Date</w:t>
            </w:r>
          </w:p>
        </w:tc>
        <w:tc>
          <w:tcPr>
            <w:tcW w:type="dxa" w:w="6552"/>
            <w:top w:val="single" w:sz="6" w:space="0" w:color="A8B4C6"/>
            <w:left w:val="single" w:sz="6" w:space="0" w:color="A8B4C6"/>
            <w:bottom w:val="single" w:sz="6" w:space="0" w:color="A8B4C6"/>
            <w:right w:val="single" w:sz="6" w:space="0" w:color="A8B4C6"/>
            <w:vAlign w:val="center"/>
          </w:tcPr>
          <w:p>
            <w:r/>
            <w:r>
              <w:rPr>
                <w:b w:val="0"/>
                <w:i w:val="0"/>
                <w:color w:val="111827"/>
                <w:sz w:val="20"/>
              </w:rPr>
              <w:t>01 June 2026</w:t>
            </w:r>
          </w:p>
        </w:tc>
      </w:tr>
    </w:tbl>
    <w:p>
      <w:pPr>
        <w:spacing w:after="0" w:before="140"/>
        <w:jc w:val="center"/>
      </w:pPr>
      <w:r>
        <w:rPr>
          <w:b w:val="0"/>
          <w:i/>
          <w:color w:val="475569"/>
          <w:sz w:val="21"/>
        </w:rPr>
        <w:t>A practical dashboard for proactive learner support, ethical risk review and data-informed programme decisions.</w:t>
      </w:r>
    </w:p>
    <w:p>
      <w:r>
        <w:br w:type="page"/>
      </w:r>
    </w:p>
    <w:p>
      <w:pPr>
        <w:pStyle w:val="Heading1"/>
        <w:spacing w:before="200" w:after="120"/>
      </w:pPr>
      <w:r>
        <w:t>Table of Contents</w:t>
      </w:r>
    </w:p>
    <w:p>
      <w:pPr>
        <w:ind w:left="144"/>
      </w:pPr>
      <w:r>
        <w:t>1. Executive Summary</w:t>
      </w:r>
      <w:r>
        <w:t xml:space="preserve"> ...................................................................... </w:t>
      </w:r>
      <w:r>
        <w:t>3</w:t>
      </w:r>
    </w:p>
    <w:p>
      <w:pPr>
        <w:ind w:left="144"/>
      </w:pPr>
      <w:r>
        <w:t>2. Problem Statement and Context</w:t>
      </w:r>
      <w:r>
        <w:t xml:space="preserve"> ...................................................................... </w:t>
      </w:r>
      <w:r>
        <w:t>4</w:t>
      </w:r>
    </w:p>
    <w:p>
      <w:pPr>
        <w:ind w:left="144"/>
      </w:pPr>
      <w:r>
        <w:t>3. Stakeholder and User Needs Analysis</w:t>
      </w:r>
      <w:r>
        <w:t xml:space="preserve"> ...................................................................... </w:t>
      </w:r>
      <w:r>
        <w:t>5</w:t>
      </w:r>
    </w:p>
    <w:p>
      <w:pPr>
        <w:ind w:left="144"/>
      </w:pPr>
      <w:r>
        <w:t>4. Current and Improved Process</w:t>
      </w:r>
      <w:r>
        <w:t xml:space="preserve"> ...................................................................... </w:t>
      </w:r>
      <w:r>
        <w:t>6</w:t>
      </w:r>
    </w:p>
    <w:p>
      <w:pPr>
        <w:ind w:left="144"/>
      </w:pPr>
      <w:r>
        <w:t>5. Business and Value Model</w:t>
      </w:r>
      <w:r>
        <w:t xml:space="preserve"> ...................................................................... </w:t>
      </w:r>
      <w:r>
        <w:t>8</w:t>
      </w:r>
    </w:p>
    <w:p>
      <w:pPr>
        <w:ind w:left="144"/>
      </w:pPr>
      <w:r>
        <w:t>6. Data Description and Preparation</w:t>
      </w:r>
      <w:r>
        <w:t xml:space="preserve"> ...................................................................... </w:t>
      </w:r>
      <w:r>
        <w:t>9</w:t>
      </w:r>
    </w:p>
    <w:p>
      <w:pPr>
        <w:ind w:left="144"/>
      </w:pPr>
      <w:r>
        <w:t>7. Analytics Findings and KPI Dashboard</w:t>
      </w:r>
      <w:r>
        <w:t xml:space="preserve"> ...................................................................... </w:t>
      </w:r>
      <w:r>
        <w:t>11</w:t>
      </w:r>
    </w:p>
    <w:p>
      <w:pPr>
        <w:ind w:left="144"/>
      </w:pPr>
      <w:r>
        <w:t>8. Prototype Description and UX/UI Design</w:t>
      </w:r>
      <w:r>
        <w:t xml:space="preserve"> ...................................................................... </w:t>
      </w:r>
      <w:r>
        <w:t>15</w:t>
      </w:r>
    </w:p>
    <w:p>
      <w:pPr>
        <w:ind w:left="144"/>
      </w:pPr>
      <w:r>
        <w:t>9. AI, Data Ethics and Privacy Review</w:t>
      </w:r>
      <w:r>
        <w:t xml:space="preserve"> ...................................................................... </w:t>
      </w:r>
      <w:r>
        <w:t>18</w:t>
      </w:r>
    </w:p>
    <w:p>
      <w:pPr>
        <w:ind w:left="144"/>
      </w:pPr>
      <w:r>
        <w:t>10. Methods, Tools and Development Approach</w:t>
      </w:r>
      <w:r>
        <w:t xml:space="preserve"> ...................................................................... </w:t>
      </w:r>
      <w:r>
        <w:t>20</w:t>
      </w:r>
    </w:p>
    <w:p>
      <w:pPr>
        <w:ind w:left="144"/>
      </w:pPr>
      <w:r>
        <w:t>11. Testing, Review and Quality Evidence</w:t>
      </w:r>
      <w:r>
        <w:t xml:space="preserve"> ...................................................................... </w:t>
      </w:r>
      <w:r>
        <w:t>22</w:t>
      </w:r>
    </w:p>
    <w:p>
      <w:pPr>
        <w:ind w:left="144"/>
      </w:pPr>
      <w:r>
        <w:t>12. Hosting and Deployment Readiness</w:t>
      </w:r>
      <w:r>
        <w:t xml:space="preserve"> ...................................................................... </w:t>
      </w:r>
      <w:r>
        <w:t>24</w:t>
      </w:r>
    </w:p>
    <w:p>
      <w:pPr>
        <w:ind w:left="144"/>
      </w:pPr>
      <w:r>
        <w:t>13. Reflection and Future Improvements</w:t>
      </w:r>
      <w:r>
        <w:t xml:space="preserve"> ...................................................................... </w:t>
      </w:r>
      <w:r>
        <w:t>26</w:t>
      </w:r>
    </w:p>
    <w:p>
      <w:pPr>
        <w:ind w:left="144"/>
      </w:pPr>
      <w:r>
        <w:t>14. Evidence Inventory Mapped to SFIA Skills</w:t>
      </w:r>
      <w:r>
        <w:t xml:space="preserve"> ...................................................................... </w:t>
      </w:r>
      <w:r>
        <w:t>27</w:t>
      </w:r>
    </w:p>
    <w:p>
      <w:pPr>
        <w:ind w:left="144"/>
      </w:pPr>
      <w:r>
        <w:t>15. Final Submission Checklist</w:t>
      </w:r>
      <w:r>
        <w:t xml:space="preserve"> ...................................................................... </w:t>
      </w:r>
      <w:r>
        <w:t>29</w:t>
      </w:r>
    </w:p>
    <w:p>
      <w:pPr>
        <w:ind w:left="144"/>
      </w:pPr>
      <w:r>
        <w:t>Appendices</w:t>
      </w:r>
      <w:r>
        <w:t xml:space="preserve"> ...................................................................... </w:t>
      </w:r>
      <w:r>
        <w:t>30</w:t>
      </w:r>
    </w:p>
    <w:p>
      <w:pPr>
        <w:pStyle w:val="Heading1"/>
        <w:spacing w:before="200" w:after="120"/>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2448"/>
            <w:shd w:fill="1E3A8A"/>
            <w:vAlign w:val="center"/>
          </w:tcPr>
          <w:p>
            <w:r/>
            <w:r>
              <w:rPr>
                <w:b/>
                <w:color w:val="FFFFFF"/>
                <w:sz w:val="18"/>
              </w:rPr>
              <w:t>Item</w:t>
            </w:r>
          </w:p>
        </w:tc>
        <w:tc>
          <w:tcPr>
            <w:tcW w:type="dxa" w:w="7200"/>
            <w:shd w:fill="1E3A8A"/>
            <w:vAlign w:val="center"/>
          </w:tcPr>
          <w:p>
            <w:r/>
            <w:r>
              <w:rPr>
                <w:b/>
                <w:color w:val="FFFFFF"/>
                <w:sz w:val="18"/>
              </w:rPr>
              <w:t>Description</w:t>
            </w:r>
          </w:p>
        </w:tc>
      </w:tr>
      <w:tr>
        <w:tc>
          <w:tcPr>
            <w:tcW w:type="dxa" w:w="2448"/>
            <w:vAlign w:val="center"/>
          </w:tcPr>
          <w:p>
            <w:r/>
            <w:r>
              <w:rPr>
                <w:b w:val="0"/>
                <w:color w:val="000000"/>
                <w:sz w:val="18"/>
              </w:rPr>
              <w:t>Report purpose</w:t>
            </w:r>
          </w:p>
        </w:tc>
        <w:tc>
          <w:tcPr>
            <w:tcW w:type="dxa" w:w="7200"/>
            <w:vAlign w:val="center"/>
          </w:tcPr>
          <w:p>
            <w:r/>
            <w:r>
              <w:rPr>
                <w:b w:val="0"/>
                <w:color w:val="000000"/>
                <w:sz w:val="18"/>
              </w:rPr>
              <w:t>Integrated final report for the Student Support Insights Tool assignment.</w:t>
            </w:r>
          </w:p>
        </w:tc>
      </w:tr>
      <w:tr>
        <w:tc>
          <w:tcPr>
            <w:tcW w:type="dxa" w:w="2448"/>
            <w:vAlign w:val="center"/>
          </w:tcPr>
          <w:p>
            <w:r/>
            <w:r>
              <w:rPr>
                <w:b w:val="0"/>
                <w:color w:val="000000"/>
                <w:sz w:val="18"/>
              </w:rPr>
              <w:t>Evidence basis</w:t>
            </w:r>
          </w:p>
        </w:tc>
        <w:tc>
          <w:tcPr>
            <w:tcW w:type="dxa" w:w="7200"/>
            <w:vAlign w:val="center"/>
          </w:tcPr>
          <w:p>
            <w:r/>
            <w:r>
              <w:rPr>
                <w:b w:val="0"/>
                <w:color w:val="000000"/>
                <w:sz w:val="18"/>
              </w:rPr>
              <w:t>Project source code, dataset, documentation, screenshots, testing logs, bug logs, ethics review and SFIA evidence checklist.</w:t>
            </w:r>
          </w:p>
        </w:tc>
      </w:tr>
      <w:tr>
        <w:tc>
          <w:tcPr>
            <w:tcW w:type="dxa" w:w="2448"/>
            <w:vAlign w:val="center"/>
          </w:tcPr>
          <w:p>
            <w:r/>
            <w:r>
              <w:rPr>
                <w:b w:val="0"/>
                <w:color w:val="000000"/>
                <w:sz w:val="18"/>
              </w:rPr>
              <w:t>Data status</w:t>
            </w:r>
          </w:p>
        </w:tc>
        <w:tc>
          <w:tcPr>
            <w:tcW w:type="dxa" w:w="7200"/>
            <w:vAlign w:val="center"/>
          </w:tcPr>
          <w:p>
            <w:r/>
            <w:r>
              <w:rPr>
                <w:b w:val="0"/>
                <w:color w:val="000000"/>
                <w:sz w:val="18"/>
              </w:rPr>
              <w:t>Synthetic learner records only. No real learner personal information is used.</w:t>
            </w:r>
          </w:p>
        </w:tc>
      </w:tr>
      <w:tr>
        <w:tc>
          <w:tcPr>
            <w:tcW w:type="dxa" w:w="2448"/>
            <w:vAlign w:val="center"/>
          </w:tcPr>
          <w:p>
            <w:r/>
            <w:r>
              <w:rPr>
                <w:b w:val="0"/>
                <w:color w:val="000000"/>
                <w:sz w:val="18"/>
              </w:rPr>
              <w:t>Decision status</w:t>
            </w:r>
          </w:p>
        </w:tc>
        <w:tc>
          <w:tcPr>
            <w:tcW w:type="dxa" w:w="7200"/>
            <w:vAlign w:val="center"/>
          </w:tcPr>
          <w:p>
            <w:r/>
            <w:r>
              <w:rPr>
                <w:b w:val="0"/>
                <w:color w:val="000000"/>
                <w:sz w:val="18"/>
              </w:rPr>
              <w:t>Risk flags and recommendations are decision-support signals only and require human staff review.</w:t>
            </w:r>
          </w:p>
        </w:tc>
      </w:tr>
    </w:tbl>
    <w:p/>
    <w:p>
      <w:r>
        <w:br w:type="page"/>
      </w:r>
    </w:p>
    <w:p>
      <w:pPr>
        <w:pStyle w:val="Heading1"/>
        <w:spacing w:before="200" w:after="120"/>
      </w:pPr>
      <w:r>
        <w:t>1. Executive Summary</w:t>
      </w:r>
    </w:p>
    <w:p>
      <w:pPr>
        <w:spacing w:after="120" w:line="259" w:lineRule="auto"/>
      </w:pPr>
      <w:r>
        <w:t>This report presents the Student Support Insights Tool, a working prototype designed to help programme staff capture, validate, analyse and interpret learner support survey data. The solution turns raw learner support information into operational insight through KPI cards, visual dashboards, explainable risk scoring, recommendation outputs and responsible-use controls.</w:t>
      </w:r>
    </w:p>
    <w:p>
      <w:pPr>
        <w:spacing w:after="120" w:line="259" w:lineRule="auto"/>
      </w:pPr>
      <w:r>
        <w:t>The project responds to a common challenge in digital skills programmes: learner information is often collected, but it is not always used systematically to identify early support needs, access barriers or process improvement opportunities. This prototype demonstrates how a programme team can move from manual spreadsheet review to proactive, ethical and data-informed learner success management.</w:t>
      </w:r>
    </w:p>
    <w:p>
      <w:pPr>
        <w:spacing w:after="120" w:line="259" w:lineRule="auto"/>
      </w:pPr>
      <w:r>
        <w:t>The prototype uses a synthetic dataset of 30 learners. The risk model identifies 11 learners who require high or critical staff review, while also highlighting connectivity risk, device access gaps and confidence patterns across digital, programming and AI familiarity skills. These outputs are not final decisions; they are structured evidence for staff review and support planning.</w:t>
      </w:r>
    </w:p>
    <w:p>
      <w:pPr>
        <w:spacing w:after="120" w:line="259" w:lineRule="auto"/>
      </w:pPr>
      <w:r>
        <w:t>The final evidence pack includes source code, dataset files, data dictionary, process models, business value model, ethics and privacy review, testing evidence, bug log, screenshots, README/user guide, peer/stakeholder review evidence and SFIA mapping. Together, these artefacts show a complete integrated assessment outcome rather than disconnected mini-submissions.</w:t>
      </w:r>
    </w:p>
    <w:p>
      <w:pPr>
        <w:jc w:val="center"/>
      </w:pPr>
      <w:r>
        <w:drawing>
          <wp:inline xmlns:a="http://schemas.openxmlformats.org/drawingml/2006/main" xmlns:pic="http://schemas.openxmlformats.org/drawingml/2006/picture">
            <wp:extent cx="6126480" cy="4194937"/>
            <wp:docPr id="2" name="Picture 2"/>
            <wp:cNvGraphicFramePr>
              <a:graphicFrameLocks noChangeAspect="1"/>
            </wp:cNvGraphicFramePr>
            <a:graphic>
              <a:graphicData uri="http://schemas.openxmlformats.org/drawingml/2006/picture">
                <pic:pic>
                  <pic:nvPicPr>
                    <pic:cNvPr id="0" name="dashboard-overview.png"/>
                    <pic:cNvPicPr/>
                  </pic:nvPicPr>
                  <pic:blipFill>
                    <a:blip r:embed="rId11"/>
                    <a:stretch>
                      <a:fillRect/>
                    </a:stretch>
                  </pic:blipFill>
                  <pic:spPr>
                    <a:xfrm>
                      <a:off x="0" y="0"/>
                      <a:ext cx="6126480" cy="4194937"/>
                    </a:xfrm>
                    <a:prstGeom prst="rect"/>
                  </pic:spPr>
                </pic:pic>
              </a:graphicData>
            </a:graphic>
          </wp:inline>
        </w:drawing>
      </w:r>
    </w:p>
    <w:p>
      <w:pPr>
        <w:pStyle w:val="CaptionSmall"/>
        <w:jc w:val="center"/>
      </w:pPr>
      <w:r>
        <w:t>Figure 1: Dashboard overview showing the operational layout and learner support KPI story.</w:t>
      </w:r>
    </w:p>
    <w:p>
      <w:pPr>
        <w:pStyle w:val="Heading1"/>
        <w:spacing w:before="200" w:after="120"/>
      </w:pPr>
      <w:r>
        <w:t>2. Problem Statement and Context</w:t>
      </w:r>
    </w:p>
    <w:p>
      <w:pPr>
        <w:spacing w:after="120" w:line="259" w:lineRule="auto"/>
      </w:pPr>
      <w:r>
        <w:t>Digital skills programmes depend on timely learner support. Learners may face barriers such as limited data, unstable internet, phone-only learning, transport difficulty, low confidence or limited familiarity with AI tools. When this information sits in spreadsheets or disconnected notes, programme staff may not see risk patterns early enough to act.</w:t>
      </w:r>
    </w:p>
    <w:p>
      <w:pPr>
        <w:spacing w:after="120" w:line="259" w:lineRule="auto"/>
      </w:pPr>
      <w:r>
        <w:t>The core project question is: How can a programme team use learner data responsibly to identify support needs, prioritise support actions and improve learner success?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0F766E"/>
            <w:vAlign w:val="center"/>
          </w:tcPr>
          <w:p>
            <w:r/>
            <w:r>
              <w:rPr>
                <w:b/>
                <w:color w:val="FFFFFF"/>
                <w:sz w:val="18"/>
              </w:rPr>
              <w:t>Current challenge</w:t>
            </w:r>
          </w:p>
        </w:tc>
        <w:tc>
          <w:tcPr>
            <w:tcW w:type="dxa" w:w="3456"/>
            <w:shd w:fill="0F766E"/>
            <w:vAlign w:val="center"/>
          </w:tcPr>
          <w:p>
            <w:r/>
            <w:r>
              <w:rPr>
                <w:b/>
                <w:color w:val="FFFFFF"/>
                <w:sz w:val="18"/>
              </w:rPr>
              <w:t>Impact on programme delivery</w:t>
            </w:r>
          </w:p>
        </w:tc>
        <w:tc>
          <w:tcPr>
            <w:tcW w:type="dxa" w:w="3456"/>
            <w:shd w:fill="0F766E"/>
            <w:vAlign w:val="center"/>
          </w:tcPr>
          <w:p>
            <w:r/>
            <w:r>
              <w:rPr>
                <w:b/>
                <w:color w:val="FFFFFF"/>
                <w:sz w:val="18"/>
              </w:rPr>
              <w:t>How the prototype responds</w:t>
            </w:r>
          </w:p>
        </w:tc>
      </w:tr>
      <w:tr>
        <w:tc>
          <w:tcPr>
            <w:tcW w:type="dxa" w:w="2592"/>
            <w:vAlign w:val="center"/>
          </w:tcPr>
          <w:p>
            <w:r/>
            <w:r>
              <w:rPr>
                <w:b w:val="0"/>
                <w:color w:val="000000"/>
                <w:sz w:val="18"/>
              </w:rPr>
              <w:t>Manual learner support review</w:t>
            </w:r>
          </w:p>
        </w:tc>
        <w:tc>
          <w:tcPr>
            <w:tcW w:type="dxa" w:w="3456"/>
            <w:vAlign w:val="center"/>
          </w:tcPr>
          <w:p>
            <w:r/>
            <w:r>
              <w:rPr>
                <w:b w:val="0"/>
                <w:color w:val="000000"/>
                <w:sz w:val="18"/>
              </w:rPr>
              <w:t>Staff spend time scanning spreadsheets and may miss early warning signs.</w:t>
            </w:r>
          </w:p>
        </w:tc>
        <w:tc>
          <w:tcPr>
            <w:tcW w:type="dxa" w:w="3456"/>
            <w:vAlign w:val="center"/>
          </w:tcPr>
          <w:p>
            <w:r/>
            <w:r>
              <w:rPr>
                <w:b w:val="0"/>
                <w:color w:val="000000"/>
                <w:sz w:val="18"/>
              </w:rPr>
              <w:t>The tool validates data and summarises risk through dashboard KPIs.</w:t>
            </w:r>
          </w:p>
        </w:tc>
      </w:tr>
      <w:tr>
        <w:tc>
          <w:tcPr>
            <w:tcW w:type="dxa" w:w="2592"/>
            <w:vAlign w:val="center"/>
          </w:tcPr>
          <w:p>
            <w:r/>
            <w:r>
              <w:rPr>
                <w:b w:val="0"/>
                <w:color w:val="000000"/>
                <w:sz w:val="18"/>
              </w:rPr>
              <w:t>Inconsistent support prioritisation</w:t>
            </w:r>
          </w:p>
        </w:tc>
        <w:tc>
          <w:tcPr>
            <w:tcW w:type="dxa" w:w="3456"/>
            <w:vAlign w:val="center"/>
          </w:tcPr>
          <w:p>
            <w:r/>
            <w:r>
              <w:rPr>
                <w:b w:val="0"/>
                <w:color w:val="000000"/>
                <w:sz w:val="18"/>
              </w:rPr>
              <w:t>Support decisions can vary depending on who reviews the data.</w:t>
            </w:r>
          </w:p>
        </w:tc>
        <w:tc>
          <w:tcPr>
            <w:tcW w:type="dxa" w:w="3456"/>
            <w:vAlign w:val="center"/>
          </w:tcPr>
          <w:p>
            <w:r/>
            <w:r>
              <w:rPr>
                <w:b w:val="0"/>
                <w:color w:val="000000"/>
                <w:sz w:val="18"/>
              </w:rPr>
              <w:t>A transparent scoring model gives consistent risk categories and reason codes.</w:t>
            </w:r>
          </w:p>
        </w:tc>
      </w:tr>
      <w:tr>
        <w:tc>
          <w:tcPr>
            <w:tcW w:type="dxa" w:w="2592"/>
            <w:vAlign w:val="center"/>
          </w:tcPr>
          <w:p>
            <w:r/>
            <w:r>
              <w:rPr>
                <w:b w:val="0"/>
                <w:color w:val="000000"/>
                <w:sz w:val="18"/>
              </w:rPr>
              <w:t>Limited reporting visibility</w:t>
            </w:r>
          </w:p>
        </w:tc>
        <w:tc>
          <w:tcPr>
            <w:tcW w:type="dxa" w:w="3456"/>
            <w:vAlign w:val="center"/>
          </w:tcPr>
          <w:p>
            <w:r/>
            <w:r>
              <w:rPr>
                <w:b w:val="0"/>
                <w:color w:val="000000"/>
                <w:sz w:val="18"/>
              </w:rPr>
              <w:t>Leadership may not see the full pattern of learner needs.</w:t>
            </w:r>
          </w:p>
        </w:tc>
        <w:tc>
          <w:tcPr>
            <w:tcW w:type="dxa" w:w="3456"/>
            <w:vAlign w:val="center"/>
          </w:tcPr>
          <w:p>
            <w:r/>
            <w:r>
              <w:rPr>
                <w:b w:val="0"/>
                <w:color w:val="000000"/>
                <w:sz w:val="18"/>
              </w:rPr>
              <w:t>Charts and summaries translate data into management-level insight.</w:t>
            </w:r>
          </w:p>
        </w:tc>
      </w:tr>
      <w:tr>
        <w:tc>
          <w:tcPr>
            <w:tcW w:type="dxa" w:w="2592"/>
            <w:vAlign w:val="center"/>
          </w:tcPr>
          <w:p>
            <w:r/>
            <w:r>
              <w:rPr>
                <w:b w:val="0"/>
                <w:color w:val="000000"/>
                <w:sz w:val="18"/>
              </w:rPr>
              <w:t>Ethical risk in using learner data</w:t>
            </w:r>
          </w:p>
        </w:tc>
        <w:tc>
          <w:tcPr>
            <w:tcW w:type="dxa" w:w="3456"/>
            <w:vAlign w:val="center"/>
          </w:tcPr>
          <w:p>
            <w:r/>
            <w:r>
              <w:rPr>
                <w:b w:val="0"/>
                <w:color w:val="000000"/>
                <w:sz w:val="18"/>
              </w:rPr>
              <w:t>Learners can be unfairly labelled if outputs are treated as final decisions.</w:t>
            </w:r>
          </w:p>
        </w:tc>
        <w:tc>
          <w:tcPr>
            <w:tcW w:type="dxa" w:w="3456"/>
            <w:vAlign w:val="center"/>
          </w:tcPr>
          <w:p>
            <w:r/>
            <w:r>
              <w:rPr>
                <w:b w:val="0"/>
                <w:color w:val="000000"/>
                <w:sz w:val="18"/>
              </w:rPr>
              <w:t>Human review, consent wording and non-automation rules are built into the workflow.</w:t>
            </w:r>
          </w:p>
        </w:tc>
      </w:tr>
    </w:tbl>
    <w:p/>
    <w:p>
      <w:pPr>
        <w:pStyle w:val="Heading1"/>
        <w:spacing w:before="200" w:after="120"/>
      </w:pPr>
      <w:r>
        <w:t>3. Stakeholder and User Needs Analysis</w:t>
      </w:r>
    </w:p>
    <w:p>
      <w:pPr>
        <w:spacing w:after="120" w:line="259" w:lineRule="auto"/>
      </w:pPr>
      <w:r>
        <w:t>The tool is designed primarily for programme staff who need to understand learner support needs quickly and fairly. It also serves leadership, facilitators, mentors and IT support by creating a clearer evidence trail from data capture to support action.</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E3A8A"/>
            <w:vAlign w:val="center"/>
          </w:tcPr>
          <w:p>
            <w:r/>
            <w:r>
              <w:rPr>
                <w:b/>
                <w:color w:val="FFFFFF"/>
                <w:sz w:val="18"/>
              </w:rPr>
              <w:t>Stakeholder</w:t>
            </w:r>
          </w:p>
        </w:tc>
        <w:tc>
          <w:tcPr>
            <w:tcW w:type="dxa" w:w="3744"/>
            <w:shd w:fill="1E3A8A"/>
            <w:vAlign w:val="center"/>
          </w:tcPr>
          <w:p>
            <w:r/>
            <w:r>
              <w:rPr>
                <w:b/>
                <w:color w:val="FFFFFF"/>
                <w:sz w:val="18"/>
              </w:rPr>
              <w:t>Need</w:t>
            </w:r>
          </w:p>
        </w:tc>
        <w:tc>
          <w:tcPr>
            <w:tcW w:type="dxa" w:w="3744"/>
            <w:shd w:fill="1E3A8A"/>
            <w:vAlign w:val="center"/>
          </w:tcPr>
          <w:p>
            <w:r/>
            <w:r>
              <w:rPr>
                <w:b/>
                <w:color w:val="FFFFFF"/>
                <w:sz w:val="18"/>
              </w:rPr>
              <w:t>Design response</w:t>
            </w:r>
          </w:p>
        </w:tc>
      </w:tr>
      <w:tr>
        <w:tc>
          <w:tcPr>
            <w:tcW w:type="dxa" w:w="2160"/>
            <w:vAlign w:val="center"/>
          </w:tcPr>
          <w:p>
            <w:r/>
            <w:r>
              <w:rPr>
                <w:b w:val="0"/>
                <w:color w:val="000000"/>
                <w:sz w:val="18"/>
              </w:rPr>
              <w:t>Learners</w:t>
            </w:r>
          </w:p>
        </w:tc>
        <w:tc>
          <w:tcPr>
            <w:tcW w:type="dxa" w:w="3744"/>
            <w:vAlign w:val="center"/>
          </w:tcPr>
          <w:p>
            <w:r/>
            <w:r>
              <w:rPr>
                <w:b w:val="0"/>
                <w:color w:val="000000"/>
                <w:sz w:val="18"/>
              </w:rPr>
              <w:t>Fair, timely and relevant support without unnecessary exposure of personal data.</w:t>
            </w:r>
          </w:p>
        </w:tc>
        <w:tc>
          <w:tcPr>
            <w:tcW w:type="dxa" w:w="3744"/>
            <w:vAlign w:val="center"/>
          </w:tcPr>
          <w:p>
            <w:r/>
            <w:r>
              <w:rPr>
                <w:b w:val="0"/>
                <w:color w:val="000000"/>
                <w:sz w:val="18"/>
              </w:rPr>
              <w:t>Synthetic/anonymised data approach, privacy wording and human review.</w:t>
            </w:r>
          </w:p>
        </w:tc>
      </w:tr>
      <w:tr>
        <w:tc>
          <w:tcPr>
            <w:tcW w:type="dxa" w:w="2160"/>
            <w:vAlign w:val="center"/>
          </w:tcPr>
          <w:p>
            <w:r/>
            <w:r>
              <w:rPr>
                <w:b w:val="0"/>
                <w:color w:val="000000"/>
                <w:sz w:val="18"/>
              </w:rPr>
              <w:t>Programme staff</w:t>
            </w:r>
          </w:p>
        </w:tc>
        <w:tc>
          <w:tcPr>
            <w:tcW w:type="dxa" w:w="3744"/>
            <w:vAlign w:val="center"/>
          </w:tcPr>
          <w:p>
            <w:r/>
            <w:r>
              <w:rPr>
                <w:b w:val="0"/>
                <w:color w:val="000000"/>
                <w:sz w:val="18"/>
              </w:rPr>
              <w:t>A simple way to identify support patterns and prioritise action.</w:t>
            </w:r>
          </w:p>
        </w:tc>
        <w:tc>
          <w:tcPr>
            <w:tcW w:type="dxa" w:w="3744"/>
            <w:vAlign w:val="center"/>
          </w:tcPr>
          <w:p>
            <w:r/>
            <w:r>
              <w:rPr>
                <w:b w:val="0"/>
                <w:color w:val="000000"/>
                <w:sz w:val="18"/>
              </w:rPr>
              <w:t>KPI dashboard, risk table, recommendation cards and validation feedback.</w:t>
            </w:r>
          </w:p>
        </w:tc>
      </w:tr>
      <w:tr>
        <w:tc>
          <w:tcPr>
            <w:tcW w:type="dxa" w:w="2160"/>
            <w:vAlign w:val="center"/>
          </w:tcPr>
          <w:p>
            <w:r/>
            <w:r>
              <w:rPr>
                <w:b w:val="0"/>
                <w:color w:val="000000"/>
                <w:sz w:val="18"/>
              </w:rPr>
              <w:t>Facilitators / mentors</w:t>
            </w:r>
          </w:p>
        </w:tc>
        <w:tc>
          <w:tcPr>
            <w:tcW w:type="dxa" w:w="3744"/>
            <w:vAlign w:val="center"/>
          </w:tcPr>
          <w:p>
            <w:r/>
            <w:r>
              <w:rPr>
                <w:b w:val="0"/>
                <w:color w:val="000000"/>
                <w:sz w:val="18"/>
              </w:rPr>
              <w:t>Clear signals about who may need academic or confidence support.</w:t>
            </w:r>
          </w:p>
        </w:tc>
        <w:tc>
          <w:tcPr>
            <w:tcW w:type="dxa" w:w="3744"/>
            <w:vAlign w:val="center"/>
          </w:tcPr>
          <w:p>
            <w:r/>
            <w:r>
              <w:rPr>
                <w:b w:val="0"/>
                <w:color w:val="000000"/>
                <w:sz w:val="18"/>
              </w:rPr>
              <w:t>Reason codes and support categories make follow-up easier.</w:t>
            </w:r>
          </w:p>
        </w:tc>
      </w:tr>
      <w:tr>
        <w:tc>
          <w:tcPr>
            <w:tcW w:type="dxa" w:w="2160"/>
            <w:vAlign w:val="center"/>
          </w:tcPr>
          <w:p>
            <w:r/>
            <w:r>
              <w:rPr>
                <w:b w:val="0"/>
                <w:color w:val="000000"/>
                <w:sz w:val="18"/>
              </w:rPr>
              <w:t>Programme leadership</w:t>
            </w:r>
          </w:p>
        </w:tc>
        <w:tc>
          <w:tcPr>
            <w:tcW w:type="dxa" w:w="3744"/>
            <w:vAlign w:val="center"/>
          </w:tcPr>
          <w:p>
            <w:r/>
            <w:r>
              <w:rPr>
                <w:b w:val="0"/>
                <w:color w:val="000000"/>
                <w:sz w:val="18"/>
              </w:rPr>
              <w:t>Management view of support demand, risk and resource needs.</w:t>
            </w:r>
          </w:p>
        </w:tc>
        <w:tc>
          <w:tcPr>
            <w:tcW w:type="dxa" w:w="3744"/>
            <w:vAlign w:val="center"/>
          </w:tcPr>
          <w:p>
            <w:r/>
            <w:r>
              <w:rPr>
                <w:b w:val="0"/>
                <w:color w:val="000000"/>
                <w:sz w:val="18"/>
              </w:rPr>
              <w:t>Trends, KPI cards and exportable summaries support reporting.</w:t>
            </w:r>
          </w:p>
        </w:tc>
      </w:tr>
      <w:tr>
        <w:tc>
          <w:tcPr>
            <w:tcW w:type="dxa" w:w="2160"/>
            <w:vAlign w:val="center"/>
          </w:tcPr>
          <w:p>
            <w:r/>
            <w:r>
              <w:rPr>
                <w:b w:val="0"/>
                <w:color w:val="000000"/>
                <w:sz w:val="18"/>
              </w:rPr>
              <w:t>IT / support administrators</w:t>
            </w:r>
          </w:p>
        </w:tc>
        <w:tc>
          <w:tcPr>
            <w:tcW w:type="dxa" w:w="3744"/>
            <w:vAlign w:val="center"/>
          </w:tcPr>
          <w:p>
            <w:r/>
            <w:r>
              <w:rPr>
                <w:b w:val="0"/>
                <w:color w:val="000000"/>
                <w:sz w:val="18"/>
              </w:rPr>
              <w:t>A maintainable prototype with clear setup instructions.</w:t>
            </w:r>
          </w:p>
        </w:tc>
        <w:tc>
          <w:tcPr>
            <w:tcW w:type="dxa" w:w="3744"/>
            <w:vAlign w:val="center"/>
          </w:tcPr>
          <w:p>
            <w:r/>
            <w:r>
              <w:rPr>
                <w:b w:val="0"/>
                <w:color w:val="000000"/>
                <w:sz w:val="18"/>
              </w:rPr>
              <w:t>React frontend, ASP.NET Core API, README, environment settings and build evidence.</w:t>
            </w:r>
          </w:p>
        </w:tc>
      </w:tr>
    </w:tbl>
    <w:p/>
    <w:p>
      <w:pPr>
        <w:pStyle w:val="Heading2"/>
        <w:spacing w:before="200" w:after="120"/>
      </w:pPr>
      <w:r>
        <w:t>User Personas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334155"/>
            <w:vAlign w:val="center"/>
          </w:tcPr>
          <w:p>
            <w:r/>
            <w:r>
              <w:rPr>
                <w:b/>
                <w:color w:val="FFFFFF"/>
                <w:sz w:val="18"/>
              </w:rPr>
              <w:t>Persona</w:t>
            </w:r>
          </w:p>
        </w:tc>
        <w:tc>
          <w:tcPr>
            <w:tcW w:type="dxa" w:w="3744"/>
            <w:shd w:fill="334155"/>
            <w:vAlign w:val="center"/>
          </w:tcPr>
          <w:p>
            <w:r/>
            <w:r>
              <w:rPr>
                <w:b/>
                <w:color w:val="FFFFFF"/>
                <w:sz w:val="18"/>
              </w:rPr>
              <w:t>Primary goal</w:t>
            </w:r>
          </w:p>
        </w:tc>
        <w:tc>
          <w:tcPr>
            <w:tcW w:type="dxa" w:w="3600"/>
            <w:shd w:fill="334155"/>
            <w:vAlign w:val="center"/>
          </w:tcPr>
          <w:p>
            <w:r/>
            <w:r>
              <w:rPr>
                <w:b/>
                <w:color w:val="FFFFFF"/>
                <w:sz w:val="18"/>
              </w:rPr>
              <w:t>Success measure</w:t>
            </w:r>
          </w:p>
        </w:tc>
      </w:tr>
      <w:tr>
        <w:tc>
          <w:tcPr>
            <w:tcW w:type="dxa" w:w="2304"/>
            <w:vAlign w:val="center"/>
          </w:tcPr>
          <w:p>
            <w:r/>
            <w:r>
              <w:rPr>
                <w:b w:val="0"/>
                <w:color w:val="000000"/>
                <w:sz w:val="18"/>
              </w:rPr>
              <w:t>Student Support Officer</w:t>
            </w:r>
          </w:p>
        </w:tc>
        <w:tc>
          <w:tcPr>
            <w:tcW w:type="dxa" w:w="3744"/>
            <w:vAlign w:val="center"/>
          </w:tcPr>
          <w:p>
            <w:r/>
            <w:r>
              <w:rPr>
                <w:b w:val="0"/>
                <w:color w:val="000000"/>
                <w:sz w:val="18"/>
              </w:rPr>
              <w:t>Find learners needing urgent support and understand why.</w:t>
            </w:r>
          </w:p>
        </w:tc>
        <w:tc>
          <w:tcPr>
            <w:tcW w:type="dxa" w:w="3600"/>
            <w:vAlign w:val="center"/>
          </w:tcPr>
          <w:p>
            <w:r/>
            <w:r>
              <w:rPr>
                <w:b w:val="0"/>
                <w:color w:val="000000"/>
                <w:sz w:val="18"/>
              </w:rPr>
              <w:t>Can filter risk review table and see reason codes.</w:t>
            </w:r>
          </w:p>
        </w:tc>
      </w:tr>
      <w:tr>
        <w:tc>
          <w:tcPr>
            <w:tcW w:type="dxa" w:w="2304"/>
            <w:vAlign w:val="center"/>
          </w:tcPr>
          <w:p>
            <w:r/>
            <w:r>
              <w:rPr>
                <w:b w:val="0"/>
                <w:color w:val="000000"/>
                <w:sz w:val="18"/>
              </w:rPr>
              <w:t>Programme Manager</w:t>
            </w:r>
          </w:p>
        </w:tc>
        <w:tc>
          <w:tcPr>
            <w:tcW w:type="dxa" w:w="3744"/>
            <w:vAlign w:val="center"/>
          </w:tcPr>
          <w:p>
            <w:r/>
            <w:r>
              <w:rPr>
                <w:b w:val="0"/>
                <w:color w:val="000000"/>
                <w:sz w:val="18"/>
              </w:rPr>
              <w:t>Plan support resources using reliable evidence.</w:t>
            </w:r>
          </w:p>
        </w:tc>
        <w:tc>
          <w:tcPr>
            <w:tcW w:type="dxa" w:w="3600"/>
            <w:vAlign w:val="center"/>
          </w:tcPr>
          <w:p>
            <w:r/>
            <w:r>
              <w:rPr>
                <w:b w:val="0"/>
                <w:color w:val="000000"/>
                <w:sz w:val="18"/>
              </w:rPr>
              <w:t>Can view top needs, device gaps and internet risk.</w:t>
            </w:r>
          </w:p>
        </w:tc>
      </w:tr>
      <w:tr>
        <w:tc>
          <w:tcPr>
            <w:tcW w:type="dxa" w:w="2304"/>
            <w:vAlign w:val="center"/>
          </w:tcPr>
          <w:p>
            <w:r/>
            <w:r>
              <w:rPr>
                <w:b w:val="0"/>
                <w:color w:val="000000"/>
                <w:sz w:val="18"/>
              </w:rPr>
              <w:t>Facilitator</w:t>
            </w:r>
          </w:p>
        </w:tc>
        <w:tc>
          <w:tcPr>
            <w:tcW w:type="dxa" w:w="3744"/>
            <w:vAlign w:val="center"/>
          </w:tcPr>
          <w:p>
            <w:r/>
            <w:r>
              <w:rPr>
                <w:b w:val="0"/>
                <w:color w:val="000000"/>
                <w:sz w:val="18"/>
              </w:rPr>
              <w:t>Adjust teaching support based on learner readiness.</w:t>
            </w:r>
          </w:p>
        </w:tc>
        <w:tc>
          <w:tcPr>
            <w:tcW w:type="dxa" w:w="3600"/>
            <w:vAlign w:val="center"/>
          </w:tcPr>
          <w:p>
            <w:r/>
            <w:r>
              <w:rPr>
                <w:b w:val="0"/>
                <w:color w:val="000000"/>
                <w:sz w:val="18"/>
              </w:rPr>
              <w:t>Can see confidence trends and academic support needs.</w:t>
            </w:r>
          </w:p>
        </w:tc>
      </w:tr>
      <w:tr>
        <w:tc>
          <w:tcPr>
            <w:tcW w:type="dxa" w:w="2304"/>
            <w:vAlign w:val="center"/>
          </w:tcPr>
          <w:p>
            <w:r/>
            <w:r>
              <w:rPr>
                <w:b w:val="0"/>
                <w:color w:val="000000"/>
                <w:sz w:val="18"/>
              </w:rPr>
              <w:t>Assessor / reviewer</w:t>
            </w:r>
          </w:p>
        </w:tc>
        <w:tc>
          <w:tcPr>
            <w:tcW w:type="dxa" w:w="3744"/>
            <w:vAlign w:val="center"/>
          </w:tcPr>
          <w:p>
            <w:r/>
            <w:r>
              <w:rPr>
                <w:b w:val="0"/>
                <w:color w:val="000000"/>
                <w:sz w:val="18"/>
              </w:rPr>
              <w:t>Verify that the assignment evidence is complete.</w:t>
            </w:r>
          </w:p>
        </w:tc>
        <w:tc>
          <w:tcPr>
            <w:tcW w:type="dxa" w:w="3600"/>
            <w:vAlign w:val="center"/>
          </w:tcPr>
          <w:p>
            <w:r/>
            <w:r>
              <w:rPr>
                <w:b w:val="0"/>
                <w:color w:val="000000"/>
                <w:sz w:val="18"/>
              </w:rPr>
              <w:t>Can trace every SFIA requirement to evidence files.</w:t>
            </w:r>
          </w:p>
        </w:tc>
      </w:tr>
    </w:tbl>
    <w:p/>
    <w:p>
      <w:pPr>
        <w:pStyle w:val="Heading1"/>
        <w:spacing w:before="200" w:after="120"/>
      </w:pPr>
      <w:r>
        <w:t>4. Current Process and Improved Process</w:t>
      </w:r>
    </w:p>
    <w:p>
      <w:pPr>
        <w:spacing w:after="120" w:line="259" w:lineRule="auto"/>
      </w:pPr>
      <w:r>
        <w:t>The current process is mostly manual and reactive. The improved process introduces structured data validation, dashboard analysis, risk flagging and staff-reviewed recommendations. This creates a more accountable support process while keeping human judgement in every learner decision.</w:t>
      </w:r>
    </w:p>
    <w:p>
      <w:pPr>
        <w:jc w:val="center"/>
      </w:pPr>
      <w:r>
        <w:drawing>
          <wp:inline xmlns:a="http://schemas.openxmlformats.org/drawingml/2006/main" xmlns:pic="http://schemas.openxmlformats.org/drawingml/2006/picture">
            <wp:extent cx="6126480" cy="4020502"/>
            <wp:docPr id="3" name="Picture 3"/>
            <wp:cNvGraphicFramePr>
              <a:graphicFrameLocks noChangeAspect="1"/>
            </wp:cNvGraphicFramePr>
            <a:graphic>
              <a:graphicData uri="http://schemas.openxmlformats.org/drawingml/2006/picture">
                <pic:pic>
                  <pic:nvPicPr>
                    <pic:cNvPr id="0" name="as_is_process.png"/>
                    <pic:cNvPicPr/>
                  </pic:nvPicPr>
                  <pic:blipFill>
                    <a:blip r:embed="rId12"/>
                    <a:stretch>
                      <a:fillRect/>
                    </a:stretch>
                  </pic:blipFill>
                  <pic:spPr>
                    <a:xfrm>
                      <a:off x="0" y="0"/>
                      <a:ext cx="6126480" cy="4020502"/>
                    </a:xfrm>
                    <a:prstGeom prst="rect"/>
                  </pic:spPr>
                </pic:pic>
              </a:graphicData>
            </a:graphic>
          </wp:inline>
        </w:drawing>
      </w:r>
    </w:p>
    <w:p>
      <w:pPr>
        <w:pStyle w:val="CaptionSmall"/>
        <w:jc w:val="center"/>
      </w:pPr>
      <w:r>
        <w:t>Figure 2: Current as-is process, showing manual review and weak feedback loops.</w:t>
      </w:r>
    </w:p>
    <w:p>
      <w:pPr>
        <w:jc w:val="center"/>
      </w:pPr>
      <w:r>
        <w:drawing>
          <wp:inline xmlns:a="http://schemas.openxmlformats.org/drawingml/2006/main" xmlns:pic="http://schemas.openxmlformats.org/drawingml/2006/picture">
            <wp:extent cx="6126480" cy="4020502"/>
            <wp:docPr id="4" name="Picture 4"/>
            <wp:cNvGraphicFramePr>
              <a:graphicFrameLocks noChangeAspect="1"/>
            </wp:cNvGraphicFramePr>
            <a:graphic>
              <a:graphicData uri="http://schemas.openxmlformats.org/drawingml/2006/picture">
                <pic:pic>
                  <pic:nvPicPr>
                    <pic:cNvPr id="0" name="to_be_process.png"/>
                    <pic:cNvPicPr/>
                  </pic:nvPicPr>
                  <pic:blipFill>
                    <a:blip r:embed="rId13"/>
                    <a:stretch>
                      <a:fillRect/>
                    </a:stretch>
                  </pic:blipFill>
                  <pic:spPr>
                    <a:xfrm>
                      <a:off x="0" y="0"/>
                      <a:ext cx="6126480" cy="4020502"/>
                    </a:xfrm>
                    <a:prstGeom prst="rect"/>
                  </pic:spPr>
                </pic:pic>
              </a:graphicData>
            </a:graphic>
          </wp:inline>
        </w:drawing>
      </w:r>
    </w:p>
    <w:p>
      <w:pPr>
        <w:pStyle w:val="CaptionSmall"/>
        <w:jc w:val="center"/>
      </w:pPr>
      <w:r>
        <w:t>Figure 3: Improved to-be process, showing validation, analysis, risk review and follow-up.</w:t>
      </w:r>
    </w:p>
    <w:p>
      <w:pPr>
        <w:pStyle w:val="Heading2"/>
        <w:spacing w:before="200" w:after="120"/>
      </w:pPr>
      <w:r>
        <w:t>Process Improvement Opportunities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0F766E"/>
            <w:vAlign w:val="center"/>
          </w:tcPr>
          <w:p>
            <w:r/>
            <w:r>
              <w:rPr>
                <w:b/>
                <w:color w:val="FFFFFF"/>
                <w:sz w:val="18"/>
              </w:rPr>
              <w:t>Improvement opportunity</w:t>
            </w:r>
          </w:p>
        </w:tc>
        <w:tc>
          <w:tcPr>
            <w:tcW w:type="dxa" w:w="3600"/>
            <w:shd w:fill="0F766E"/>
            <w:vAlign w:val="center"/>
          </w:tcPr>
          <w:p>
            <w:r/>
            <w:r>
              <w:rPr>
                <w:b/>
                <w:color w:val="FFFFFF"/>
                <w:sz w:val="18"/>
              </w:rPr>
              <w:t>Operational value</w:t>
            </w:r>
          </w:p>
        </w:tc>
        <w:tc>
          <w:tcPr>
            <w:tcW w:type="dxa" w:w="3456"/>
            <w:shd w:fill="0F766E"/>
            <w:vAlign w:val="center"/>
          </w:tcPr>
          <w:p>
            <w:r/>
            <w:r>
              <w:rPr>
                <w:b/>
                <w:color w:val="FFFFFF"/>
                <w:sz w:val="18"/>
              </w:rPr>
              <w:t>Evidence in prototype</w:t>
            </w:r>
          </w:p>
        </w:tc>
      </w:tr>
      <w:tr>
        <w:tc>
          <w:tcPr>
            <w:tcW w:type="dxa" w:w="2592"/>
            <w:vAlign w:val="center"/>
          </w:tcPr>
          <w:p>
            <w:r/>
            <w:r>
              <w:rPr>
                <w:b w:val="0"/>
                <w:color w:val="000000"/>
                <w:sz w:val="18"/>
              </w:rPr>
              <w:t>Automated validation</w:t>
            </w:r>
          </w:p>
        </w:tc>
        <w:tc>
          <w:tcPr>
            <w:tcW w:type="dxa" w:w="3600"/>
            <w:vAlign w:val="center"/>
          </w:tcPr>
          <w:p>
            <w:r/>
            <w:r>
              <w:rPr>
                <w:b w:val="0"/>
                <w:color w:val="000000"/>
                <w:sz w:val="18"/>
              </w:rPr>
              <w:t>Improves data quality before analysis begins.</w:t>
            </w:r>
          </w:p>
        </w:tc>
        <w:tc>
          <w:tcPr>
            <w:tcW w:type="dxa" w:w="3456"/>
            <w:vAlign w:val="center"/>
          </w:tcPr>
          <w:p>
            <w:r/>
            <w:r>
              <w:rPr>
                <w:b w:val="0"/>
                <w:color w:val="000000"/>
                <w:sz w:val="18"/>
              </w:rPr>
              <w:t>CSV upload and manual form validation.</w:t>
            </w:r>
          </w:p>
        </w:tc>
      </w:tr>
      <w:tr>
        <w:tc>
          <w:tcPr>
            <w:tcW w:type="dxa" w:w="2592"/>
            <w:vAlign w:val="center"/>
          </w:tcPr>
          <w:p>
            <w:r/>
            <w:r>
              <w:rPr>
                <w:b w:val="0"/>
                <w:color w:val="000000"/>
                <w:sz w:val="18"/>
              </w:rPr>
              <w:t>Early risk visibility</w:t>
            </w:r>
          </w:p>
        </w:tc>
        <w:tc>
          <w:tcPr>
            <w:tcW w:type="dxa" w:w="3600"/>
            <w:vAlign w:val="center"/>
          </w:tcPr>
          <w:p>
            <w:r/>
            <w:r>
              <w:rPr>
                <w:b w:val="0"/>
                <w:color w:val="000000"/>
                <w:sz w:val="18"/>
              </w:rPr>
              <w:t>Supports proactive intervention rather than late response.</w:t>
            </w:r>
          </w:p>
        </w:tc>
        <w:tc>
          <w:tcPr>
            <w:tcW w:type="dxa" w:w="3456"/>
            <w:vAlign w:val="center"/>
          </w:tcPr>
          <w:p>
            <w:r/>
            <w:r>
              <w:rPr>
                <w:b w:val="0"/>
                <w:color w:val="000000"/>
                <w:sz w:val="18"/>
              </w:rPr>
              <w:t>Risk score, priority and reason codes.</w:t>
            </w:r>
          </w:p>
        </w:tc>
      </w:tr>
      <w:tr>
        <w:tc>
          <w:tcPr>
            <w:tcW w:type="dxa" w:w="2592"/>
            <w:vAlign w:val="center"/>
          </w:tcPr>
          <w:p>
            <w:r/>
            <w:r>
              <w:rPr>
                <w:b w:val="0"/>
                <w:color w:val="000000"/>
                <w:sz w:val="18"/>
              </w:rPr>
              <w:t>Clear management reporting</w:t>
            </w:r>
          </w:p>
        </w:tc>
        <w:tc>
          <w:tcPr>
            <w:tcW w:type="dxa" w:w="3600"/>
            <w:vAlign w:val="center"/>
          </w:tcPr>
          <w:p>
            <w:r/>
            <w:r>
              <w:rPr>
                <w:b w:val="0"/>
                <w:color w:val="000000"/>
                <w:sz w:val="18"/>
              </w:rPr>
              <w:t>Improves decision-making and resource allocation.</w:t>
            </w:r>
          </w:p>
        </w:tc>
        <w:tc>
          <w:tcPr>
            <w:tcW w:type="dxa" w:w="3456"/>
            <w:vAlign w:val="center"/>
          </w:tcPr>
          <w:p>
            <w:r/>
            <w:r>
              <w:rPr>
                <w:b w:val="0"/>
                <w:color w:val="000000"/>
                <w:sz w:val="18"/>
              </w:rPr>
              <w:t>KPI dashboard and five visualisations.</w:t>
            </w:r>
          </w:p>
        </w:tc>
      </w:tr>
      <w:tr>
        <w:tc>
          <w:tcPr>
            <w:tcW w:type="dxa" w:w="2592"/>
            <w:vAlign w:val="center"/>
          </w:tcPr>
          <w:p>
            <w:r/>
            <w:r>
              <w:rPr>
                <w:b w:val="0"/>
                <w:color w:val="000000"/>
                <w:sz w:val="18"/>
              </w:rPr>
              <w:t>Responsible-use workflow</w:t>
            </w:r>
          </w:p>
        </w:tc>
        <w:tc>
          <w:tcPr>
            <w:tcW w:type="dxa" w:w="3600"/>
            <w:vAlign w:val="center"/>
          </w:tcPr>
          <w:p>
            <w:r/>
            <w:r>
              <w:rPr>
                <w:b w:val="0"/>
                <w:color w:val="000000"/>
                <w:sz w:val="18"/>
              </w:rPr>
              <w:t>Prevents automatic labelling or unfair treatment.</w:t>
            </w:r>
          </w:p>
        </w:tc>
        <w:tc>
          <w:tcPr>
            <w:tcW w:type="dxa" w:w="3456"/>
            <w:vAlign w:val="center"/>
          </w:tcPr>
          <w:p>
            <w:r/>
            <w:r>
              <w:rPr>
                <w:b w:val="0"/>
                <w:color w:val="000000"/>
                <w:sz w:val="18"/>
              </w:rPr>
              <w:t>Ethics declaration and privacy notice.</w:t>
            </w:r>
          </w:p>
        </w:tc>
      </w:tr>
      <w:tr>
        <w:tc>
          <w:tcPr>
            <w:tcW w:type="dxa" w:w="2592"/>
            <w:vAlign w:val="center"/>
          </w:tcPr>
          <w:p>
            <w:r/>
            <w:r>
              <w:rPr>
                <w:b w:val="0"/>
                <w:color w:val="000000"/>
                <w:sz w:val="18"/>
              </w:rPr>
              <w:t>Feedback loop</w:t>
            </w:r>
          </w:p>
        </w:tc>
        <w:tc>
          <w:tcPr>
            <w:tcW w:type="dxa" w:w="3600"/>
            <w:vAlign w:val="center"/>
          </w:tcPr>
          <w:p>
            <w:r/>
            <w:r>
              <w:rPr>
                <w:b w:val="0"/>
                <w:color w:val="000000"/>
                <w:sz w:val="18"/>
              </w:rPr>
              <w:t>Encourages staff to review, act and monitor outcomes.</w:t>
            </w:r>
          </w:p>
        </w:tc>
        <w:tc>
          <w:tcPr>
            <w:tcW w:type="dxa" w:w="3456"/>
            <w:vAlign w:val="center"/>
          </w:tcPr>
          <w:p>
            <w:r/>
            <w:r>
              <w:rPr>
                <w:b w:val="0"/>
                <w:color w:val="000000"/>
                <w:sz w:val="18"/>
              </w:rPr>
              <w:t>To-be process and recommendation cards.</w:t>
            </w:r>
          </w:p>
        </w:tc>
      </w:tr>
    </w:tbl>
    <w:p/>
    <w:p>
      <w:pPr>
        <w:pStyle w:val="Heading1"/>
        <w:spacing w:before="200" w:after="120"/>
      </w:pPr>
      <w:r>
        <w:t>5. Business and Value Model</w:t>
      </w:r>
    </w:p>
    <w:p>
      <w:pPr>
        <w:spacing w:after="120" w:line="259" w:lineRule="auto"/>
      </w:pPr>
      <w:r>
        <w:t>The value model shows how learner survey data becomes a practical programme management asset. The tool does not only display charts; it supports resource planning, prioritised staff review, targeted intervention and continuous improvement.</w:t>
      </w:r>
    </w:p>
    <w:p>
      <w:pPr>
        <w:jc w:val="center"/>
      </w:pPr>
      <w:r>
        <w:drawing>
          <wp:inline xmlns:a="http://schemas.openxmlformats.org/drawingml/2006/main" xmlns:pic="http://schemas.openxmlformats.org/drawingml/2006/picture">
            <wp:extent cx="6126480" cy="3254692"/>
            <wp:docPr id="5" name="Picture 5"/>
            <wp:cNvGraphicFramePr>
              <a:graphicFrameLocks noChangeAspect="1"/>
            </wp:cNvGraphicFramePr>
            <a:graphic>
              <a:graphicData uri="http://schemas.openxmlformats.org/drawingml/2006/picture">
                <pic:pic>
                  <pic:nvPicPr>
                    <pic:cNvPr id="0" name="value_model.png"/>
                    <pic:cNvPicPr/>
                  </pic:nvPicPr>
                  <pic:blipFill>
                    <a:blip r:embed="rId14"/>
                    <a:stretch>
                      <a:fillRect/>
                    </a:stretch>
                  </pic:blipFill>
                  <pic:spPr>
                    <a:xfrm>
                      <a:off x="0" y="0"/>
                      <a:ext cx="6126480" cy="3254692"/>
                    </a:xfrm>
                    <a:prstGeom prst="rect"/>
                  </pic:spPr>
                </pic:pic>
              </a:graphicData>
            </a:graphic>
          </wp:inline>
        </w:drawing>
      </w:r>
    </w:p>
    <w:p>
      <w:pPr>
        <w:pStyle w:val="CaptionSmall"/>
        <w:jc w:val="center"/>
      </w:pPr>
      <w:r>
        <w:t>Figure 4: Value model linking data inputs to programme outcomes.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E3A8A"/>
            <w:vAlign w:val="center"/>
          </w:tcPr>
          <w:p>
            <w:r/>
            <w:r>
              <w:rPr>
                <w:b/>
                <w:color w:val="FFFFFF"/>
                <w:sz w:val="18"/>
              </w:rPr>
              <w:t>Value area</w:t>
            </w:r>
          </w:p>
        </w:tc>
        <w:tc>
          <w:tcPr>
            <w:tcW w:type="dxa" w:w="4320"/>
            <w:shd w:fill="1E3A8A"/>
            <w:vAlign w:val="center"/>
          </w:tcPr>
          <w:p>
            <w:r/>
            <w:r>
              <w:rPr>
                <w:b/>
                <w:color w:val="FFFFFF"/>
                <w:sz w:val="18"/>
              </w:rPr>
              <w:t>What the tool improves</w:t>
            </w:r>
          </w:p>
        </w:tc>
        <w:tc>
          <w:tcPr>
            <w:tcW w:type="dxa" w:w="3312"/>
            <w:shd w:fill="1E3A8A"/>
            <w:vAlign w:val="center"/>
          </w:tcPr>
          <w:p>
            <w:r/>
            <w:r>
              <w:rPr>
                <w:b/>
                <w:color w:val="FFFFFF"/>
                <w:sz w:val="18"/>
              </w:rPr>
              <w:t>Possible indicator</w:t>
            </w:r>
          </w:p>
        </w:tc>
      </w:tr>
      <w:tr>
        <w:tc>
          <w:tcPr>
            <w:tcW w:type="dxa" w:w="2160"/>
            <w:vAlign w:val="center"/>
          </w:tcPr>
          <w:p>
            <w:r/>
            <w:r>
              <w:rPr>
                <w:b w:val="0"/>
                <w:color w:val="000000"/>
                <w:sz w:val="18"/>
              </w:rPr>
              <w:t>Efficiency</w:t>
            </w:r>
          </w:p>
        </w:tc>
        <w:tc>
          <w:tcPr>
            <w:tcW w:type="dxa" w:w="4320"/>
            <w:vAlign w:val="center"/>
          </w:tcPr>
          <w:p>
            <w:r/>
            <w:r>
              <w:rPr>
                <w:b w:val="0"/>
                <w:color w:val="000000"/>
                <w:sz w:val="18"/>
              </w:rPr>
              <w:t>Reduces manual spreadsheet scanning.</w:t>
            </w:r>
          </w:p>
        </w:tc>
        <w:tc>
          <w:tcPr>
            <w:tcW w:type="dxa" w:w="3312"/>
            <w:vAlign w:val="center"/>
          </w:tcPr>
          <w:p>
            <w:r/>
            <w:r>
              <w:rPr>
                <w:b w:val="0"/>
                <w:color w:val="000000"/>
                <w:sz w:val="18"/>
              </w:rPr>
              <w:t>Time taken to produce support summary.</w:t>
            </w:r>
          </w:p>
        </w:tc>
      </w:tr>
      <w:tr>
        <w:tc>
          <w:tcPr>
            <w:tcW w:type="dxa" w:w="2160"/>
            <w:vAlign w:val="center"/>
          </w:tcPr>
          <w:p>
            <w:r/>
            <w:r>
              <w:rPr>
                <w:b w:val="0"/>
                <w:color w:val="000000"/>
                <w:sz w:val="18"/>
              </w:rPr>
              <w:t>Quality</w:t>
            </w:r>
          </w:p>
        </w:tc>
        <w:tc>
          <w:tcPr>
            <w:tcW w:type="dxa" w:w="4320"/>
            <w:vAlign w:val="center"/>
          </w:tcPr>
          <w:p>
            <w:r/>
            <w:r>
              <w:rPr>
                <w:b w:val="0"/>
                <w:color w:val="000000"/>
                <w:sz w:val="18"/>
              </w:rPr>
              <w:t>Standardises validation and risk interpretation.</w:t>
            </w:r>
          </w:p>
        </w:tc>
        <w:tc>
          <w:tcPr>
            <w:tcW w:type="dxa" w:w="3312"/>
            <w:vAlign w:val="center"/>
          </w:tcPr>
          <w:p>
            <w:r/>
            <w:r>
              <w:rPr>
                <w:b w:val="0"/>
                <w:color w:val="000000"/>
                <w:sz w:val="18"/>
              </w:rPr>
              <w:t>Number of invalid records detected before reporting.</w:t>
            </w:r>
          </w:p>
        </w:tc>
      </w:tr>
      <w:tr>
        <w:tc>
          <w:tcPr>
            <w:tcW w:type="dxa" w:w="2160"/>
            <w:vAlign w:val="center"/>
          </w:tcPr>
          <w:p>
            <w:r/>
            <w:r>
              <w:rPr>
                <w:b w:val="0"/>
                <w:color w:val="000000"/>
                <w:sz w:val="18"/>
              </w:rPr>
              <w:t>Responsiveness</w:t>
            </w:r>
          </w:p>
        </w:tc>
        <w:tc>
          <w:tcPr>
            <w:tcW w:type="dxa" w:w="4320"/>
            <w:vAlign w:val="center"/>
          </w:tcPr>
          <w:p>
            <w:r/>
            <w:r>
              <w:rPr>
                <w:b w:val="0"/>
                <w:color w:val="000000"/>
                <w:sz w:val="18"/>
              </w:rPr>
              <w:t>Highlights high and critical cases early.</w:t>
            </w:r>
          </w:p>
        </w:tc>
        <w:tc>
          <w:tcPr>
            <w:tcW w:type="dxa" w:w="3312"/>
            <w:vAlign w:val="center"/>
          </w:tcPr>
          <w:p>
            <w:r/>
            <w:r>
              <w:rPr>
                <w:b w:val="0"/>
                <w:color w:val="000000"/>
                <w:sz w:val="18"/>
              </w:rPr>
              <w:t>Number of flagged learners reviewed weekly.</w:t>
            </w:r>
          </w:p>
        </w:tc>
      </w:tr>
      <w:tr>
        <w:tc>
          <w:tcPr>
            <w:tcW w:type="dxa" w:w="2160"/>
            <w:vAlign w:val="center"/>
          </w:tcPr>
          <w:p>
            <w:r/>
            <w:r>
              <w:rPr>
                <w:b w:val="0"/>
                <w:color w:val="000000"/>
                <w:sz w:val="18"/>
              </w:rPr>
              <w:t>Resource planning</w:t>
            </w:r>
          </w:p>
        </w:tc>
        <w:tc>
          <w:tcPr>
            <w:tcW w:type="dxa" w:w="4320"/>
            <w:vAlign w:val="center"/>
          </w:tcPr>
          <w:p>
            <w:r/>
            <w:r>
              <w:rPr>
                <w:b w:val="0"/>
                <w:color w:val="000000"/>
                <w:sz w:val="18"/>
              </w:rPr>
              <w:t>Shows support needs by category and access barrier.</w:t>
            </w:r>
          </w:p>
        </w:tc>
        <w:tc>
          <w:tcPr>
            <w:tcW w:type="dxa" w:w="3312"/>
            <w:vAlign w:val="center"/>
          </w:tcPr>
          <w:p>
            <w:r/>
            <w:r>
              <w:rPr>
                <w:b w:val="0"/>
                <w:color w:val="000000"/>
                <w:sz w:val="18"/>
              </w:rPr>
              <w:t>Allocation of data, device, transport and mentoring support.</w:t>
            </w:r>
          </w:p>
        </w:tc>
      </w:tr>
      <w:tr>
        <w:tc>
          <w:tcPr>
            <w:tcW w:type="dxa" w:w="2160"/>
            <w:vAlign w:val="center"/>
          </w:tcPr>
          <w:p>
            <w:r/>
            <w:r>
              <w:rPr>
                <w:b w:val="0"/>
                <w:color w:val="000000"/>
                <w:sz w:val="18"/>
              </w:rPr>
              <w:t>Accountability</w:t>
            </w:r>
          </w:p>
        </w:tc>
        <w:tc>
          <w:tcPr>
            <w:tcW w:type="dxa" w:w="4320"/>
            <w:vAlign w:val="center"/>
          </w:tcPr>
          <w:p>
            <w:r/>
            <w:r>
              <w:rPr>
                <w:b w:val="0"/>
                <w:color w:val="000000"/>
                <w:sz w:val="18"/>
              </w:rPr>
              <w:t>Provides evidence for decisions and follow-up.</w:t>
            </w:r>
          </w:p>
        </w:tc>
        <w:tc>
          <w:tcPr>
            <w:tcW w:type="dxa" w:w="3312"/>
            <w:vAlign w:val="center"/>
          </w:tcPr>
          <w:p>
            <w:r/>
            <w:r>
              <w:rPr>
                <w:b w:val="0"/>
                <w:color w:val="000000"/>
                <w:sz w:val="18"/>
              </w:rPr>
              <w:t>Review notes and exported summaries.</w:t>
            </w:r>
          </w:p>
        </w:tc>
      </w:tr>
    </w:tbl>
    <w:p/>
    <w:p>
      <w:pPr>
        <w:pStyle w:val="Heading1"/>
        <w:spacing w:before="200" w:after="120"/>
      </w:pPr>
      <w:r>
        <w:t>6. Data Description and Data Preparation</w:t>
      </w:r>
    </w:p>
    <w:p>
      <w:pPr>
        <w:spacing w:after="120" w:line="259" w:lineRule="auto"/>
      </w:pPr>
      <w:r>
        <w:t>The dataset contains 30 synthetic learner records. Synthetic data was used to demonstrate the tool safely without exposing real learner personal information. Each learner record includes access conditions, confidence scores, employment status, support need, attendance risk and a short notes field.</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334155"/>
            <w:vAlign w:val="center"/>
          </w:tcPr>
          <w:p>
            <w:r/>
            <w:r>
              <w:rPr>
                <w:b/>
                <w:color w:val="FFFFFF"/>
                <w:sz w:val="18"/>
              </w:rPr>
              <w:t>Field</w:t>
            </w:r>
          </w:p>
        </w:tc>
        <w:tc>
          <w:tcPr>
            <w:tcW w:type="dxa" w:w="4896"/>
            <w:shd w:fill="334155"/>
            <w:vAlign w:val="center"/>
          </w:tcPr>
          <w:p>
            <w:r/>
            <w:r>
              <w:rPr>
                <w:b/>
                <w:color w:val="FFFFFF"/>
                <w:sz w:val="18"/>
              </w:rPr>
              <w:t>Description</w:t>
            </w:r>
          </w:p>
        </w:tc>
        <w:tc>
          <w:tcPr>
            <w:tcW w:type="dxa" w:w="2592"/>
            <w:shd w:fill="334155"/>
            <w:vAlign w:val="center"/>
          </w:tcPr>
          <w:p>
            <w:r/>
            <w:r>
              <w:rPr>
                <w:b/>
                <w:color w:val="FFFFFF"/>
                <w:sz w:val="18"/>
              </w:rPr>
              <w:t>Example</w:t>
            </w:r>
          </w:p>
        </w:tc>
      </w:tr>
      <w:tr>
        <w:tc>
          <w:tcPr>
            <w:tcW w:type="dxa" w:w="2304"/>
            <w:vAlign w:val="center"/>
          </w:tcPr>
          <w:p>
            <w:r/>
            <w:r>
              <w:rPr>
                <w:b w:val="0"/>
                <w:color w:val="000000"/>
                <w:sz w:val="18"/>
              </w:rPr>
              <w:t>LearnerID</w:t>
            </w:r>
          </w:p>
        </w:tc>
        <w:tc>
          <w:tcPr>
            <w:tcW w:type="dxa" w:w="4896"/>
            <w:vAlign w:val="center"/>
          </w:tcPr>
          <w:p>
            <w:r/>
            <w:r>
              <w:rPr>
                <w:b w:val="0"/>
                <w:color w:val="000000"/>
                <w:sz w:val="18"/>
              </w:rPr>
              <w:t>Unique learner reference.</w:t>
            </w:r>
          </w:p>
        </w:tc>
        <w:tc>
          <w:tcPr>
            <w:tcW w:type="dxa" w:w="2592"/>
            <w:vAlign w:val="center"/>
          </w:tcPr>
          <w:p>
            <w:r/>
            <w:r>
              <w:rPr>
                <w:b w:val="0"/>
                <w:color w:val="000000"/>
                <w:sz w:val="18"/>
              </w:rPr>
              <w:t>L001</w:t>
            </w:r>
          </w:p>
        </w:tc>
      </w:tr>
      <w:tr>
        <w:tc>
          <w:tcPr>
            <w:tcW w:type="dxa" w:w="2304"/>
            <w:vAlign w:val="center"/>
          </w:tcPr>
          <w:p>
            <w:r/>
            <w:r>
              <w:rPr>
                <w:b w:val="0"/>
                <w:color w:val="000000"/>
                <w:sz w:val="18"/>
              </w:rPr>
              <w:t>AgeBand</w:t>
            </w:r>
          </w:p>
        </w:tc>
        <w:tc>
          <w:tcPr>
            <w:tcW w:type="dxa" w:w="4896"/>
            <w:vAlign w:val="center"/>
          </w:tcPr>
          <w:p>
            <w:r/>
            <w:r>
              <w:rPr>
                <w:b w:val="0"/>
                <w:color w:val="000000"/>
                <w:sz w:val="18"/>
              </w:rPr>
              <w:t>Age group category.</w:t>
            </w:r>
          </w:p>
        </w:tc>
        <w:tc>
          <w:tcPr>
            <w:tcW w:type="dxa" w:w="2592"/>
            <w:vAlign w:val="center"/>
          </w:tcPr>
          <w:p>
            <w:r/>
            <w:r>
              <w:rPr>
                <w:b w:val="0"/>
                <w:color w:val="000000"/>
                <w:sz w:val="18"/>
              </w:rPr>
              <w:t>18-24</w:t>
            </w:r>
          </w:p>
        </w:tc>
      </w:tr>
      <w:tr>
        <w:tc>
          <w:tcPr>
            <w:tcW w:type="dxa" w:w="2304"/>
            <w:vAlign w:val="center"/>
          </w:tcPr>
          <w:p>
            <w:r/>
            <w:r>
              <w:rPr>
                <w:b w:val="0"/>
                <w:color w:val="000000"/>
                <w:sz w:val="18"/>
              </w:rPr>
              <w:t>Province</w:t>
            </w:r>
          </w:p>
        </w:tc>
        <w:tc>
          <w:tcPr>
            <w:tcW w:type="dxa" w:w="4896"/>
            <w:vAlign w:val="center"/>
          </w:tcPr>
          <w:p>
            <w:r/>
            <w:r>
              <w:rPr>
                <w:b w:val="0"/>
                <w:color w:val="000000"/>
                <w:sz w:val="18"/>
              </w:rPr>
              <w:t>Learner area/province.</w:t>
            </w:r>
          </w:p>
        </w:tc>
        <w:tc>
          <w:tcPr>
            <w:tcW w:type="dxa" w:w="2592"/>
            <w:vAlign w:val="center"/>
          </w:tcPr>
          <w:p>
            <w:r/>
            <w:r>
              <w:rPr>
                <w:b w:val="0"/>
                <w:color w:val="000000"/>
                <w:sz w:val="18"/>
              </w:rPr>
              <w:t>Western Cape</w:t>
            </w:r>
          </w:p>
        </w:tc>
      </w:tr>
      <w:tr>
        <w:tc>
          <w:tcPr>
            <w:tcW w:type="dxa" w:w="2304"/>
            <w:vAlign w:val="center"/>
          </w:tcPr>
          <w:p>
            <w:r/>
            <w:r>
              <w:rPr>
                <w:b w:val="0"/>
                <w:color w:val="000000"/>
                <w:sz w:val="18"/>
              </w:rPr>
              <w:t>DeviceAccess</w:t>
            </w:r>
          </w:p>
        </w:tc>
        <w:tc>
          <w:tcPr>
            <w:tcW w:type="dxa" w:w="4896"/>
            <w:vAlign w:val="center"/>
          </w:tcPr>
          <w:p>
            <w:r/>
            <w:r>
              <w:rPr>
                <w:b w:val="0"/>
                <w:color w:val="000000"/>
                <w:sz w:val="18"/>
              </w:rPr>
              <w:t>Primary learning device.</w:t>
            </w:r>
          </w:p>
        </w:tc>
        <w:tc>
          <w:tcPr>
            <w:tcW w:type="dxa" w:w="2592"/>
            <w:vAlign w:val="center"/>
          </w:tcPr>
          <w:p>
            <w:r/>
            <w:r>
              <w:rPr>
                <w:b w:val="0"/>
                <w:color w:val="000000"/>
                <w:sz w:val="18"/>
              </w:rPr>
              <w:t>Laptop, Shared laptop, Phone only</w:t>
            </w:r>
          </w:p>
        </w:tc>
      </w:tr>
      <w:tr>
        <w:tc>
          <w:tcPr>
            <w:tcW w:type="dxa" w:w="2304"/>
            <w:vAlign w:val="center"/>
          </w:tcPr>
          <w:p>
            <w:r/>
            <w:r>
              <w:rPr>
                <w:b w:val="0"/>
                <w:color w:val="000000"/>
                <w:sz w:val="18"/>
              </w:rPr>
              <w:t>InternetAccess</w:t>
            </w:r>
          </w:p>
        </w:tc>
        <w:tc>
          <w:tcPr>
            <w:tcW w:type="dxa" w:w="4896"/>
            <w:vAlign w:val="center"/>
          </w:tcPr>
          <w:p>
            <w:r/>
            <w:r>
              <w:rPr>
                <w:b w:val="0"/>
                <w:color w:val="000000"/>
                <w:sz w:val="18"/>
              </w:rPr>
              <w:t>Connectivity status.</w:t>
            </w:r>
          </w:p>
        </w:tc>
        <w:tc>
          <w:tcPr>
            <w:tcW w:type="dxa" w:w="2592"/>
            <w:vAlign w:val="center"/>
          </w:tcPr>
          <w:p>
            <w:r/>
            <w:r>
              <w:rPr>
                <w:b w:val="0"/>
                <w:color w:val="000000"/>
                <w:sz w:val="18"/>
              </w:rPr>
              <w:t>Reliable, Unstable, Limited</w:t>
            </w:r>
          </w:p>
        </w:tc>
      </w:tr>
      <w:tr>
        <w:tc>
          <w:tcPr>
            <w:tcW w:type="dxa" w:w="2304"/>
            <w:vAlign w:val="center"/>
          </w:tcPr>
          <w:p>
            <w:r/>
            <w:r>
              <w:rPr>
                <w:b w:val="0"/>
                <w:color w:val="000000"/>
                <w:sz w:val="18"/>
              </w:rPr>
              <w:t>DigitalConfidence</w:t>
            </w:r>
          </w:p>
        </w:tc>
        <w:tc>
          <w:tcPr>
            <w:tcW w:type="dxa" w:w="4896"/>
            <w:vAlign w:val="center"/>
          </w:tcPr>
          <w:p>
            <w:r/>
            <w:r>
              <w:rPr>
                <w:b w:val="0"/>
                <w:color w:val="000000"/>
                <w:sz w:val="18"/>
              </w:rPr>
              <w:t>Self-rated digital confidence from 1 to 5.</w:t>
            </w:r>
          </w:p>
        </w:tc>
        <w:tc>
          <w:tcPr>
            <w:tcW w:type="dxa" w:w="2592"/>
            <w:vAlign w:val="center"/>
          </w:tcPr>
          <w:p>
            <w:r/>
            <w:r>
              <w:rPr>
                <w:b w:val="0"/>
                <w:color w:val="000000"/>
                <w:sz w:val="18"/>
              </w:rPr>
              <w:t>4</w:t>
            </w:r>
          </w:p>
        </w:tc>
      </w:tr>
      <w:tr>
        <w:tc>
          <w:tcPr>
            <w:tcW w:type="dxa" w:w="2304"/>
            <w:vAlign w:val="center"/>
          </w:tcPr>
          <w:p>
            <w:r/>
            <w:r>
              <w:rPr>
                <w:b w:val="0"/>
                <w:color w:val="000000"/>
                <w:sz w:val="18"/>
              </w:rPr>
              <w:t>ProgrammingConfidence</w:t>
            </w:r>
          </w:p>
        </w:tc>
        <w:tc>
          <w:tcPr>
            <w:tcW w:type="dxa" w:w="4896"/>
            <w:vAlign w:val="center"/>
          </w:tcPr>
          <w:p>
            <w:r/>
            <w:r>
              <w:rPr>
                <w:b w:val="0"/>
                <w:color w:val="000000"/>
                <w:sz w:val="18"/>
              </w:rPr>
              <w:t>Self-rated programming confidence from 1 to 5.</w:t>
            </w:r>
          </w:p>
        </w:tc>
        <w:tc>
          <w:tcPr>
            <w:tcW w:type="dxa" w:w="2592"/>
            <w:vAlign w:val="center"/>
          </w:tcPr>
          <w:p>
            <w:r/>
            <w:r>
              <w:rPr>
                <w:b w:val="0"/>
                <w:color w:val="000000"/>
                <w:sz w:val="18"/>
              </w:rPr>
              <w:t>3</w:t>
            </w:r>
          </w:p>
        </w:tc>
      </w:tr>
      <w:tr>
        <w:tc>
          <w:tcPr>
            <w:tcW w:type="dxa" w:w="2304"/>
            <w:vAlign w:val="center"/>
          </w:tcPr>
          <w:p>
            <w:r/>
            <w:r>
              <w:rPr>
                <w:b w:val="0"/>
                <w:color w:val="000000"/>
                <w:sz w:val="18"/>
              </w:rPr>
              <w:t>AIFamiliarity</w:t>
            </w:r>
          </w:p>
        </w:tc>
        <w:tc>
          <w:tcPr>
            <w:tcW w:type="dxa" w:w="4896"/>
            <w:vAlign w:val="center"/>
          </w:tcPr>
          <w:p>
            <w:r/>
            <w:r>
              <w:rPr>
                <w:b w:val="0"/>
                <w:color w:val="000000"/>
                <w:sz w:val="18"/>
              </w:rPr>
              <w:t>Self-rated AI familiarity from 1 to 5.</w:t>
            </w:r>
          </w:p>
        </w:tc>
        <w:tc>
          <w:tcPr>
            <w:tcW w:type="dxa" w:w="2592"/>
            <w:vAlign w:val="center"/>
          </w:tcPr>
          <w:p>
            <w:r/>
            <w:r>
              <w:rPr>
                <w:b w:val="0"/>
                <w:color w:val="000000"/>
                <w:sz w:val="18"/>
              </w:rPr>
              <w:t>2</w:t>
            </w:r>
          </w:p>
        </w:tc>
      </w:tr>
      <w:tr>
        <w:tc>
          <w:tcPr>
            <w:tcW w:type="dxa" w:w="2304"/>
            <w:vAlign w:val="center"/>
          </w:tcPr>
          <w:p>
            <w:r/>
            <w:r>
              <w:rPr>
                <w:b w:val="0"/>
                <w:color w:val="000000"/>
                <w:sz w:val="18"/>
              </w:rPr>
              <w:t>EmploymentStatus</w:t>
            </w:r>
          </w:p>
        </w:tc>
        <w:tc>
          <w:tcPr>
            <w:tcW w:type="dxa" w:w="4896"/>
            <w:vAlign w:val="center"/>
          </w:tcPr>
          <w:p>
            <w:r/>
            <w:r>
              <w:rPr>
                <w:b w:val="0"/>
                <w:color w:val="000000"/>
                <w:sz w:val="18"/>
              </w:rPr>
              <w:t>Employment category.</w:t>
            </w:r>
          </w:p>
        </w:tc>
        <w:tc>
          <w:tcPr>
            <w:tcW w:type="dxa" w:w="2592"/>
            <w:vAlign w:val="center"/>
          </w:tcPr>
          <w:p>
            <w:r/>
            <w:r>
              <w:rPr>
                <w:b w:val="0"/>
                <w:color w:val="000000"/>
                <w:sz w:val="18"/>
              </w:rPr>
              <w:t>Unemployed</w:t>
            </w:r>
          </w:p>
        </w:tc>
      </w:tr>
      <w:tr>
        <w:tc>
          <w:tcPr>
            <w:tcW w:type="dxa" w:w="2304"/>
            <w:vAlign w:val="center"/>
          </w:tcPr>
          <w:p>
            <w:r/>
            <w:r>
              <w:rPr>
                <w:b w:val="0"/>
                <w:color w:val="000000"/>
                <w:sz w:val="18"/>
              </w:rPr>
              <w:t>SupportNeed</w:t>
            </w:r>
          </w:p>
        </w:tc>
        <w:tc>
          <w:tcPr>
            <w:tcW w:type="dxa" w:w="4896"/>
            <w:vAlign w:val="center"/>
          </w:tcPr>
          <w:p>
            <w:r/>
            <w:r>
              <w:rPr>
                <w:b w:val="0"/>
                <w:color w:val="000000"/>
                <w:sz w:val="18"/>
              </w:rPr>
              <w:t>Primary support need.</w:t>
            </w:r>
          </w:p>
        </w:tc>
        <w:tc>
          <w:tcPr>
            <w:tcW w:type="dxa" w:w="2592"/>
            <w:vAlign w:val="center"/>
          </w:tcPr>
          <w:p>
            <w:r/>
            <w:r>
              <w:rPr>
                <w:b w:val="0"/>
                <w:color w:val="000000"/>
                <w:sz w:val="18"/>
              </w:rPr>
              <w:t>Data, Transport, Academic support, Mentoring</w:t>
            </w:r>
          </w:p>
        </w:tc>
      </w:tr>
      <w:tr>
        <w:tc>
          <w:tcPr>
            <w:tcW w:type="dxa" w:w="2304"/>
            <w:vAlign w:val="center"/>
          </w:tcPr>
          <w:p>
            <w:r/>
            <w:r>
              <w:rPr>
                <w:b w:val="0"/>
                <w:color w:val="000000"/>
                <w:sz w:val="18"/>
              </w:rPr>
              <w:t>AttendanceRisk</w:t>
            </w:r>
          </w:p>
        </w:tc>
        <w:tc>
          <w:tcPr>
            <w:tcW w:type="dxa" w:w="4896"/>
            <w:vAlign w:val="center"/>
          </w:tcPr>
          <w:p>
            <w:r/>
            <w:r>
              <w:rPr>
                <w:b w:val="0"/>
                <w:color w:val="000000"/>
                <w:sz w:val="18"/>
              </w:rPr>
              <w:t>Attendance risk category.</w:t>
            </w:r>
          </w:p>
        </w:tc>
        <w:tc>
          <w:tcPr>
            <w:tcW w:type="dxa" w:w="2592"/>
            <w:vAlign w:val="center"/>
          </w:tcPr>
          <w:p>
            <w:r/>
            <w:r>
              <w:rPr>
                <w:b w:val="0"/>
                <w:color w:val="000000"/>
                <w:sz w:val="18"/>
              </w:rPr>
              <w:t>Low, Medium, High</w:t>
            </w:r>
          </w:p>
        </w:tc>
      </w:tr>
      <w:tr>
        <w:tc>
          <w:tcPr>
            <w:tcW w:type="dxa" w:w="2304"/>
            <w:vAlign w:val="center"/>
          </w:tcPr>
          <w:p>
            <w:r/>
            <w:r>
              <w:rPr>
                <w:b w:val="0"/>
                <w:color w:val="000000"/>
                <w:sz w:val="18"/>
              </w:rPr>
              <w:t>Notes</w:t>
            </w:r>
          </w:p>
        </w:tc>
        <w:tc>
          <w:tcPr>
            <w:tcW w:type="dxa" w:w="4896"/>
            <w:vAlign w:val="center"/>
          </w:tcPr>
          <w:p>
            <w:r/>
            <w:r>
              <w:rPr>
                <w:b w:val="0"/>
                <w:color w:val="000000"/>
                <w:sz w:val="18"/>
              </w:rPr>
              <w:t>Short context note.</w:t>
            </w:r>
          </w:p>
        </w:tc>
        <w:tc>
          <w:tcPr>
            <w:tcW w:type="dxa" w:w="2592"/>
            <w:vAlign w:val="center"/>
          </w:tcPr>
          <w:p>
            <w:r/>
            <w:r>
              <w:rPr>
                <w:b w:val="0"/>
                <w:color w:val="000000"/>
                <w:sz w:val="18"/>
              </w:rPr>
              <w:t>Needs bus pass</w:t>
            </w:r>
          </w:p>
        </w:tc>
      </w:tr>
    </w:tbl>
    <w:p/>
    <w:p>
      <w:pPr>
        <w:pStyle w:val="Heading2"/>
        <w:spacing w:before="200" w:after="120"/>
      </w:pPr>
      <w:r>
        <w:t>Data Preparation and Validation</w:t>
      </w:r>
    </w:p>
    <w:p>
      <w:pPr>
        <w:pStyle w:val="ListBullet"/>
        <w:spacing w:after="60"/>
      </w:pPr>
      <w:r>
        <w:t>Missing value checks for required learner fields.</w:t>
      </w:r>
    </w:p>
    <w:p>
      <w:pPr>
        <w:pStyle w:val="ListBullet"/>
        <w:spacing w:after="60"/>
      </w:pPr>
      <w:r>
        <w:t>Controlled-value validation for age band, device access, internet access and attendance risk.</w:t>
      </w:r>
    </w:p>
    <w:p>
      <w:pPr>
        <w:pStyle w:val="ListBullet"/>
        <w:spacing w:after="60"/>
      </w:pPr>
      <w:r>
        <w:t>Confidence score range validation from 1 to 5.</w:t>
      </w:r>
    </w:p>
    <w:p>
      <w:pPr>
        <w:pStyle w:val="ListBullet"/>
        <w:spacing w:after="60"/>
      </w:pPr>
      <w:r>
        <w:t>Duplicate learner ID detection.</w:t>
      </w:r>
    </w:p>
    <w:p>
      <w:pPr>
        <w:pStyle w:val="ListBullet"/>
        <w:spacing w:after="60"/>
      </w:pPr>
      <w:r>
        <w:t>Quote-aware CSV parsing so commas inside notes do not break import.</w:t>
      </w:r>
    </w:p>
    <w:p>
      <w:pPr>
        <w:pStyle w:val="ListBullet"/>
        <w:spacing w:after="60"/>
      </w:pPr>
      <w:r>
        <w:t>Row-level validation feedback with line numbers and field names.</w:t>
      </w:r>
    </w:p>
    <w:p>
      <w:pPr>
        <w:pStyle w:val="ListBullet"/>
        <w:spacing w:after="60"/>
      </w:pPr>
      <w:r>
        <w:t>Inline validation for manual learner entry.</w:t>
      </w:r>
    </w:p>
    <w:p>
      <w:pPr>
        <w:jc w:val="center"/>
      </w:pPr>
      <w:r>
        <w:drawing>
          <wp:inline xmlns:a="http://schemas.openxmlformats.org/drawingml/2006/main" xmlns:pic="http://schemas.openxmlformats.org/drawingml/2006/picture">
            <wp:extent cx="6126480" cy="14690517"/>
            <wp:docPr id="6" name="Picture 6"/>
            <wp:cNvGraphicFramePr>
              <a:graphicFrameLocks noChangeAspect="1"/>
            </wp:cNvGraphicFramePr>
            <a:graphic>
              <a:graphicData uri="http://schemas.openxmlformats.org/drawingml/2006/picture">
                <pic:pic>
                  <pic:nvPicPr>
                    <pic:cNvPr id="0" name="upload-validation.png"/>
                    <pic:cNvPicPr/>
                  </pic:nvPicPr>
                  <pic:blipFill>
                    <a:blip r:embed="rId15"/>
                    <a:stretch>
                      <a:fillRect/>
                    </a:stretch>
                  </pic:blipFill>
                  <pic:spPr>
                    <a:xfrm>
                      <a:off x="0" y="0"/>
                      <a:ext cx="6126480" cy="14690517"/>
                    </a:xfrm>
                    <a:prstGeom prst="rect"/>
                  </pic:spPr>
                </pic:pic>
              </a:graphicData>
            </a:graphic>
          </wp:inline>
        </w:drawing>
      </w:r>
    </w:p>
    <w:p>
      <w:pPr>
        <w:pStyle w:val="CaptionSmall"/>
        <w:jc w:val="center"/>
      </w:pPr>
      <w:r>
        <w:t>Figure 5: Upload validation evidence showing row-level feedback.</w:t>
      </w:r>
    </w:p>
    <w:p>
      <w:pPr>
        <w:pStyle w:val="Heading1"/>
        <w:spacing w:before="200" w:after="120"/>
      </w:pPr>
      <w:r>
        <w:t>7. Analytics Findings and KPI Dashboard</w:t>
      </w:r>
    </w:p>
    <w:p>
      <w:pPr>
        <w:spacing w:after="120" w:line="259" w:lineRule="auto"/>
      </w:pPr>
      <w:r>
        <w:t>The dashboard exceeds the minimum visualisation requirement by providing five charts and a richer KPI layer. The analytics are designed for programme staff, not technical users, so labels, colours and helper text focus on operational meaning.</w:t>
      </w:r>
    </w:p>
    <w:p>
      <w:pPr>
        <w:jc w:val="center"/>
      </w:pPr>
      <w:r>
        <w:drawing>
          <wp:inline xmlns:a="http://schemas.openxmlformats.org/drawingml/2006/main" xmlns:pic="http://schemas.openxmlformats.org/drawingml/2006/picture">
            <wp:extent cx="6126480" cy="2029396"/>
            <wp:docPr id="7" name="Picture 7"/>
            <wp:cNvGraphicFramePr>
              <a:graphicFrameLocks noChangeAspect="1"/>
            </wp:cNvGraphicFramePr>
            <a:graphic>
              <a:graphicData uri="http://schemas.openxmlformats.org/drawingml/2006/picture">
                <pic:pic>
                  <pic:nvPicPr>
                    <pic:cNvPr id="0" name="kpi_snapshot.png"/>
                    <pic:cNvPicPr/>
                  </pic:nvPicPr>
                  <pic:blipFill>
                    <a:blip r:embed="rId10"/>
                    <a:stretch>
                      <a:fillRect/>
                    </a:stretch>
                  </pic:blipFill>
                  <pic:spPr>
                    <a:xfrm>
                      <a:off x="0" y="0"/>
                      <a:ext cx="6126480" cy="2029396"/>
                    </a:xfrm>
                    <a:prstGeom prst="rect"/>
                  </pic:spPr>
                </pic:pic>
              </a:graphicData>
            </a:graphic>
          </wp:inline>
        </w:drawing>
      </w:r>
    </w:p>
    <w:p>
      <w:pPr>
        <w:pStyle w:val="CaptionSmall"/>
        <w:jc w:val="center"/>
      </w:pPr>
      <w:r>
        <w:t>Figure 6: KPI snapshot based on the synthetic learner dataset.</w:t>
      </w:r>
    </w:p>
    <w:p>
      <w:pPr>
        <w:pStyle w:val="Heading2"/>
        <w:spacing w:before="200" w:after="120"/>
      </w:pPr>
      <w:r>
        <w:t>KPI Summary</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0F766E"/>
            <w:vAlign w:val="center"/>
          </w:tcPr>
          <w:p>
            <w:r/>
            <w:r>
              <w:rPr>
                <w:b/>
                <w:color w:val="FFFFFF"/>
                <w:sz w:val="18"/>
              </w:rPr>
              <w:t>KPI</w:t>
            </w:r>
          </w:p>
        </w:tc>
        <w:tc>
          <w:tcPr>
            <w:tcW w:type="dxa" w:w="2160"/>
            <w:shd w:fill="0F766E"/>
            <w:vAlign w:val="center"/>
          </w:tcPr>
          <w:p>
            <w:r/>
            <w:r>
              <w:rPr>
                <w:b/>
                <w:color w:val="FFFFFF"/>
                <w:sz w:val="18"/>
              </w:rPr>
              <w:t>Result</w:t>
            </w:r>
          </w:p>
        </w:tc>
        <w:tc>
          <w:tcPr>
            <w:tcW w:type="dxa" w:w="4896"/>
            <w:shd w:fill="0F766E"/>
            <w:vAlign w:val="center"/>
          </w:tcPr>
          <w:p>
            <w:r/>
            <w:r>
              <w:rPr>
                <w:b/>
                <w:color w:val="FFFFFF"/>
                <w:sz w:val="18"/>
              </w:rPr>
              <w:t>Interpretation</w:t>
            </w:r>
          </w:p>
        </w:tc>
      </w:tr>
      <w:tr>
        <w:tc>
          <w:tcPr>
            <w:tcW w:type="dxa" w:w="2880"/>
            <w:vAlign w:val="center"/>
          </w:tcPr>
          <w:p>
            <w:r/>
            <w:r>
              <w:rPr>
                <w:b w:val="0"/>
                <w:color w:val="000000"/>
                <w:sz w:val="18"/>
              </w:rPr>
              <w:t>Total learners</w:t>
            </w:r>
          </w:p>
        </w:tc>
        <w:tc>
          <w:tcPr>
            <w:tcW w:type="dxa" w:w="2160"/>
            <w:vAlign w:val="center"/>
          </w:tcPr>
          <w:p>
            <w:r/>
            <w:r>
              <w:rPr>
                <w:b w:val="0"/>
                <w:color w:val="000000"/>
                <w:sz w:val="18"/>
              </w:rPr>
              <w:t>30</w:t>
            </w:r>
          </w:p>
        </w:tc>
        <w:tc>
          <w:tcPr>
            <w:tcW w:type="dxa" w:w="4896"/>
            <w:vAlign w:val="center"/>
          </w:tcPr>
          <w:p>
            <w:r/>
            <w:r>
              <w:rPr>
                <w:b w:val="0"/>
                <w:color w:val="000000"/>
                <w:sz w:val="18"/>
              </w:rPr>
              <w:t>Synthetic learner records available for analysis.</w:t>
            </w:r>
          </w:p>
        </w:tc>
      </w:tr>
      <w:tr>
        <w:tc>
          <w:tcPr>
            <w:tcW w:type="dxa" w:w="2880"/>
            <w:vAlign w:val="center"/>
          </w:tcPr>
          <w:p>
            <w:r/>
            <w:r>
              <w:rPr>
                <w:b w:val="0"/>
                <w:color w:val="000000"/>
                <w:sz w:val="18"/>
              </w:rPr>
              <w:t>Critical risk</w:t>
            </w:r>
          </w:p>
        </w:tc>
        <w:tc>
          <w:tcPr>
            <w:tcW w:type="dxa" w:w="2160"/>
            <w:vAlign w:val="center"/>
          </w:tcPr>
          <w:p>
            <w:r/>
            <w:r>
              <w:rPr>
                <w:b w:val="0"/>
                <w:color w:val="000000"/>
                <w:sz w:val="18"/>
              </w:rPr>
              <w:t>9</w:t>
            </w:r>
          </w:p>
        </w:tc>
        <w:tc>
          <w:tcPr>
            <w:tcW w:type="dxa" w:w="4896"/>
            <w:vAlign w:val="center"/>
          </w:tcPr>
          <w:p>
            <w:r/>
            <w:r>
              <w:rPr>
                <w:b w:val="0"/>
                <w:color w:val="000000"/>
                <w:sz w:val="18"/>
              </w:rPr>
              <w:t>Learners requiring immediate staff review.</w:t>
            </w:r>
          </w:p>
        </w:tc>
      </w:tr>
      <w:tr>
        <w:tc>
          <w:tcPr>
            <w:tcW w:type="dxa" w:w="2880"/>
            <w:vAlign w:val="center"/>
          </w:tcPr>
          <w:p>
            <w:r/>
            <w:r>
              <w:rPr>
                <w:b w:val="0"/>
                <w:color w:val="000000"/>
                <w:sz w:val="18"/>
              </w:rPr>
              <w:t>High risk</w:t>
            </w:r>
          </w:p>
        </w:tc>
        <w:tc>
          <w:tcPr>
            <w:tcW w:type="dxa" w:w="2160"/>
            <w:vAlign w:val="center"/>
          </w:tcPr>
          <w:p>
            <w:r/>
            <w:r>
              <w:rPr>
                <w:b w:val="0"/>
                <w:color w:val="000000"/>
                <w:sz w:val="18"/>
              </w:rPr>
              <w:t>2</w:t>
            </w:r>
          </w:p>
        </w:tc>
        <w:tc>
          <w:tcPr>
            <w:tcW w:type="dxa" w:w="4896"/>
            <w:vAlign w:val="center"/>
          </w:tcPr>
          <w:p>
            <w:r/>
            <w:r>
              <w:rPr>
                <w:b w:val="0"/>
                <w:color w:val="000000"/>
                <w:sz w:val="18"/>
              </w:rPr>
              <w:t>Learners requiring urgent follow-up.</w:t>
            </w:r>
          </w:p>
        </w:tc>
      </w:tr>
      <w:tr>
        <w:tc>
          <w:tcPr>
            <w:tcW w:type="dxa" w:w="2880"/>
            <w:vAlign w:val="center"/>
          </w:tcPr>
          <w:p>
            <w:r/>
            <w:r>
              <w:rPr>
                <w:b w:val="0"/>
                <w:color w:val="000000"/>
                <w:sz w:val="18"/>
              </w:rPr>
              <w:t>Medium risk</w:t>
            </w:r>
          </w:p>
        </w:tc>
        <w:tc>
          <w:tcPr>
            <w:tcW w:type="dxa" w:w="2160"/>
            <w:vAlign w:val="center"/>
          </w:tcPr>
          <w:p>
            <w:r/>
            <w:r>
              <w:rPr>
                <w:b w:val="0"/>
                <w:color w:val="000000"/>
                <w:sz w:val="18"/>
              </w:rPr>
              <w:t>4</w:t>
            </w:r>
          </w:p>
        </w:tc>
        <w:tc>
          <w:tcPr>
            <w:tcW w:type="dxa" w:w="4896"/>
            <w:vAlign w:val="center"/>
          </w:tcPr>
          <w:p>
            <w:r/>
            <w:r>
              <w:rPr>
                <w:b w:val="0"/>
                <w:color w:val="000000"/>
                <w:sz w:val="18"/>
              </w:rPr>
              <w:t>Learners needing monitoring and early support.</w:t>
            </w:r>
          </w:p>
        </w:tc>
      </w:tr>
      <w:tr>
        <w:tc>
          <w:tcPr>
            <w:tcW w:type="dxa" w:w="2880"/>
            <w:vAlign w:val="center"/>
          </w:tcPr>
          <w:p>
            <w:r/>
            <w:r>
              <w:rPr>
                <w:b w:val="0"/>
                <w:color w:val="000000"/>
                <w:sz w:val="18"/>
              </w:rPr>
              <w:t>Low risk</w:t>
            </w:r>
          </w:p>
        </w:tc>
        <w:tc>
          <w:tcPr>
            <w:tcW w:type="dxa" w:w="2160"/>
            <w:vAlign w:val="center"/>
          </w:tcPr>
          <w:p>
            <w:r/>
            <w:r>
              <w:rPr>
                <w:b w:val="0"/>
                <w:color w:val="000000"/>
                <w:sz w:val="18"/>
              </w:rPr>
              <w:t>15</w:t>
            </w:r>
          </w:p>
        </w:tc>
        <w:tc>
          <w:tcPr>
            <w:tcW w:type="dxa" w:w="4896"/>
            <w:vAlign w:val="center"/>
          </w:tcPr>
          <w:p>
            <w:r/>
            <w:r>
              <w:rPr>
                <w:b w:val="0"/>
                <w:color w:val="000000"/>
                <w:sz w:val="18"/>
              </w:rPr>
              <w:t>Learners currently showing lower support risk.</w:t>
            </w:r>
          </w:p>
        </w:tc>
      </w:tr>
      <w:tr>
        <w:tc>
          <w:tcPr>
            <w:tcW w:type="dxa" w:w="2880"/>
            <w:vAlign w:val="center"/>
          </w:tcPr>
          <w:p>
            <w:r/>
            <w:r>
              <w:rPr>
                <w:b w:val="0"/>
                <w:color w:val="000000"/>
                <w:sz w:val="18"/>
              </w:rPr>
              <w:t>High + critical review group</w:t>
            </w:r>
          </w:p>
        </w:tc>
        <w:tc>
          <w:tcPr>
            <w:tcW w:type="dxa" w:w="2160"/>
            <w:vAlign w:val="center"/>
          </w:tcPr>
          <w:p>
            <w:r/>
            <w:r>
              <w:rPr>
                <w:b w:val="0"/>
                <w:color w:val="000000"/>
                <w:sz w:val="18"/>
              </w:rPr>
              <w:t>11</w:t>
            </w:r>
          </w:p>
        </w:tc>
        <w:tc>
          <w:tcPr>
            <w:tcW w:type="dxa" w:w="4896"/>
            <w:vAlign w:val="center"/>
          </w:tcPr>
          <w:p>
            <w:r/>
            <w:r>
              <w:rPr>
                <w:b w:val="0"/>
                <w:color w:val="000000"/>
                <w:sz w:val="18"/>
              </w:rPr>
              <w:t>Learners requiring priority intervention planning.</w:t>
            </w:r>
          </w:p>
        </w:tc>
      </w:tr>
      <w:tr>
        <w:tc>
          <w:tcPr>
            <w:tcW w:type="dxa" w:w="2880"/>
            <w:vAlign w:val="center"/>
          </w:tcPr>
          <w:p>
            <w:r/>
            <w:r>
              <w:rPr>
                <w:b w:val="0"/>
                <w:color w:val="000000"/>
                <w:sz w:val="18"/>
              </w:rPr>
              <w:t>Internet risk</w:t>
            </w:r>
          </w:p>
        </w:tc>
        <w:tc>
          <w:tcPr>
            <w:tcW w:type="dxa" w:w="2160"/>
            <w:vAlign w:val="center"/>
          </w:tcPr>
          <w:p>
            <w:r/>
            <w:r>
              <w:rPr>
                <w:b w:val="0"/>
                <w:color w:val="000000"/>
                <w:sz w:val="18"/>
              </w:rPr>
              <w:t>15 learners (50%)</w:t>
            </w:r>
          </w:p>
        </w:tc>
        <w:tc>
          <w:tcPr>
            <w:tcW w:type="dxa" w:w="4896"/>
            <w:vAlign w:val="center"/>
          </w:tcPr>
          <w:p>
            <w:r/>
            <w:r>
              <w:rPr>
                <w:b w:val="0"/>
                <w:color w:val="000000"/>
                <w:sz w:val="18"/>
              </w:rPr>
              <w:t>Limited or unstable connectivity affects half the dataset.</w:t>
            </w:r>
          </w:p>
        </w:tc>
      </w:tr>
      <w:tr>
        <w:tc>
          <w:tcPr>
            <w:tcW w:type="dxa" w:w="2880"/>
            <w:vAlign w:val="center"/>
          </w:tcPr>
          <w:p>
            <w:r/>
            <w:r>
              <w:rPr>
                <w:b w:val="0"/>
                <w:color w:val="000000"/>
                <w:sz w:val="18"/>
              </w:rPr>
              <w:t>Device access gap</w:t>
            </w:r>
          </w:p>
        </w:tc>
        <w:tc>
          <w:tcPr>
            <w:tcW w:type="dxa" w:w="2160"/>
            <w:vAlign w:val="center"/>
          </w:tcPr>
          <w:p>
            <w:r/>
            <w:r>
              <w:rPr>
                <w:b w:val="0"/>
                <w:color w:val="000000"/>
                <w:sz w:val="18"/>
              </w:rPr>
              <w:t>15 learners (50%)</w:t>
            </w:r>
          </w:p>
        </w:tc>
        <w:tc>
          <w:tcPr>
            <w:tcW w:type="dxa" w:w="4896"/>
            <w:vAlign w:val="center"/>
          </w:tcPr>
          <w:p>
            <w:r/>
            <w:r>
              <w:rPr>
                <w:b w:val="0"/>
                <w:color w:val="000000"/>
                <w:sz w:val="18"/>
              </w:rPr>
              <w:t>Phone-only or shared laptop access affects half the dataset.</w:t>
            </w:r>
          </w:p>
        </w:tc>
      </w:tr>
      <w:tr>
        <w:tc>
          <w:tcPr>
            <w:tcW w:type="dxa" w:w="2880"/>
            <w:vAlign w:val="center"/>
          </w:tcPr>
          <w:p>
            <w:r/>
            <w:r>
              <w:rPr>
                <w:b w:val="0"/>
                <w:color w:val="000000"/>
                <w:sz w:val="18"/>
              </w:rPr>
              <w:t>Average digital confidence</w:t>
            </w:r>
          </w:p>
        </w:tc>
        <w:tc>
          <w:tcPr>
            <w:tcW w:type="dxa" w:w="2160"/>
            <w:vAlign w:val="center"/>
          </w:tcPr>
          <w:p>
            <w:r/>
            <w:r>
              <w:rPr>
                <w:b w:val="0"/>
                <w:color w:val="000000"/>
                <w:sz w:val="18"/>
              </w:rPr>
              <w:t>3.2 / 5</w:t>
            </w:r>
          </w:p>
        </w:tc>
        <w:tc>
          <w:tcPr>
            <w:tcW w:type="dxa" w:w="4896"/>
            <w:vAlign w:val="center"/>
          </w:tcPr>
          <w:p>
            <w:r/>
            <w:r>
              <w:rPr>
                <w:b w:val="0"/>
                <w:color w:val="000000"/>
                <w:sz w:val="18"/>
              </w:rPr>
              <w:t>Moderate readiness.</w:t>
            </w:r>
          </w:p>
        </w:tc>
      </w:tr>
      <w:tr>
        <w:tc>
          <w:tcPr>
            <w:tcW w:type="dxa" w:w="2880"/>
            <w:vAlign w:val="center"/>
          </w:tcPr>
          <w:p>
            <w:r/>
            <w:r>
              <w:rPr>
                <w:b w:val="0"/>
                <w:color w:val="000000"/>
                <w:sz w:val="18"/>
              </w:rPr>
              <w:t>Average programming confidence</w:t>
            </w:r>
          </w:p>
        </w:tc>
        <w:tc>
          <w:tcPr>
            <w:tcW w:type="dxa" w:w="2160"/>
            <w:vAlign w:val="center"/>
          </w:tcPr>
          <w:p>
            <w:r/>
            <w:r>
              <w:rPr>
                <w:b w:val="0"/>
                <w:color w:val="000000"/>
                <w:sz w:val="18"/>
              </w:rPr>
              <w:t>2.8 / 5</w:t>
            </w:r>
          </w:p>
        </w:tc>
        <w:tc>
          <w:tcPr>
            <w:tcW w:type="dxa" w:w="4896"/>
            <w:vAlign w:val="center"/>
          </w:tcPr>
          <w:p>
            <w:r/>
            <w:r>
              <w:rPr>
                <w:b w:val="0"/>
                <w:color w:val="000000"/>
                <w:sz w:val="18"/>
              </w:rPr>
              <w:t>Clear need for coding support.</w:t>
            </w:r>
          </w:p>
        </w:tc>
      </w:tr>
      <w:tr>
        <w:tc>
          <w:tcPr>
            <w:tcW w:type="dxa" w:w="2880"/>
            <w:vAlign w:val="center"/>
          </w:tcPr>
          <w:p>
            <w:r/>
            <w:r>
              <w:rPr>
                <w:b w:val="0"/>
                <w:color w:val="000000"/>
                <w:sz w:val="18"/>
              </w:rPr>
              <w:t>Average AI familiarity</w:t>
            </w:r>
          </w:p>
        </w:tc>
        <w:tc>
          <w:tcPr>
            <w:tcW w:type="dxa" w:w="2160"/>
            <w:vAlign w:val="center"/>
          </w:tcPr>
          <w:p>
            <w:r/>
            <w:r>
              <w:rPr>
                <w:b w:val="0"/>
                <w:color w:val="000000"/>
                <w:sz w:val="18"/>
              </w:rPr>
              <w:t>2.3 / 5</w:t>
            </w:r>
          </w:p>
        </w:tc>
        <w:tc>
          <w:tcPr>
            <w:tcW w:type="dxa" w:w="4896"/>
            <w:vAlign w:val="center"/>
          </w:tcPr>
          <w:p>
            <w:r/>
            <w:r>
              <w:rPr>
                <w:b w:val="0"/>
                <w:color w:val="000000"/>
                <w:sz w:val="18"/>
              </w:rPr>
              <w:t>Lowest readiness area.</w:t>
            </w:r>
          </w:p>
        </w:tc>
      </w:tr>
      <w:tr>
        <w:tc>
          <w:tcPr>
            <w:tcW w:type="dxa" w:w="2880"/>
            <w:vAlign w:val="center"/>
          </w:tcPr>
          <w:p>
            <w:r/>
            <w:r>
              <w:rPr>
                <w:b w:val="0"/>
                <w:color w:val="000000"/>
                <w:sz w:val="18"/>
              </w:rPr>
              <w:t>Data quality score</w:t>
            </w:r>
          </w:p>
        </w:tc>
        <w:tc>
          <w:tcPr>
            <w:tcW w:type="dxa" w:w="2160"/>
            <w:vAlign w:val="center"/>
          </w:tcPr>
          <w:p>
            <w:r/>
            <w:r>
              <w:rPr>
                <w:b w:val="0"/>
                <w:color w:val="000000"/>
                <w:sz w:val="18"/>
              </w:rPr>
              <w:t>100%</w:t>
            </w:r>
          </w:p>
        </w:tc>
        <w:tc>
          <w:tcPr>
            <w:tcW w:type="dxa" w:w="4896"/>
            <w:vAlign w:val="center"/>
          </w:tcPr>
          <w:p>
            <w:r/>
            <w:r>
              <w:rPr>
                <w:b w:val="0"/>
                <w:color w:val="000000"/>
                <w:sz w:val="18"/>
              </w:rPr>
              <w:t>The synthetic dataset is complete and valid for prototype analysis.</w:t>
            </w:r>
          </w:p>
        </w:tc>
      </w:tr>
    </w:tbl>
    <w:p/>
    <w:p>
      <w:pPr>
        <w:pStyle w:val="Heading2"/>
        <w:spacing w:before="200" w:after="120"/>
      </w:pPr>
      <w:r>
        <w:t>Five Data-Driven Insights</w:t>
      </w:r>
    </w:p>
    <w:p>
      <w:pPr>
        <w:pStyle w:val="ListNumber"/>
        <w:spacing w:after="60"/>
      </w:pPr>
      <w:r>
        <w:t>11 of 30 learners fall into high or critical review categories, making early support planning a priority.</w:t>
      </w:r>
    </w:p>
    <w:p>
      <w:pPr>
        <w:pStyle w:val="ListNumber"/>
        <w:spacing w:after="60"/>
      </w:pPr>
      <w:r>
        <w:t>15 learners report limited or unstable internet, which is a major access barrier.</w:t>
      </w:r>
    </w:p>
    <w:p>
      <w:pPr>
        <w:pStyle w:val="ListNumber"/>
        <w:spacing w:after="60"/>
      </w:pPr>
      <w:r>
        <w:t>15 learners use either a phone only or a shared laptop, showing a significant device access gap.</w:t>
      </w:r>
    </w:p>
    <w:p>
      <w:pPr>
        <w:pStyle w:val="ListNumber"/>
        <w:spacing w:after="60"/>
      </w:pPr>
      <w:r>
        <w:t>Transport and data are the strongest support categories, with 8 transport cases and 8 data cases.</w:t>
      </w:r>
    </w:p>
    <w:p>
      <w:pPr>
        <w:pStyle w:val="ListNumber"/>
        <w:spacing w:after="60"/>
      </w:pPr>
      <w:r>
        <w:t>AI familiarity is the lowest average confidence area at 2.3 out of 5, followed by programming confidence at 2.8 out of 5.</w:t>
      </w:r>
    </w:p>
    <w:p>
      <w:pPr>
        <w:pStyle w:val="Heading2"/>
        <w:spacing w:before="200" w:after="120"/>
      </w:pPr>
      <w:r>
        <w:t>Practical Recommendations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E3A8A"/>
            <w:vAlign w:val="center"/>
          </w:tcPr>
          <w:p>
            <w:r/>
            <w:r>
              <w:rPr>
                <w:b/>
                <w:color w:val="FFFFFF"/>
                <w:sz w:val="18"/>
              </w:rPr>
              <w:t>Recommendation</w:t>
            </w:r>
          </w:p>
        </w:tc>
        <w:tc>
          <w:tcPr>
            <w:tcW w:type="dxa" w:w="4176"/>
            <w:shd w:fill="1E3A8A"/>
            <w:vAlign w:val="center"/>
          </w:tcPr>
          <w:p>
            <w:r/>
            <w:r>
              <w:rPr>
                <w:b/>
                <w:color w:val="FFFFFF"/>
                <w:sz w:val="18"/>
              </w:rPr>
              <w:t>Rationale</w:t>
            </w:r>
          </w:p>
        </w:tc>
        <w:tc>
          <w:tcPr>
            <w:tcW w:type="dxa" w:w="3168"/>
            <w:shd w:fill="1E3A8A"/>
            <w:vAlign w:val="center"/>
          </w:tcPr>
          <w:p>
            <w:r/>
            <w:r>
              <w:rPr>
                <w:b/>
                <w:color w:val="FFFFFF"/>
                <w:sz w:val="18"/>
              </w:rPr>
              <w:t>Action</w:t>
            </w:r>
          </w:p>
        </w:tc>
      </w:tr>
      <w:tr>
        <w:tc>
          <w:tcPr>
            <w:tcW w:type="dxa" w:w="2592"/>
            <w:vAlign w:val="center"/>
          </w:tcPr>
          <w:p>
            <w:r/>
            <w:r>
              <w:rPr>
                <w:b w:val="0"/>
                <w:color w:val="000000"/>
                <w:sz w:val="18"/>
              </w:rPr>
              <w:t>Connectivity and device support package</w:t>
            </w:r>
          </w:p>
        </w:tc>
        <w:tc>
          <w:tcPr>
            <w:tcW w:type="dxa" w:w="4176"/>
            <w:vAlign w:val="center"/>
          </w:tcPr>
          <w:p>
            <w:r/>
            <w:r>
              <w:rPr>
                <w:b w:val="0"/>
                <w:color w:val="000000"/>
                <w:sz w:val="18"/>
              </w:rPr>
              <w:t>Internet risk and device gaps affect half of the dataset.</w:t>
            </w:r>
          </w:p>
        </w:tc>
        <w:tc>
          <w:tcPr>
            <w:tcW w:type="dxa" w:w="3168"/>
            <w:vAlign w:val="center"/>
          </w:tcPr>
          <w:p>
            <w:r/>
            <w:r>
              <w:rPr>
                <w:b w:val="0"/>
                <w:color w:val="000000"/>
                <w:sz w:val="18"/>
              </w:rPr>
              <w:t>Prioritise data vouchers, offline learning packs and device-lending slots.</w:t>
            </w:r>
          </w:p>
        </w:tc>
      </w:tr>
      <w:tr>
        <w:tc>
          <w:tcPr>
            <w:tcW w:type="dxa" w:w="2592"/>
            <w:vAlign w:val="center"/>
          </w:tcPr>
          <w:p>
            <w:r/>
            <w:r>
              <w:rPr>
                <w:b w:val="0"/>
                <w:color w:val="000000"/>
                <w:sz w:val="18"/>
              </w:rPr>
              <w:t>Targeted attendance support workflow</w:t>
            </w:r>
          </w:p>
        </w:tc>
        <w:tc>
          <w:tcPr>
            <w:tcW w:type="dxa" w:w="4176"/>
            <w:vAlign w:val="center"/>
          </w:tcPr>
          <w:p>
            <w:r/>
            <w:r>
              <w:rPr>
                <w:b w:val="0"/>
                <w:color w:val="000000"/>
                <w:sz w:val="18"/>
              </w:rPr>
              <w:t>High and critical learners show combined attendance, access and confidence risk factors.</w:t>
            </w:r>
          </w:p>
        </w:tc>
        <w:tc>
          <w:tcPr>
            <w:tcW w:type="dxa" w:w="3168"/>
            <w:vAlign w:val="center"/>
          </w:tcPr>
          <w:p>
            <w:r/>
            <w:r>
              <w:rPr>
                <w:b w:val="0"/>
                <w:color w:val="000000"/>
                <w:sz w:val="18"/>
              </w:rPr>
              <w:t>Assign mentor check-ins, transport follow-up and weekly review meetings.</w:t>
            </w:r>
          </w:p>
        </w:tc>
      </w:tr>
      <w:tr>
        <w:tc>
          <w:tcPr>
            <w:tcW w:type="dxa" w:w="2592"/>
            <w:vAlign w:val="center"/>
          </w:tcPr>
          <w:p>
            <w:r/>
            <w:r>
              <w:rPr>
                <w:b w:val="0"/>
                <w:color w:val="000000"/>
                <w:sz w:val="18"/>
              </w:rPr>
              <w:t>Confidence-building academic clinics</w:t>
            </w:r>
          </w:p>
        </w:tc>
        <w:tc>
          <w:tcPr>
            <w:tcW w:type="dxa" w:w="4176"/>
            <w:vAlign w:val="center"/>
          </w:tcPr>
          <w:p>
            <w:r/>
            <w:r>
              <w:rPr>
                <w:b w:val="0"/>
                <w:color w:val="000000"/>
                <w:sz w:val="18"/>
              </w:rPr>
              <w:t>Programming and AI familiarity are lower than general digital confidence.</w:t>
            </w:r>
          </w:p>
        </w:tc>
        <w:tc>
          <w:tcPr>
            <w:tcW w:type="dxa" w:w="3168"/>
            <w:vAlign w:val="center"/>
          </w:tcPr>
          <w:p>
            <w:r/>
            <w:r>
              <w:rPr>
                <w:b w:val="0"/>
                <w:color w:val="000000"/>
                <w:sz w:val="18"/>
              </w:rPr>
              <w:t>Run short practical labs, peer tutoring and beginner-friendly AI/coding sessions.</w:t>
            </w:r>
          </w:p>
        </w:tc>
      </w:tr>
      <w:tr>
        <w:tc>
          <w:tcPr>
            <w:tcW w:type="dxa" w:w="2592"/>
            <w:vAlign w:val="center"/>
          </w:tcPr>
          <w:p>
            <w:r/>
            <w:r>
              <w:rPr>
                <w:b w:val="0"/>
                <w:color w:val="000000"/>
                <w:sz w:val="18"/>
              </w:rPr>
              <w:t>Resource planning dashboard review</w:t>
            </w:r>
          </w:p>
        </w:tc>
        <w:tc>
          <w:tcPr>
            <w:tcW w:type="dxa" w:w="4176"/>
            <w:vAlign w:val="center"/>
          </w:tcPr>
          <w:p>
            <w:r/>
            <w:r>
              <w:rPr>
                <w:b w:val="0"/>
                <w:color w:val="000000"/>
                <w:sz w:val="18"/>
              </w:rPr>
              <w:t>Support needs are concentrated enough to guide planning.</w:t>
            </w:r>
          </w:p>
        </w:tc>
        <w:tc>
          <w:tcPr>
            <w:tcW w:type="dxa" w:w="3168"/>
            <w:vAlign w:val="center"/>
          </w:tcPr>
          <w:p>
            <w:r/>
            <w:r>
              <w:rPr>
                <w:b w:val="0"/>
                <w:color w:val="000000"/>
                <w:sz w:val="18"/>
              </w:rPr>
              <w:t>Review KPI dashboard weekly and export summary for programme meetings.</w:t>
            </w:r>
          </w:p>
        </w:tc>
      </w:tr>
    </w:tbl>
    <w:p/>
    <w:p>
      <w:pPr>
        <w:jc w:val="center"/>
      </w:pPr>
      <w:r>
        <w:drawing>
          <wp:inline xmlns:a="http://schemas.openxmlformats.org/drawingml/2006/main" xmlns:pic="http://schemas.openxmlformats.org/drawingml/2006/picture">
            <wp:extent cx="5852160" cy="3232004"/>
            <wp:docPr id="8" name="Picture 8"/>
            <wp:cNvGraphicFramePr>
              <a:graphicFrameLocks noChangeAspect="1"/>
            </wp:cNvGraphicFramePr>
            <a:graphic>
              <a:graphicData uri="http://schemas.openxmlformats.org/drawingml/2006/picture">
                <pic:pic>
                  <pic:nvPicPr>
                    <pic:cNvPr id="0" name="risk_distribution.png"/>
                    <pic:cNvPicPr/>
                  </pic:nvPicPr>
                  <pic:blipFill>
                    <a:blip r:embed="rId16"/>
                    <a:stretch>
                      <a:fillRect/>
                    </a:stretch>
                  </pic:blipFill>
                  <pic:spPr>
                    <a:xfrm>
                      <a:off x="0" y="0"/>
                      <a:ext cx="5852160" cy="3232004"/>
                    </a:xfrm>
                    <a:prstGeom prst="rect"/>
                  </pic:spPr>
                </pic:pic>
              </a:graphicData>
            </a:graphic>
          </wp:inline>
        </w:drawing>
      </w:r>
    </w:p>
    <w:p>
      <w:pPr>
        <w:pStyle w:val="CaptionSmall"/>
        <w:jc w:val="center"/>
      </w:pPr>
      <w:r>
        <w:t>Figure 7: Risk distribution chart.</w:t>
      </w:r>
    </w:p>
    <w:p>
      <w:pPr>
        <w:jc w:val="center"/>
      </w:pPr>
      <w:r>
        <w:drawing>
          <wp:inline xmlns:a="http://schemas.openxmlformats.org/drawingml/2006/main" xmlns:pic="http://schemas.openxmlformats.org/drawingml/2006/picture">
            <wp:extent cx="5852160" cy="3222824"/>
            <wp:docPr id="9" name="Picture 9"/>
            <wp:cNvGraphicFramePr>
              <a:graphicFrameLocks noChangeAspect="1"/>
            </wp:cNvGraphicFramePr>
            <a:graphic>
              <a:graphicData uri="http://schemas.openxmlformats.org/drawingml/2006/picture">
                <pic:pic>
                  <pic:nvPicPr>
                    <pic:cNvPr id="0" name="support_needs.png"/>
                    <pic:cNvPicPr/>
                  </pic:nvPicPr>
                  <pic:blipFill>
                    <a:blip r:embed="rId17"/>
                    <a:stretch>
                      <a:fillRect/>
                    </a:stretch>
                  </pic:blipFill>
                  <pic:spPr>
                    <a:xfrm>
                      <a:off x="0" y="0"/>
                      <a:ext cx="5852160" cy="3222824"/>
                    </a:xfrm>
                    <a:prstGeom prst="rect"/>
                  </pic:spPr>
                </pic:pic>
              </a:graphicData>
            </a:graphic>
          </wp:inline>
        </w:drawing>
      </w:r>
    </w:p>
    <w:p>
      <w:pPr>
        <w:pStyle w:val="CaptionSmall"/>
        <w:jc w:val="center"/>
      </w:pPr>
      <w:r>
        <w:t>Figure 8: Support needs breakdown.</w:t>
      </w:r>
    </w:p>
    <w:p>
      <w:pPr>
        <w:jc w:val="center"/>
      </w:pPr>
      <w:r>
        <w:drawing>
          <wp:inline xmlns:a="http://schemas.openxmlformats.org/drawingml/2006/main" xmlns:pic="http://schemas.openxmlformats.org/drawingml/2006/picture">
            <wp:extent cx="5303520" cy="4992854"/>
            <wp:docPr id="10" name="Picture 10"/>
            <wp:cNvGraphicFramePr>
              <a:graphicFrameLocks noChangeAspect="1"/>
            </wp:cNvGraphicFramePr>
            <a:graphic>
              <a:graphicData uri="http://schemas.openxmlformats.org/drawingml/2006/picture">
                <pic:pic>
                  <pic:nvPicPr>
                    <pic:cNvPr id="0" name="device_access.png"/>
                    <pic:cNvPicPr/>
                  </pic:nvPicPr>
                  <pic:blipFill>
                    <a:blip r:embed="rId18"/>
                    <a:stretch>
                      <a:fillRect/>
                    </a:stretch>
                  </pic:blipFill>
                  <pic:spPr>
                    <a:xfrm>
                      <a:off x="0" y="0"/>
                      <a:ext cx="5303520" cy="4992854"/>
                    </a:xfrm>
                    <a:prstGeom prst="rect"/>
                  </pic:spPr>
                </pic:pic>
              </a:graphicData>
            </a:graphic>
          </wp:inline>
        </w:drawing>
      </w:r>
    </w:p>
    <w:p>
      <w:pPr>
        <w:pStyle w:val="CaptionSmall"/>
        <w:jc w:val="center"/>
      </w:pPr>
      <w:r>
        <w:t>Figure 9: Device access distribution.</w:t>
      </w:r>
    </w:p>
    <w:p>
      <w:pPr>
        <w:jc w:val="center"/>
      </w:pPr>
      <w:r>
        <w:drawing>
          <wp:inline xmlns:a="http://schemas.openxmlformats.org/drawingml/2006/main" xmlns:pic="http://schemas.openxmlformats.org/drawingml/2006/picture">
            <wp:extent cx="5852160" cy="3229475"/>
            <wp:docPr id="11" name="Picture 11"/>
            <wp:cNvGraphicFramePr>
              <a:graphicFrameLocks noChangeAspect="1"/>
            </wp:cNvGraphicFramePr>
            <a:graphic>
              <a:graphicData uri="http://schemas.openxmlformats.org/drawingml/2006/picture">
                <pic:pic>
                  <pic:nvPicPr>
                    <pic:cNvPr id="0" name="internet_by_province.png"/>
                    <pic:cNvPicPr/>
                  </pic:nvPicPr>
                  <pic:blipFill>
                    <a:blip r:embed="rId19"/>
                    <a:stretch>
                      <a:fillRect/>
                    </a:stretch>
                  </pic:blipFill>
                  <pic:spPr>
                    <a:xfrm>
                      <a:off x="0" y="0"/>
                      <a:ext cx="5852160" cy="3229475"/>
                    </a:xfrm>
                    <a:prstGeom prst="rect"/>
                  </pic:spPr>
                </pic:pic>
              </a:graphicData>
            </a:graphic>
          </wp:inline>
        </w:drawing>
      </w:r>
    </w:p>
    <w:p>
      <w:pPr>
        <w:pStyle w:val="CaptionSmall"/>
        <w:jc w:val="center"/>
      </w:pPr>
      <w:r>
        <w:t>Figure 10: Internet access by province.</w:t>
      </w:r>
    </w:p>
    <w:p>
      <w:pPr>
        <w:jc w:val="center"/>
      </w:pPr>
      <w:r>
        <w:drawing>
          <wp:inline xmlns:a="http://schemas.openxmlformats.org/drawingml/2006/main" xmlns:pic="http://schemas.openxmlformats.org/drawingml/2006/picture">
            <wp:extent cx="5852160" cy="3224806"/>
            <wp:docPr id="12" name="Picture 12"/>
            <wp:cNvGraphicFramePr>
              <a:graphicFrameLocks noChangeAspect="1"/>
            </wp:cNvGraphicFramePr>
            <a:graphic>
              <a:graphicData uri="http://schemas.openxmlformats.org/drawingml/2006/picture">
                <pic:pic>
                  <pic:nvPicPr>
                    <pic:cNvPr id="0" name="confidence_comparison.png"/>
                    <pic:cNvPicPr/>
                  </pic:nvPicPr>
                  <pic:blipFill>
                    <a:blip r:embed="rId20"/>
                    <a:stretch>
                      <a:fillRect/>
                    </a:stretch>
                  </pic:blipFill>
                  <pic:spPr>
                    <a:xfrm>
                      <a:off x="0" y="0"/>
                      <a:ext cx="5852160" cy="3224806"/>
                    </a:xfrm>
                    <a:prstGeom prst="rect"/>
                  </pic:spPr>
                </pic:pic>
              </a:graphicData>
            </a:graphic>
          </wp:inline>
        </w:drawing>
      </w:r>
    </w:p>
    <w:p>
      <w:pPr>
        <w:pStyle w:val="CaptionSmall"/>
        <w:jc w:val="center"/>
      </w:pPr>
      <w:r>
        <w:t>Figure 11: Confidence comparison across digital, programming and AI familiarity.</w:t>
      </w:r>
    </w:p>
    <w:p>
      <w:pPr>
        <w:pStyle w:val="Heading1"/>
        <w:spacing w:before="200" w:after="120"/>
      </w:pPr>
      <w:r>
        <w:t>8. Prototype Description and UX/UI Design</w:t>
      </w:r>
    </w:p>
    <w:p>
      <w:pPr>
        <w:spacing w:after="120" w:line="259" w:lineRule="auto"/>
      </w:pPr>
      <w:r>
        <w:t>The prototype is a full-stack application using a React + TypeScript frontend and an ASP.NET Core Web API backend. The user interface was designed as an academic intelligence dashboard: clean navigation, strong KPI hierarchy, clear risk badges, chart-first insight layout and a responsible-use layer before sensitive actions.</w:t>
      </w:r>
    </w:p>
    <w:p>
      <w:pPr>
        <w:jc w:val="center"/>
      </w:pPr>
      <w:r>
        <w:drawing>
          <wp:inline xmlns:a="http://schemas.openxmlformats.org/drawingml/2006/main" xmlns:pic="http://schemas.openxmlformats.org/drawingml/2006/picture">
            <wp:extent cx="6126480" cy="3446145"/>
            <wp:docPr id="13" name="Picture 13"/>
            <wp:cNvGraphicFramePr>
              <a:graphicFrameLocks noChangeAspect="1"/>
            </wp:cNvGraphicFramePr>
            <a:graphic>
              <a:graphicData uri="http://schemas.openxmlformats.org/drawingml/2006/picture">
                <pic:pic>
                  <pic:nvPicPr>
                    <pic:cNvPr id="0" name="solution_architecture.png"/>
                    <pic:cNvPicPr/>
                  </pic:nvPicPr>
                  <pic:blipFill>
                    <a:blip r:embed="rId21"/>
                    <a:stretch>
                      <a:fillRect/>
                    </a:stretch>
                  </pic:blipFill>
                  <pic:spPr>
                    <a:xfrm>
                      <a:off x="0" y="0"/>
                      <a:ext cx="6126480" cy="3446145"/>
                    </a:xfrm>
                    <a:prstGeom prst="rect"/>
                  </pic:spPr>
                </pic:pic>
              </a:graphicData>
            </a:graphic>
          </wp:inline>
        </w:drawing>
      </w:r>
    </w:p>
    <w:p>
      <w:pPr>
        <w:pStyle w:val="CaptionSmall"/>
        <w:jc w:val="center"/>
      </w:pPr>
      <w:r>
        <w:t>Figure 12: Full-stack solution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0F766E"/>
            <w:vAlign w:val="center"/>
          </w:tcPr>
          <w:p>
            <w:r/>
            <w:r>
              <w:rPr>
                <w:b/>
                <w:color w:val="FFFFFF"/>
                <w:sz w:val="18"/>
              </w:rPr>
              <w:t>Feature</w:t>
            </w:r>
          </w:p>
        </w:tc>
        <w:tc>
          <w:tcPr>
            <w:tcW w:type="dxa" w:w="4032"/>
            <w:shd w:fill="0F766E"/>
            <w:vAlign w:val="center"/>
          </w:tcPr>
          <w:p>
            <w:r/>
            <w:r>
              <w:rPr>
                <w:b/>
                <w:color w:val="FFFFFF"/>
                <w:sz w:val="18"/>
              </w:rPr>
              <w:t>Implementation evidence</w:t>
            </w:r>
          </w:p>
        </w:tc>
        <w:tc>
          <w:tcPr>
            <w:tcW w:type="dxa" w:w="3456"/>
            <w:shd w:fill="0F766E"/>
            <w:vAlign w:val="center"/>
          </w:tcPr>
          <w:p>
            <w:r/>
            <w:r>
              <w:rPr>
                <w:b/>
                <w:color w:val="FFFFFF"/>
                <w:sz w:val="18"/>
              </w:rPr>
              <w:t>User value</w:t>
            </w:r>
          </w:p>
        </w:tc>
      </w:tr>
      <w:tr>
        <w:tc>
          <w:tcPr>
            <w:tcW w:type="dxa" w:w="2448"/>
            <w:vAlign w:val="center"/>
          </w:tcPr>
          <w:p>
            <w:r/>
            <w:r>
              <w:rPr>
                <w:b w:val="0"/>
                <w:color w:val="000000"/>
                <w:sz w:val="18"/>
              </w:rPr>
              <w:t>CSV upload</w:t>
            </w:r>
          </w:p>
        </w:tc>
        <w:tc>
          <w:tcPr>
            <w:tcW w:type="dxa" w:w="4032"/>
            <w:vAlign w:val="center"/>
          </w:tcPr>
          <w:p>
            <w:r/>
            <w:r>
              <w:rPr>
                <w:b w:val="0"/>
                <w:color w:val="000000"/>
                <w:sz w:val="18"/>
              </w:rPr>
              <w:t>POST /api/learners/upload and upload validation UI.</w:t>
            </w:r>
          </w:p>
        </w:tc>
        <w:tc>
          <w:tcPr>
            <w:tcW w:type="dxa" w:w="3456"/>
            <w:vAlign w:val="center"/>
          </w:tcPr>
          <w:p>
            <w:r/>
            <w:r>
              <w:rPr>
                <w:b w:val="0"/>
                <w:color w:val="000000"/>
                <w:sz w:val="18"/>
              </w:rPr>
              <w:t>Fast import of learner survey records.</w:t>
            </w:r>
          </w:p>
        </w:tc>
      </w:tr>
      <w:tr>
        <w:tc>
          <w:tcPr>
            <w:tcW w:type="dxa" w:w="2448"/>
            <w:vAlign w:val="center"/>
          </w:tcPr>
          <w:p>
            <w:r/>
            <w:r>
              <w:rPr>
                <w:b w:val="0"/>
                <w:color w:val="000000"/>
                <w:sz w:val="18"/>
              </w:rPr>
              <w:t>Manual learner entry</w:t>
            </w:r>
          </w:p>
        </w:tc>
        <w:tc>
          <w:tcPr>
            <w:tcW w:type="dxa" w:w="4032"/>
            <w:vAlign w:val="center"/>
          </w:tcPr>
          <w:p>
            <w:r/>
            <w:r>
              <w:rPr>
                <w:b w:val="0"/>
                <w:color w:val="000000"/>
                <w:sz w:val="18"/>
              </w:rPr>
              <w:t>Form with inline validation.</w:t>
            </w:r>
          </w:p>
        </w:tc>
        <w:tc>
          <w:tcPr>
            <w:tcW w:type="dxa" w:w="3456"/>
            <w:vAlign w:val="center"/>
          </w:tcPr>
          <w:p>
            <w:r/>
            <w:r>
              <w:rPr>
                <w:b w:val="0"/>
                <w:color w:val="000000"/>
                <w:sz w:val="18"/>
              </w:rPr>
              <w:t>Allows small corrections or direct capture.</w:t>
            </w:r>
          </w:p>
        </w:tc>
      </w:tr>
      <w:tr>
        <w:tc>
          <w:tcPr>
            <w:tcW w:type="dxa" w:w="2448"/>
            <w:vAlign w:val="center"/>
          </w:tcPr>
          <w:p>
            <w:r/>
            <w:r>
              <w:rPr>
                <w:b w:val="0"/>
                <w:color w:val="000000"/>
                <w:sz w:val="18"/>
              </w:rPr>
              <w:t>Dashboard KPIs</w:t>
            </w:r>
          </w:p>
        </w:tc>
        <w:tc>
          <w:tcPr>
            <w:tcW w:type="dxa" w:w="4032"/>
            <w:vAlign w:val="center"/>
          </w:tcPr>
          <w:p>
            <w:r/>
            <w:r>
              <w:rPr>
                <w:b w:val="0"/>
                <w:color w:val="000000"/>
                <w:sz w:val="18"/>
              </w:rPr>
              <w:t>DashboardSummaryDto and frontend KPI cards.</w:t>
            </w:r>
          </w:p>
        </w:tc>
        <w:tc>
          <w:tcPr>
            <w:tcW w:type="dxa" w:w="3456"/>
            <w:vAlign w:val="center"/>
          </w:tcPr>
          <w:p>
            <w:r/>
            <w:r>
              <w:rPr>
                <w:b w:val="0"/>
                <w:color w:val="000000"/>
                <w:sz w:val="18"/>
              </w:rPr>
              <w:t>Programme-level decision support.</w:t>
            </w:r>
          </w:p>
        </w:tc>
      </w:tr>
      <w:tr>
        <w:tc>
          <w:tcPr>
            <w:tcW w:type="dxa" w:w="2448"/>
            <w:vAlign w:val="center"/>
          </w:tcPr>
          <w:p>
            <w:r/>
            <w:r>
              <w:rPr>
                <w:b w:val="0"/>
                <w:color w:val="000000"/>
                <w:sz w:val="18"/>
              </w:rPr>
              <w:t>Five visualisations</w:t>
            </w:r>
          </w:p>
        </w:tc>
        <w:tc>
          <w:tcPr>
            <w:tcW w:type="dxa" w:w="4032"/>
            <w:vAlign w:val="center"/>
          </w:tcPr>
          <w:p>
            <w:r/>
            <w:r>
              <w:rPr>
                <w:b w:val="0"/>
                <w:color w:val="000000"/>
                <w:sz w:val="18"/>
              </w:rPr>
              <w:t>Recharts and dashboard aggregates.</w:t>
            </w:r>
          </w:p>
        </w:tc>
        <w:tc>
          <w:tcPr>
            <w:tcW w:type="dxa" w:w="3456"/>
            <w:vAlign w:val="center"/>
          </w:tcPr>
          <w:p>
            <w:r/>
            <w:r>
              <w:rPr>
                <w:b w:val="0"/>
                <w:color w:val="000000"/>
                <w:sz w:val="18"/>
              </w:rPr>
              <w:t>Pattern recognition for support planning.</w:t>
            </w:r>
          </w:p>
        </w:tc>
      </w:tr>
      <w:tr>
        <w:tc>
          <w:tcPr>
            <w:tcW w:type="dxa" w:w="2448"/>
            <w:vAlign w:val="center"/>
          </w:tcPr>
          <w:p>
            <w:r/>
            <w:r>
              <w:rPr>
                <w:b w:val="0"/>
                <w:color w:val="000000"/>
                <w:sz w:val="18"/>
              </w:rPr>
              <w:t>Risk scoring</w:t>
            </w:r>
          </w:p>
        </w:tc>
        <w:tc>
          <w:tcPr>
            <w:tcW w:type="dxa" w:w="4032"/>
            <w:vAlign w:val="center"/>
          </w:tcPr>
          <w:p>
            <w:r/>
            <w:r>
              <w:rPr>
                <w:b w:val="0"/>
                <w:color w:val="000000"/>
                <w:sz w:val="18"/>
              </w:rPr>
              <w:t>InsightsService weighted scoring.</w:t>
            </w:r>
          </w:p>
        </w:tc>
        <w:tc>
          <w:tcPr>
            <w:tcW w:type="dxa" w:w="3456"/>
            <w:vAlign w:val="center"/>
          </w:tcPr>
          <w:p>
            <w:r/>
            <w:r>
              <w:rPr>
                <w:b w:val="0"/>
                <w:color w:val="000000"/>
                <w:sz w:val="18"/>
              </w:rPr>
              <w:t>Prioritised human review.</w:t>
            </w:r>
          </w:p>
        </w:tc>
      </w:tr>
      <w:tr>
        <w:tc>
          <w:tcPr>
            <w:tcW w:type="dxa" w:w="2448"/>
            <w:vAlign w:val="center"/>
          </w:tcPr>
          <w:p>
            <w:r/>
            <w:r>
              <w:rPr>
                <w:b w:val="0"/>
                <w:color w:val="000000"/>
                <w:sz w:val="18"/>
              </w:rPr>
              <w:t>Recommendations</w:t>
            </w:r>
          </w:p>
        </w:tc>
        <w:tc>
          <w:tcPr>
            <w:tcW w:type="dxa" w:w="4032"/>
            <w:vAlign w:val="center"/>
          </w:tcPr>
          <w:p>
            <w:r/>
            <w:r>
              <w:rPr>
                <w:b w:val="0"/>
                <w:color w:val="000000"/>
                <w:sz w:val="18"/>
              </w:rPr>
              <w:t>Recommendation API and cards.</w:t>
            </w:r>
          </w:p>
        </w:tc>
        <w:tc>
          <w:tcPr>
            <w:tcW w:type="dxa" w:w="3456"/>
            <w:vAlign w:val="center"/>
          </w:tcPr>
          <w:p>
            <w:r/>
            <w:r>
              <w:rPr>
                <w:b w:val="0"/>
                <w:color w:val="000000"/>
                <w:sz w:val="18"/>
              </w:rPr>
              <w:t>Practical programme actions.</w:t>
            </w:r>
          </w:p>
        </w:tc>
      </w:tr>
      <w:tr>
        <w:tc>
          <w:tcPr>
            <w:tcW w:type="dxa" w:w="2448"/>
            <w:vAlign w:val="center"/>
          </w:tcPr>
          <w:p>
            <w:r/>
            <w:r>
              <w:rPr>
                <w:b w:val="0"/>
                <w:color w:val="000000"/>
                <w:sz w:val="18"/>
              </w:rPr>
              <w:t>Ethics declaration</w:t>
            </w:r>
          </w:p>
        </w:tc>
        <w:tc>
          <w:tcPr>
            <w:tcW w:type="dxa" w:w="4032"/>
            <w:vAlign w:val="center"/>
          </w:tcPr>
          <w:p>
            <w:r/>
            <w:r>
              <w:rPr>
                <w:b w:val="0"/>
                <w:color w:val="000000"/>
                <w:sz w:val="18"/>
              </w:rPr>
              <w:t>Frontend modal and ethics endpoint.</w:t>
            </w:r>
          </w:p>
        </w:tc>
        <w:tc>
          <w:tcPr>
            <w:tcW w:type="dxa" w:w="3456"/>
            <w:vAlign w:val="center"/>
          </w:tcPr>
          <w:p>
            <w:r/>
            <w:r>
              <w:rPr>
                <w:b w:val="0"/>
                <w:color w:val="000000"/>
                <w:sz w:val="18"/>
              </w:rPr>
              <w:t>Reinforces responsible data use.</w:t>
            </w:r>
          </w:p>
        </w:tc>
      </w:tr>
      <w:tr>
        <w:tc>
          <w:tcPr>
            <w:tcW w:type="dxa" w:w="2448"/>
            <w:vAlign w:val="center"/>
          </w:tcPr>
          <w:p>
            <w:r/>
            <w:r>
              <w:rPr>
                <w:b w:val="0"/>
                <w:color w:val="000000"/>
                <w:sz w:val="18"/>
              </w:rPr>
              <w:t>Export</w:t>
            </w:r>
          </w:p>
        </w:tc>
        <w:tc>
          <w:tcPr>
            <w:tcW w:type="dxa" w:w="4032"/>
            <w:vAlign w:val="center"/>
          </w:tcPr>
          <w:p>
            <w:r/>
            <w:r>
              <w:rPr>
                <w:b w:val="0"/>
                <w:color w:val="000000"/>
                <w:sz w:val="18"/>
              </w:rPr>
              <w:t>CSV export endpoint.</w:t>
            </w:r>
          </w:p>
        </w:tc>
        <w:tc>
          <w:tcPr>
            <w:tcW w:type="dxa" w:w="3456"/>
            <w:vAlign w:val="center"/>
          </w:tcPr>
          <w:p>
            <w:r/>
            <w:r>
              <w:rPr>
                <w:b w:val="0"/>
                <w:color w:val="000000"/>
                <w:sz w:val="18"/>
              </w:rPr>
              <w:t>Supports reporting and evidence sharing.</w:t>
            </w:r>
          </w:p>
        </w:tc>
      </w:tr>
    </w:tbl>
    <w:p/>
    <w:p>
      <w:pPr>
        <w:pStyle w:val="Heading2"/>
        <w:spacing w:before="200" w:after="120"/>
      </w:pPr>
      <w:r>
        <w:t>UX/UI Design Decisions</w:t>
      </w:r>
    </w:p>
    <w:p>
      <w:pPr>
        <w:pStyle w:val="ListBullet"/>
        <w:spacing w:after="60"/>
      </w:pPr>
      <w:r>
        <w:t>High-level KPI cards appear first because programme staff need a quick operational summary.</w:t>
      </w:r>
    </w:p>
    <w:p>
      <w:pPr>
        <w:pStyle w:val="ListBullet"/>
        <w:spacing w:after="60"/>
      </w:pPr>
      <w:r>
        <w:t>Risk categories use visual priority styling to support fast interpretation.</w:t>
      </w:r>
    </w:p>
    <w:p>
      <w:pPr>
        <w:pStyle w:val="ListBullet"/>
        <w:spacing w:after="60"/>
      </w:pPr>
      <w:r>
        <w:t>Charts are grouped by learner risk, support demand, device access, internet access and confidence trends.</w:t>
      </w:r>
    </w:p>
    <w:p>
      <w:pPr>
        <w:pStyle w:val="ListBullet"/>
        <w:spacing w:after="60"/>
      </w:pPr>
      <w:r>
        <w:t>The risk table exposes reason codes so users can understand why a learner was flagged.</w:t>
      </w:r>
    </w:p>
    <w:p>
      <w:pPr>
        <w:pStyle w:val="ListBullet"/>
        <w:spacing w:after="60"/>
      </w:pPr>
      <w:r>
        <w:t>Ethics and privacy messages are placed inside the workflow rather than hidden in documentation.</w:t>
      </w:r>
    </w:p>
    <w:p>
      <w:pPr>
        <w:pStyle w:val="ListBullet"/>
        <w:spacing w:after="60"/>
      </w:pPr>
      <w:r>
        <w:t>Help and settings views support usability during assessor demonstration.</w:t>
      </w:r>
    </w:p>
    <w:p>
      <w:pPr>
        <w:jc w:val="center"/>
      </w:pPr>
      <w:r>
        <w:drawing>
          <wp:inline xmlns:a="http://schemas.openxmlformats.org/drawingml/2006/main" xmlns:pic="http://schemas.openxmlformats.org/drawingml/2006/picture">
            <wp:extent cx="6126480" cy="11379369"/>
            <wp:docPr id="14" name="Picture 14"/>
            <wp:cNvGraphicFramePr>
              <a:graphicFrameLocks noChangeAspect="1"/>
            </wp:cNvGraphicFramePr>
            <a:graphic>
              <a:graphicData uri="http://schemas.openxmlformats.org/drawingml/2006/picture">
                <pic:pic>
                  <pic:nvPicPr>
                    <pic:cNvPr id="0" name="risk-table.png"/>
                    <pic:cNvPicPr/>
                  </pic:nvPicPr>
                  <pic:blipFill>
                    <a:blip r:embed="rId22"/>
                    <a:stretch>
                      <a:fillRect/>
                    </a:stretch>
                  </pic:blipFill>
                  <pic:spPr>
                    <a:xfrm>
                      <a:off x="0" y="0"/>
                      <a:ext cx="6126480" cy="11379369"/>
                    </a:xfrm>
                    <a:prstGeom prst="rect"/>
                  </pic:spPr>
                </pic:pic>
              </a:graphicData>
            </a:graphic>
          </wp:inline>
        </w:drawing>
      </w:r>
    </w:p>
    <w:p>
      <w:pPr>
        <w:pStyle w:val="CaptionSmall"/>
        <w:jc w:val="center"/>
      </w:pPr>
      <w:r>
        <w:t>Figure 13: Learner risk review table with score, priority and reason codes.</w:t>
      </w:r>
    </w:p>
    <w:p>
      <w:pPr>
        <w:jc w:val="center"/>
      </w:pPr>
      <w:r>
        <w:drawing>
          <wp:inline xmlns:a="http://schemas.openxmlformats.org/drawingml/2006/main" xmlns:pic="http://schemas.openxmlformats.org/drawingml/2006/picture">
            <wp:extent cx="6126480" cy="5407470"/>
            <wp:docPr id="15" name="Picture 15"/>
            <wp:cNvGraphicFramePr>
              <a:graphicFrameLocks noChangeAspect="1"/>
            </wp:cNvGraphicFramePr>
            <a:graphic>
              <a:graphicData uri="http://schemas.openxmlformats.org/drawingml/2006/picture">
                <pic:pic>
                  <pic:nvPicPr>
                    <pic:cNvPr id="0" name="recommendations-ethics.png"/>
                    <pic:cNvPicPr/>
                  </pic:nvPicPr>
                  <pic:blipFill>
                    <a:blip r:embed="rId23"/>
                    <a:stretch>
                      <a:fillRect/>
                    </a:stretch>
                  </pic:blipFill>
                  <pic:spPr>
                    <a:xfrm>
                      <a:off x="0" y="0"/>
                      <a:ext cx="6126480" cy="5407470"/>
                    </a:xfrm>
                    <a:prstGeom prst="rect"/>
                  </pic:spPr>
                </pic:pic>
              </a:graphicData>
            </a:graphic>
          </wp:inline>
        </w:drawing>
      </w:r>
    </w:p>
    <w:p>
      <w:pPr>
        <w:pStyle w:val="CaptionSmall"/>
        <w:jc w:val="center"/>
      </w:pPr>
      <w:r>
        <w:t>Figure 14: Recommendation and ethics evidence panel.</w:t>
      </w:r>
    </w:p>
    <w:p>
      <w:pPr>
        <w:jc w:val="center"/>
      </w:pPr>
      <w:r>
        <w:drawing>
          <wp:inline xmlns:a="http://schemas.openxmlformats.org/drawingml/2006/main" xmlns:pic="http://schemas.openxmlformats.org/drawingml/2006/picture">
            <wp:extent cx="6126480" cy="1601621"/>
            <wp:docPr id="16" name="Picture 16"/>
            <wp:cNvGraphicFramePr>
              <a:graphicFrameLocks noChangeAspect="1"/>
            </wp:cNvGraphicFramePr>
            <a:graphic>
              <a:graphicData uri="http://schemas.openxmlformats.org/drawingml/2006/picture">
                <pic:pic>
                  <pic:nvPicPr>
                    <pic:cNvPr id="0" name="manual-form-validation.png"/>
                    <pic:cNvPicPr/>
                  </pic:nvPicPr>
                  <pic:blipFill>
                    <a:blip r:embed="rId24"/>
                    <a:stretch>
                      <a:fillRect/>
                    </a:stretch>
                  </pic:blipFill>
                  <pic:spPr>
                    <a:xfrm>
                      <a:off x="0" y="0"/>
                      <a:ext cx="6126480" cy="1601621"/>
                    </a:xfrm>
                    <a:prstGeom prst="rect"/>
                  </pic:spPr>
                </pic:pic>
              </a:graphicData>
            </a:graphic>
          </wp:inline>
        </w:drawing>
      </w:r>
    </w:p>
    <w:p>
      <w:pPr>
        <w:pStyle w:val="CaptionSmall"/>
        <w:jc w:val="center"/>
      </w:pPr>
      <w:r>
        <w:t>Figure 15: Manual form validation evidence.</w:t>
      </w:r>
    </w:p>
    <w:p>
      <w:pPr>
        <w:pStyle w:val="Heading1"/>
        <w:spacing w:before="200" w:after="120"/>
      </w:pPr>
      <w:r>
        <w:t>9. AI, Data Ethics and Privacy Review</w:t>
      </w:r>
    </w:p>
    <w:p>
      <w:pPr>
        <w:spacing w:after="120" w:line="259" w:lineRule="auto"/>
      </w:pPr>
      <w:r>
        <w:t>The prototype uses explainable, rule-based decision support. It is AI-enabled in the sense that it interprets support indicators and generates structured recommendations, but it does not make final decisions about learners. This distinction is important because learner support data can influence how staff perceive learners.</w:t>
      </w:r>
    </w:p>
    <w:p>
      <w:pPr>
        <w:pStyle w:val="Heading2"/>
        <w:spacing w:before="200" w:after="120"/>
      </w:pPr>
      <w:r>
        <w:t>Data Sensitivity</w:t>
      </w:r>
    </w:p>
    <w:p>
      <w:pPr>
        <w:spacing w:after="120" w:line="259" w:lineRule="auto"/>
      </w:pPr>
      <w:r>
        <w:t>The prototype avoids names, identity numbers, phone numbers, home addresses and unnecessary direct identifiers. However, support indicators such as attendance risk, internet access, device access and confidence scores are still sensitive because they can affect learner support decisions.</w:t>
      </w:r>
    </w:p>
    <w:p>
      <w:pPr>
        <w:pStyle w:val="Heading2"/>
        <w:spacing w:before="200" w:after="120"/>
      </w:pPr>
      <w:r>
        <w:t>Responsible-Use Principles</w:t>
      </w:r>
    </w:p>
    <w:tbl>
      <w:tblPr>
        <w:tblStyle w:val="TableGrid"/>
        <w:tblW w:type="auto" w:w="0"/>
        <w:jc w:val="center"/>
        <w:tblLook w:firstColumn="1" w:firstRow="1" w:lastColumn="0" w:lastRow="0" w:noHBand="0" w:noVBand="1" w:val="04A0"/>
      </w:tblPr>
      <w:tblGrid>
        <w:gridCol w:w="5112"/>
        <w:gridCol w:w="5112"/>
      </w:tblGrid>
      <w:tr>
        <w:tc>
          <w:tcPr>
            <w:tcW w:type="dxa" w:w="2592"/>
            <w:shd w:fill="1E3A8A"/>
            <w:vAlign w:val="center"/>
          </w:tcPr>
          <w:p>
            <w:r/>
            <w:r>
              <w:rPr>
                <w:b/>
                <w:color w:val="FFFFFF"/>
                <w:sz w:val="18"/>
              </w:rPr>
              <w:t>Principle</w:t>
            </w:r>
          </w:p>
        </w:tc>
        <w:tc>
          <w:tcPr>
            <w:tcW w:type="dxa" w:w="7200"/>
            <w:shd w:fill="1E3A8A"/>
            <w:vAlign w:val="center"/>
          </w:tcPr>
          <w:p>
            <w:r/>
            <w:r>
              <w:rPr>
                <w:b/>
                <w:color w:val="FFFFFF"/>
                <w:sz w:val="18"/>
              </w:rPr>
              <w:t>Application in the prototype</w:t>
            </w:r>
          </w:p>
        </w:tc>
      </w:tr>
      <w:tr>
        <w:tc>
          <w:tcPr>
            <w:tcW w:type="dxa" w:w="2592"/>
            <w:vAlign w:val="center"/>
          </w:tcPr>
          <w:p>
            <w:r/>
            <w:r>
              <w:rPr>
                <w:b w:val="0"/>
                <w:color w:val="000000"/>
                <w:sz w:val="18"/>
              </w:rPr>
              <w:t>Purpose limitation</w:t>
            </w:r>
          </w:p>
        </w:tc>
        <w:tc>
          <w:tcPr>
            <w:tcW w:type="dxa" w:w="7200"/>
            <w:vAlign w:val="center"/>
          </w:tcPr>
          <w:p>
            <w:r/>
            <w:r>
              <w:rPr>
                <w:b w:val="0"/>
                <w:color w:val="000000"/>
                <w:sz w:val="18"/>
              </w:rPr>
              <w:t>Data is used only for learner support planning and programme improvement.</w:t>
            </w:r>
          </w:p>
        </w:tc>
      </w:tr>
      <w:tr>
        <w:tc>
          <w:tcPr>
            <w:tcW w:type="dxa" w:w="2592"/>
            <w:vAlign w:val="center"/>
          </w:tcPr>
          <w:p>
            <w:r/>
            <w:r>
              <w:rPr>
                <w:b w:val="0"/>
                <w:color w:val="000000"/>
                <w:sz w:val="18"/>
              </w:rPr>
              <w:t>Data minimisation</w:t>
            </w:r>
          </w:p>
        </w:tc>
        <w:tc>
          <w:tcPr>
            <w:tcW w:type="dxa" w:w="7200"/>
            <w:vAlign w:val="center"/>
          </w:tcPr>
          <w:p>
            <w:r/>
            <w:r>
              <w:rPr>
                <w:b w:val="0"/>
                <w:color w:val="000000"/>
                <w:sz w:val="18"/>
              </w:rPr>
              <w:t>The dataset avoids direct personal identifiers.</w:t>
            </w:r>
          </w:p>
        </w:tc>
      </w:tr>
      <w:tr>
        <w:tc>
          <w:tcPr>
            <w:tcW w:type="dxa" w:w="2592"/>
            <w:vAlign w:val="center"/>
          </w:tcPr>
          <w:p>
            <w:r/>
            <w:r>
              <w:rPr>
                <w:b w:val="0"/>
                <w:color w:val="000000"/>
                <w:sz w:val="18"/>
              </w:rPr>
              <w:t>Transparency</w:t>
            </w:r>
          </w:p>
        </w:tc>
        <w:tc>
          <w:tcPr>
            <w:tcW w:type="dxa" w:w="7200"/>
            <w:vAlign w:val="center"/>
          </w:tcPr>
          <w:p>
            <w:r/>
            <w:r>
              <w:rPr>
                <w:b w:val="0"/>
                <w:color w:val="000000"/>
                <w:sz w:val="18"/>
              </w:rPr>
              <w:t>Risk reason codes explain why a learner is flagged.</w:t>
            </w:r>
          </w:p>
        </w:tc>
      </w:tr>
      <w:tr>
        <w:tc>
          <w:tcPr>
            <w:tcW w:type="dxa" w:w="2592"/>
            <w:vAlign w:val="center"/>
          </w:tcPr>
          <w:p>
            <w:r/>
            <w:r>
              <w:rPr>
                <w:b w:val="0"/>
                <w:color w:val="000000"/>
                <w:sz w:val="18"/>
              </w:rPr>
              <w:t>Fairness</w:t>
            </w:r>
          </w:p>
        </w:tc>
        <w:tc>
          <w:tcPr>
            <w:tcW w:type="dxa" w:w="7200"/>
            <w:vAlign w:val="center"/>
          </w:tcPr>
          <w:p>
            <w:r/>
            <w:r>
              <w:rPr>
                <w:b w:val="0"/>
                <w:color w:val="000000"/>
                <w:sz w:val="18"/>
              </w:rPr>
              <w:t>Access barriers are treated as resource needs, not learner weakness.</w:t>
            </w:r>
          </w:p>
        </w:tc>
      </w:tr>
      <w:tr>
        <w:tc>
          <w:tcPr>
            <w:tcW w:type="dxa" w:w="2592"/>
            <w:vAlign w:val="center"/>
          </w:tcPr>
          <w:p>
            <w:r/>
            <w:r>
              <w:rPr>
                <w:b w:val="0"/>
                <w:color w:val="000000"/>
                <w:sz w:val="18"/>
              </w:rPr>
              <w:t>Human review</w:t>
            </w:r>
          </w:p>
        </w:tc>
        <w:tc>
          <w:tcPr>
            <w:tcW w:type="dxa" w:w="7200"/>
            <w:vAlign w:val="center"/>
          </w:tcPr>
          <w:p>
            <w:r/>
            <w:r>
              <w:rPr>
                <w:b w:val="0"/>
                <w:color w:val="000000"/>
                <w:sz w:val="18"/>
              </w:rPr>
              <w:t>Staff must review context before acting on flags or recommendations.</w:t>
            </w:r>
          </w:p>
        </w:tc>
      </w:tr>
      <w:tr>
        <w:tc>
          <w:tcPr>
            <w:tcW w:type="dxa" w:w="2592"/>
            <w:vAlign w:val="center"/>
          </w:tcPr>
          <w:p>
            <w:r/>
            <w:r>
              <w:rPr>
                <w:b w:val="0"/>
                <w:color w:val="000000"/>
                <w:sz w:val="18"/>
              </w:rPr>
              <w:t>Harm prevention</w:t>
            </w:r>
          </w:p>
        </w:tc>
        <w:tc>
          <w:tcPr>
            <w:tcW w:type="dxa" w:w="7200"/>
            <w:vAlign w:val="center"/>
          </w:tcPr>
          <w:p>
            <w:r/>
            <w:r>
              <w:rPr>
                <w:b w:val="0"/>
                <w:color w:val="000000"/>
                <w:sz w:val="18"/>
              </w:rPr>
              <w:t>The tool must not be used for exclusion, discipline, funding or progression decisions.</w:t>
            </w:r>
          </w:p>
        </w:tc>
      </w:tr>
      <w:tr>
        <w:tc>
          <w:tcPr>
            <w:tcW w:type="dxa" w:w="2592"/>
            <w:vAlign w:val="center"/>
          </w:tcPr>
          <w:p>
            <w:r/>
            <w:r>
              <w:rPr>
                <w:b w:val="0"/>
                <w:color w:val="000000"/>
                <w:sz w:val="18"/>
              </w:rPr>
              <w:t>Retention control</w:t>
            </w:r>
          </w:p>
        </w:tc>
        <w:tc>
          <w:tcPr>
            <w:tcW w:type="dxa" w:w="7200"/>
            <w:vAlign w:val="center"/>
          </w:tcPr>
          <w:p>
            <w:r/>
            <w:r>
              <w:rPr>
                <w:b w:val="0"/>
                <w:color w:val="000000"/>
                <w:sz w:val="18"/>
              </w:rPr>
              <w:t>Prototype data should be kept only for the assessment period or approved support cycle.</w:t>
            </w:r>
          </w:p>
        </w:tc>
      </w:tr>
      <w:tr>
        <w:tc>
          <w:tcPr>
            <w:tcW w:type="dxa" w:w="2592"/>
            <w:vAlign w:val="center"/>
          </w:tcPr>
          <w:p>
            <w:r/>
            <w:r>
              <w:rPr>
                <w:b w:val="0"/>
                <w:color w:val="000000"/>
                <w:sz w:val="18"/>
              </w:rPr>
              <w:t>Security</w:t>
            </w:r>
          </w:p>
        </w:tc>
        <w:tc>
          <w:tcPr>
            <w:tcW w:type="dxa" w:w="7200"/>
            <w:vAlign w:val="center"/>
          </w:tcPr>
          <w:p>
            <w:r/>
            <w:r>
              <w:rPr>
                <w:b w:val="0"/>
                <w:color w:val="000000"/>
                <w:sz w:val="18"/>
              </w:rPr>
              <w:t>Live deployment would require authentication, access control, audit logging and secure storage.</w:t>
            </w:r>
          </w:p>
        </w:tc>
      </w:tr>
    </w:tbl>
    <w:p/>
    <w:p>
      <w:pPr>
        <w:pStyle w:val="Heading2"/>
        <w:spacing w:before="200" w:after="120"/>
      </w:pPr>
      <w:r>
        <w:t>Human Review Workflow</w:t>
      </w:r>
    </w:p>
    <w:p>
      <w:pPr>
        <w:pStyle w:val="ListNumber"/>
        <w:spacing w:after="60"/>
      </w:pPr>
      <w:r>
        <w:t>Check whether the uploaded learner data is complete and valid.</w:t>
      </w:r>
    </w:p>
    <w:p>
      <w:pPr>
        <w:pStyle w:val="ListNumber"/>
        <w:spacing w:after="60"/>
      </w:pPr>
      <w:r>
        <w:t>Review the learner risk score, support need and reason codes.</w:t>
      </w:r>
    </w:p>
    <w:p>
      <w:pPr>
        <w:pStyle w:val="ListNumber"/>
        <w:spacing w:after="60"/>
      </w:pPr>
      <w:r>
        <w:t>Compare the dashboard signal with facilitator observations and learner context.</w:t>
      </w:r>
    </w:p>
    <w:p>
      <w:pPr>
        <w:pStyle w:val="ListNumber"/>
        <w:spacing w:after="60"/>
      </w:pPr>
      <w:r>
        <w:t>Choose a proportionate support action such as data support, mentoring or academic clinic referral.</w:t>
      </w:r>
    </w:p>
    <w:p>
      <w:pPr>
        <w:pStyle w:val="ListNumber"/>
        <w:spacing w:after="60"/>
      </w:pPr>
      <w:r>
        <w:t>Record the decision and follow-up date for accountability.</w:t>
      </w:r>
    </w:p>
    <w:p>
      <w:pPr>
        <w:pStyle w:val="ListNumber"/>
        <w:spacing w:after="60"/>
      </w:pPr>
      <w:r>
        <w:t>Review whether the support action improved learner participation or confidence.</w:t>
      </w:r>
    </w:p>
    <w:p>
      <w:pPr>
        <w:jc w:val="center"/>
      </w:pPr>
      <w:r>
        <w:drawing>
          <wp:inline xmlns:a="http://schemas.openxmlformats.org/drawingml/2006/main" xmlns:pic="http://schemas.openxmlformats.org/drawingml/2006/picture">
            <wp:extent cx="6126480" cy="10751527"/>
            <wp:docPr id="17" name="Picture 17"/>
            <wp:cNvGraphicFramePr>
              <a:graphicFrameLocks noChangeAspect="1"/>
            </wp:cNvGraphicFramePr>
            <a:graphic>
              <a:graphicData uri="http://schemas.openxmlformats.org/drawingml/2006/picture">
                <pic:pic>
                  <pic:nvPicPr>
                    <pic:cNvPr id="0" name="academic-interface-reference.png"/>
                    <pic:cNvPicPr/>
                  </pic:nvPicPr>
                  <pic:blipFill>
                    <a:blip r:embed="rId25"/>
                    <a:stretch>
                      <a:fillRect/>
                    </a:stretch>
                  </pic:blipFill>
                  <pic:spPr>
                    <a:xfrm>
                      <a:off x="0" y="0"/>
                      <a:ext cx="6126480" cy="10751527"/>
                    </a:xfrm>
                    <a:prstGeom prst="rect"/>
                  </pic:spPr>
                </pic:pic>
              </a:graphicData>
            </a:graphic>
          </wp:inline>
        </w:drawing>
      </w:r>
    </w:p>
    <w:p>
      <w:pPr>
        <w:pStyle w:val="CaptionSmall"/>
        <w:jc w:val="center"/>
      </w:pPr>
      <w:r>
        <w:t>Figure 16: Academic interface reference used to guide the responsible staff-facing design.</w:t>
      </w:r>
    </w:p>
    <w:p>
      <w:pPr>
        <w:pStyle w:val="Heading1"/>
        <w:spacing w:before="200" w:after="120"/>
      </w:pPr>
      <w:r>
        <w:t>10. Methods, Tools and Development Approach</w:t>
      </w:r>
    </w:p>
    <w:p>
      <w:pPr>
        <w:spacing w:after="120" w:line="259" w:lineRule="auto"/>
      </w:pPr>
      <w:r>
        <w:t>Development followed a staged delivery approach aligned with the assignment plan. The work moved from problem understanding and process modelling into data preparation, prototype build, dashboard development, risk logic, ethics review, testing and evidence packaging.</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0F766E"/>
            <w:vAlign w:val="center"/>
          </w:tcPr>
          <w:p>
            <w:r/>
            <w:r>
              <w:rPr>
                <w:b/>
                <w:color w:val="FFFFFF"/>
                <w:sz w:val="18"/>
              </w:rPr>
              <w:t>Area</w:t>
            </w:r>
          </w:p>
        </w:tc>
        <w:tc>
          <w:tcPr>
            <w:tcW w:type="dxa" w:w="3168"/>
            <w:shd w:fill="0F766E"/>
            <w:vAlign w:val="center"/>
          </w:tcPr>
          <w:p>
            <w:r/>
            <w:r>
              <w:rPr>
                <w:b/>
                <w:color w:val="FFFFFF"/>
                <w:sz w:val="18"/>
              </w:rPr>
              <w:t>Tool / method</w:t>
            </w:r>
          </w:p>
        </w:tc>
        <w:tc>
          <w:tcPr>
            <w:tcW w:type="dxa" w:w="4464"/>
            <w:shd w:fill="0F766E"/>
            <w:vAlign w:val="center"/>
          </w:tcPr>
          <w:p>
            <w:r/>
            <w:r>
              <w:rPr>
                <w:b/>
                <w:color w:val="FFFFFF"/>
                <w:sz w:val="18"/>
              </w:rPr>
              <w:t>Purpose</w:t>
            </w:r>
          </w:p>
        </w:tc>
      </w:tr>
      <w:tr>
        <w:tc>
          <w:tcPr>
            <w:tcW w:type="dxa" w:w="2160"/>
            <w:vAlign w:val="center"/>
          </w:tcPr>
          <w:p>
            <w:r/>
            <w:r>
              <w:rPr>
                <w:b w:val="0"/>
                <w:color w:val="000000"/>
                <w:sz w:val="18"/>
              </w:rPr>
              <w:t>Frontend development</w:t>
            </w:r>
          </w:p>
        </w:tc>
        <w:tc>
          <w:tcPr>
            <w:tcW w:type="dxa" w:w="3168"/>
            <w:vAlign w:val="center"/>
          </w:tcPr>
          <w:p>
            <w:r/>
            <w:r>
              <w:rPr>
                <w:b w:val="0"/>
                <w:color w:val="000000"/>
                <w:sz w:val="18"/>
              </w:rPr>
              <w:t>React, TypeScript, Vite</w:t>
            </w:r>
          </w:p>
        </w:tc>
        <w:tc>
          <w:tcPr>
            <w:tcW w:type="dxa" w:w="4464"/>
            <w:vAlign w:val="center"/>
          </w:tcPr>
          <w:p>
            <w:r/>
            <w:r>
              <w:rPr>
                <w:b w:val="0"/>
                <w:color w:val="000000"/>
                <w:sz w:val="18"/>
              </w:rPr>
              <w:t>Build a responsive dashboard interface.</w:t>
            </w:r>
          </w:p>
        </w:tc>
      </w:tr>
      <w:tr>
        <w:tc>
          <w:tcPr>
            <w:tcW w:type="dxa" w:w="2160"/>
            <w:vAlign w:val="center"/>
          </w:tcPr>
          <w:p>
            <w:r/>
            <w:r>
              <w:rPr>
                <w:b w:val="0"/>
                <w:color w:val="000000"/>
                <w:sz w:val="18"/>
              </w:rPr>
              <w:t>Visualisation</w:t>
            </w:r>
          </w:p>
        </w:tc>
        <w:tc>
          <w:tcPr>
            <w:tcW w:type="dxa" w:w="3168"/>
            <w:vAlign w:val="center"/>
          </w:tcPr>
          <w:p>
            <w:r/>
            <w:r>
              <w:rPr>
                <w:b w:val="0"/>
                <w:color w:val="000000"/>
                <w:sz w:val="18"/>
              </w:rPr>
              <w:t>Recharts</w:t>
            </w:r>
          </w:p>
        </w:tc>
        <w:tc>
          <w:tcPr>
            <w:tcW w:type="dxa" w:w="4464"/>
            <w:vAlign w:val="center"/>
          </w:tcPr>
          <w:p>
            <w:r/>
            <w:r>
              <w:rPr>
                <w:b w:val="0"/>
                <w:color w:val="000000"/>
                <w:sz w:val="18"/>
              </w:rPr>
              <w:t>Render dashboard charts.</w:t>
            </w:r>
          </w:p>
        </w:tc>
      </w:tr>
      <w:tr>
        <w:tc>
          <w:tcPr>
            <w:tcW w:type="dxa" w:w="2160"/>
            <w:vAlign w:val="center"/>
          </w:tcPr>
          <w:p>
            <w:r/>
            <w:r>
              <w:rPr>
                <w:b w:val="0"/>
                <w:color w:val="000000"/>
                <w:sz w:val="18"/>
              </w:rPr>
              <w:t>Backend development</w:t>
            </w:r>
          </w:p>
        </w:tc>
        <w:tc>
          <w:tcPr>
            <w:tcW w:type="dxa" w:w="3168"/>
            <w:vAlign w:val="center"/>
          </w:tcPr>
          <w:p>
            <w:r/>
            <w:r>
              <w:rPr>
                <w:b w:val="0"/>
                <w:color w:val="000000"/>
                <w:sz w:val="18"/>
              </w:rPr>
              <w:t>ASP.NET Core Web API</w:t>
            </w:r>
          </w:p>
        </w:tc>
        <w:tc>
          <w:tcPr>
            <w:tcW w:type="dxa" w:w="4464"/>
            <w:vAlign w:val="center"/>
          </w:tcPr>
          <w:p>
            <w:r/>
            <w:r>
              <w:rPr>
                <w:b w:val="0"/>
                <w:color w:val="000000"/>
                <w:sz w:val="18"/>
              </w:rPr>
              <w:t>Provide validation, analytics, risk flags and export endpoints.</w:t>
            </w:r>
          </w:p>
        </w:tc>
      </w:tr>
      <w:tr>
        <w:tc>
          <w:tcPr>
            <w:tcW w:type="dxa" w:w="2160"/>
            <w:vAlign w:val="center"/>
          </w:tcPr>
          <w:p>
            <w:r/>
            <w:r>
              <w:rPr>
                <w:b w:val="0"/>
                <w:color w:val="000000"/>
                <w:sz w:val="18"/>
              </w:rPr>
              <w:t>Data preparation</w:t>
            </w:r>
          </w:p>
        </w:tc>
        <w:tc>
          <w:tcPr>
            <w:tcW w:type="dxa" w:w="3168"/>
            <w:vAlign w:val="center"/>
          </w:tcPr>
          <w:p>
            <w:r/>
            <w:r>
              <w:rPr>
                <w:b w:val="0"/>
                <w:color w:val="000000"/>
                <w:sz w:val="18"/>
              </w:rPr>
              <w:t>CSV dataset and data dictionary</w:t>
            </w:r>
          </w:p>
        </w:tc>
        <w:tc>
          <w:tcPr>
            <w:tcW w:type="dxa" w:w="4464"/>
            <w:vAlign w:val="center"/>
          </w:tcPr>
          <w:p>
            <w:r/>
            <w:r>
              <w:rPr>
                <w:b w:val="0"/>
                <w:color w:val="000000"/>
                <w:sz w:val="18"/>
              </w:rPr>
              <w:t>Create safe synthetic learner data.</w:t>
            </w:r>
          </w:p>
        </w:tc>
      </w:tr>
      <w:tr>
        <w:tc>
          <w:tcPr>
            <w:tcW w:type="dxa" w:w="2160"/>
            <w:vAlign w:val="center"/>
          </w:tcPr>
          <w:p>
            <w:r/>
            <w:r>
              <w:rPr>
                <w:b w:val="0"/>
                <w:color w:val="000000"/>
                <w:sz w:val="18"/>
              </w:rPr>
              <w:t>Version control / workflow</w:t>
            </w:r>
          </w:p>
        </w:tc>
        <w:tc>
          <w:tcPr>
            <w:tcW w:type="dxa" w:w="3168"/>
            <w:vAlign w:val="center"/>
          </w:tcPr>
          <w:p>
            <w:r/>
            <w:r>
              <w:rPr>
                <w:b w:val="0"/>
                <w:color w:val="000000"/>
                <w:sz w:val="18"/>
              </w:rPr>
              <w:t>GitHub structure and CI workflow</w:t>
            </w:r>
          </w:p>
        </w:tc>
        <w:tc>
          <w:tcPr>
            <w:tcW w:type="dxa" w:w="4464"/>
            <w:vAlign w:val="center"/>
          </w:tcPr>
          <w:p>
            <w:r/>
            <w:r>
              <w:rPr>
                <w:b w:val="0"/>
                <w:color w:val="000000"/>
                <w:sz w:val="18"/>
              </w:rPr>
              <w:t>Support quality gates and reproducible build evidence.</w:t>
            </w:r>
          </w:p>
        </w:tc>
      </w:tr>
      <w:tr>
        <w:tc>
          <w:tcPr>
            <w:tcW w:type="dxa" w:w="2160"/>
            <w:vAlign w:val="center"/>
          </w:tcPr>
          <w:p>
            <w:r/>
            <w:r>
              <w:rPr>
                <w:b w:val="0"/>
                <w:color w:val="000000"/>
                <w:sz w:val="18"/>
              </w:rPr>
              <w:t>Testing</w:t>
            </w:r>
          </w:p>
        </w:tc>
        <w:tc>
          <w:tcPr>
            <w:tcW w:type="dxa" w:w="3168"/>
            <w:vAlign w:val="center"/>
          </w:tcPr>
          <w:p>
            <w:r/>
            <w:r>
              <w:rPr>
                <w:b w:val="0"/>
                <w:color w:val="000000"/>
                <w:sz w:val="18"/>
              </w:rPr>
              <w:t>Manual tests, build tests and API checks</w:t>
            </w:r>
          </w:p>
        </w:tc>
        <w:tc>
          <w:tcPr>
            <w:tcW w:type="dxa" w:w="4464"/>
            <w:vAlign w:val="center"/>
          </w:tcPr>
          <w:p>
            <w:r/>
            <w:r>
              <w:rPr>
                <w:b w:val="0"/>
                <w:color w:val="000000"/>
                <w:sz w:val="18"/>
              </w:rPr>
              <w:t>Verify prototype behaviour and evidence readiness.</w:t>
            </w:r>
          </w:p>
        </w:tc>
      </w:tr>
      <w:tr>
        <w:tc>
          <w:tcPr>
            <w:tcW w:type="dxa" w:w="2160"/>
            <w:vAlign w:val="center"/>
          </w:tcPr>
          <w:p>
            <w:r/>
            <w:r>
              <w:rPr>
                <w:b w:val="0"/>
                <w:color w:val="000000"/>
                <w:sz w:val="18"/>
              </w:rPr>
              <w:t>Documentation</w:t>
            </w:r>
          </w:p>
        </w:tc>
        <w:tc>
          <w:tcPr>
            <w:tcW w:type="dxa" w:w="3168"/>
            <w:vAlign w:val="center"/>
          </w:tcPr>
          <w:p>
            <w:r/>
            <w:r>
              <w:rPr>
                <w:b w:val="0"/>
                <w:color w:val="000000"/>
                <w:sz w:val="18"/>
              </w:rPr>
              <w:t>README, user guide, report, evidence folders</w:t>
            </w:r>
          </w:p>
        </w:tc>
        <w:tc>
          <w:tcPr>
            <w:tcW w:type="dxa" w:w="4464"/>
            <w:vAlign w:val="center"/>
          </w:tcPr>
          <w:p>
            <w:r/>
            <w:r>
              <w:rPr>
                <w:b w:val="0"/>
                <w:color w:val="000000"/>
                <w:sz w:val="18"/>
              </w:rPr>
              <w:t>Make the submission traceable for assessment.</w:t>
            </w:r>
          </w:p>
        </w:tc>
      </w:tr>
    </w:tbl>
    <w:p/>
    <w:p>
      <w:pPr>
        <w:pStyle w:val="Heading2"/>
        <w:spacing w:before="200" w:after="120"/>
      </w:pPr>
      <w:r>
        <w:t>Development Workflow</w:t>
      </w:r>
    </w:p>
    <w:p>
      <w:pPr>
        <w:pStyle w:val="ListNumber"/>
        <w:spacing w:after="60"/>
      </w:pPr>
      <w:r>
        <w:t>Understand assignment requirements and define a realistic support analytics problem.</w:t>
      </w:r>
    </w:p>
    <w:p>
      <w:pPr>
        <w:pStyle w:val="ListNumber"/>
        <w:spacing w:after="60"/>
      </w:pPr>
      <w:r>
        <w:t>Create a synthetic learner dataset and data dictionary.</w:t>
      </w:r>
    </w:p>
    <w:p>
      <w:pPr>
        <w:pStyle w:val="ListNumber"/>
        <w:spacing w:after="60"/>
      </w:pPr>
      <w:r>
        <w:t>Model the current and improved learner support process.</w:t>
      </w:r>
    </w:p>
    <w:p>
      <w:pPr>
        <w:pStyle w:val="ListNumber"/>
        <w:spacing w:after="60"/>
      </w:pPr>
      <w:r>
        <w:t>Build backend validation, analytics and risk scoring endpoints.</w:t>
      </w:r>
    </w:p>
    <w:p>
      <w:pPr>
        <w:pStyle w:val="ListNumber"/>
        <w:spacing w:after="60"/>
      </w:pPr>
      <w:r>
        <w:t>Develop the frontend dashboard, charts, risk table and forms.</w:t>
      </w:r>
    </w:p>
    <w:p>
      <w:pPr>
        <w:pStyle w:val="ListNumber"/>
        <w:spacing w:after="60"/>
      </w:pPr>
      <w:r>
        <w:t>Add ethics declaration, privacy notice and responsible-use wording.</w:t>
      </w:r>
    </w:p>
    <w:p>
      <w:pPr>
        <w:pStyle w:val="ListNumber"/>
        <w:spacing w:after="60"/>
      </w:pPr>
      <w:r>
        <w:t>Test features, log bugs, improve quality and capture evidence screenshots.</w:t>
      </w:r>
    </w:p>
    <w:p>
      <w:pPr>
        <w:pStyle w:val="ListNumber"/>
        <w:spacing w:after="60"/>
      </w:pPr>
      <w:r>
        <w:t>Prepare the integrated report and map evidence to SFIA skills.</w:t>
      </w:r>
    </w:p>
    <w:p>
      <w:pPr>
        <w:pStyle w:val="Heading1"/>
        <w:spacing w:before="200" w:after="120"/>
      </w:pPr>
      <w:r>
        <w:t>11. Testing, Review and Quality Evidence</w:t>
      </w:r>
    </w:p>
    <w:p>
      <w:pPr>
        <w:spacing w:after="120" w:line="259" w:lineRule="auto"/>
      </w:pPr>
      <w:r>
        <w:t>Testing evidence covers endpoint availability, dashboard summary contract, transparent risk flags, CSV upload, validation errors, manual learner validation, ethics notice content, frontend type safety, frontend production build and backend release build. Bugs were logged and fixed with evidence of improvement.</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334155"/>
            <w:vAlign w:val="center"/>
          </w:tcPr>
          <w:p>
            <w:r/>
            <w:r>
              <w:rPr>
                <w:b/>
                <w:color w:val="FFFFFF"/>
                <w:sz w:val="18"/>
              </w:rPr>
              <w:t>Test area</w:t>
            </w:r>
          </w:p>
        </w:tc>
        <w:tc>
          <w:tcPr>
            <w:tcW w:type="dxa" w:w="4320"/>
            <w:shd w:fill="334155"/>
            <w:vAlign w:val="center"/>
          </w:tcPr>
          <w:p>
            <w:r/>
            <w:r>
              <w:rPr>
                <w:b/>
                <w:color w:val="FFFFFF"/>
                <w:sz w:val="18"/>
              </w:rPr>
              <w:t>Evidence</w:t>
            </w:r>
          </w:p>
        </w:tc>
        <w:tc>
          <w:tcPr>
            <w:tcW w:type="dxa" w:w="1440"/>
            <w:shd w:fill="334155"/>
            <w:vAlign w:val="center"/>
          </w:tcPr>
          <w:p>
            <w:r/>
            <w:r>
              <w:rPr>
                <w:b/>
                <w:color w:val="FFFFFF"/>
                <w:sz w:val="18"/>
              </w:rPr>
              <w:t>Result</w:t>
            </w:r>
          </w:p>
        </w:tc>
      </w:tr>
      <w:tr>
        <w:tc>
          <w:tcPr>
            <w:tcW w:type="dxa" w:w="2592"/>
            <w:vAlign w:val="center"/>
          </w:tcPr>
          <w:p>
            <w:r/>
            <w:r>
              <w:rPr>
                <w:b w:val="0"/>
                <w:color w:val="000000"/>
                <w:sz w:val="18"/>
              </w:rPr>
              <w:t>Health endpoint</w:t>
            </w:r>
          </w:p>
        </w:tc>
        <w:tc>
          <w:tcPr>
            <w:tcW w:type="dxa" w:w="4320"/>
            <w:vAlign w:val="center"/>
          </w:tcPr>
          <w:p>
            <w:r/>
            <w:r>
              <w:rPr>
                <w:b w:val="0"/>
                <w:color w:val="000000"/>
                <w:sz w:val="18"/>
              </w:rPr>
              <w:t>GET /api/health</w:t>
            </w:r>
          </w:p>
        </w:tc>
        <w:tc>
          <w:tcPr>
            <w:tcW w:type="dxa" w:w="1440"/>
            <w:vAlign w:val="center"/>
          </w:tcPr>
          <w:p>
            <w:r/>
            <w:r>
              <w:rPr>
                <w:b w:val="0"/>
                <w:color w:val="000000"/>
                <w:sz w:val="18"/>
              </w:rPr>
              <w:t>Passed</w:t>
            </w:r>
          </w:p>
        </w:tc>
      </w:tr>
      <w:tr>
        <w:tc>
          <w:tcPr>
            <w:tcW w:type="dxa" w:w="2592"/>
            <w:vAlign w:val="center"/>
          </w:tcPr>
          <w:p>
            <w:r/>
            <w:r>
              <w:rPr>
                <w:b w:val="0"/>
                <w:color w:val="000000"/>
                <w:sz w:val="18"/>
              </w:rPr>
              <w:t>Dashboard summary</w:t>
            </w:r>
          </w:p>
        </w:tc>
        <w:tc>
          <w:tcPr>
            <w:tcW w:type="dxa" w:w="4320"/>
            <w:vAlign w:val="center"/>
          </w:tcPr>
          <w:p>
            <w:r/>
            <w:r>
              <w:rPr>
                <w:b w:val="0"/>
                <w:color w:val="000000"/>
                <w:sz w:val="18"/>
              </w:rPr>
              <w:t>GET /api/insights/dashboard</w:t>
            </w:r>
          </w:p>
        </w:tc>
        <w:tc>
          <w:tcPr>
            <w:tcW w:type="dxa" w:w="1440"/>
            <w:vAlign w:val="center"/>
          </w:tcPr>
          <w:p>
            <w:r/>
            <w:r>
              <w:rPr>
                <w:b w:val="0"/>
                <w:color w:val="000000"/>
                <w:sz w:val="18"/>
              </w:rPr>
              <w:t>Passed</w:t>
            </w:r>
          </w:p>
        </w:tc>
      </w:tr>
      <w:tr>
        <w:tc>
          <w:tcPr>
            <w:tcW w:type="dxa" w:w="2592"/>
            <w:vAlign w:val="center"/>
          </w:tcPr>
          <w:p>
            <w:r/>
            <w:r>
              <w:rPr>
                <w:b w:val="0"/>
                <w:color w:val="000000"/>
                <w:sz w:val="18"/>
              </w:rPr>
              <w:t>Risk flags</w:t>
            </w:r>
          </w:p>
        </w:tc>
        <w:tc>
          <w:tcPr>
            <w:tcW w:type="dxa" w:w="4320"/>
            <w:vAlign w:val="center"/>
          </w:tcPr>
          <w:p>
            <w:r/>
            <w:r>
              <w:rPr>
                <w:b w:val="0"/>
                <w:color w:val="000000"/>
                <w:sz w:val="18"/>
              </w:rPr>
              <w:t>GET /api/insights/risk-flags</w:t>
            </w:r>
          </w:p>
        </w:tc>
        <w:tc>
          <w:tcPr>
            <w:tcW w:type="dxa" w:w="1440"/>
            <w:vAlign w:val="center"/>
          </w:tcPr>
          <w:p>
            <w:r/>
            <w:r>
              <w:rPr>
                <w:b w:val="0"/>
                <w:color w:val="000000"/>
                <w:sz w:val="18"/>
              </w:rPr>
              <w:t>Passed</w:t>
            </w:r>
          </w:p>
        </w:tc>
      </w:tr>
      <w:tr>
        <w:tc>
          <w:tcPr>
            <w:tcW w:type="dxa" w:w="2592"/>
            <w:vAlign w:val="center"/>
          </w:tcPr>
          <w:p>
            <w:r/>
            <w:r>
              <w:rPr>
                <w:b w:val="0"/>
                <w:color w:val="000000"/>
                <w:sz w:val="18"/>
              </w:rPr>
              <w:t>CSV upload happy path</w:t>
            </w:r>
          </w:p>
        </w:tc>
        <w:tc>
          <w:tcPr>
            <w:tcW w:type="dxa" w:w="4320"/>
            <w:vAlign w:val="center"/>
          </w:tcPr>
          <w:p>
            <w:r/>
            <w:r>
              <w:rPr>
                <w:b w:val="0"/>
                <w:color w:val="000000"/>
                <w:sz w:val="18"/>
              </w:rPr>
              <w:t>Valid dataset upload</w:t>
            </w:r>
          </w:p>
        </w:tc>
        <w:tc>
          <w:tcPr>
            <w:tcW w:type="dxa" w:w="1440"/>
            <w:vAlign w:val="center"/>
          </w:tcPr>
          <w:p>
            <w:r/>
            <w:r>
              <w:rPr>
                <w:b w:val="0"/>
                <w:color w:val="000000"/>
                <w:sz w:val="18"/>
              </w:rPr>
              <w:t>Passed</w:t>
            </w:r>
          </w:p>
        </w:tc>
      </w:tr>
      <w:tr>
        <w:tc>
          <w:tcPr>
            <w:tcW w:type="dxa" w:w="2592"/>
            <w:vAlign w:val="center"/>
          </w:tcPr>
          <w:p>
            <w:r/>
            <w:r>
              <w:rPr>
                <w:b w:val="0"/>
                <w:color w:val="000000"/>
                <w:sz w:val="18"/>
              </w:rPr>
              <w:t>CSV upload validation</w:t>
            </w:r>
          </w:p>
        </w:tc>
        <w:tc>
          <w:tcPr>
            <w:tcW w:type="dxa" w:w="4320"/>
            <w:vAlign w:val="center"/>
          </w:tcPr>
          <w:p>
            <w:r/>
            <w:r>
              <w:rPr>
                <w:b w:val="0"/>
                <w:color w:val="000000"/>
                <w:sz w:val="18"/>
              </w:rPr>
              <w:t>Invalid controlled values and malformed rows</w:t>
            </w:r>
          </w:p>
        </w:tc>
        <w:tc>
          <w:tcPr>
            <w:tcW w:type="dxa" w:w="1440"/>
            <w:vAlign w:val="center"/>
          </w:tcPr>
          <w:p>
            <w:r/>
            <w:r>
              <w:rPr>
                <w:b w:val="0"/>
                <w:color w:val="000000"/>
                <w:sz w:val="18"/>
              </w:rPr>
              <w:t>Passed</w:t>
            </w:r>
          </w:p>
        </w:tc>
      </w:tr>
      <w:tr>
        <w:tc>
          <w:tcPr>
            <w:tcW w:type="dxa" w:w="2592"/>
            <w:vAlign w:val="center"/>
          </w:tcPr>
          <w:p>
            <w:r/>
            <w:r>
              <w:rPr>
                <w:b w:val="0"/>
                <w:color w:val="000000"/>
                <w:sz w:val="18"/>
              </w:rPr>
              <w:t>Manual form validation</w:t>
            </w:r>
          </w:p>
        </w:tc>
        <w:tc>
          <w:tcPr>
            <w:tcW w:type="dxa" w:w="4320"/>
            <w:vAlign w:val="center"/>
          </w:tcPr>
          <w:p>
            <w:r/>
            <w:r>
              <w:rPr>
                <w:b w:val="0"/>
                <w:color w:val="000000"/>
                <w:sz w:val="18"/>
              </w:rPr>
              <w:t>Missing or invalid values</w:t>
            </w:r>
          </w:p>
        </w:tc>
        <w:tc>
          <w:tcPr>
            <w:tcW w:type="dxa" w:w="1440"/>
            <w:vAlign w:val="center"/>
          </w:tcPr>
          <w:p>
            <w:r/>
            <w:r>
              <w:rPr>
                <w:b w:val="0"/>
                <w:color w:val="000000"/>
                <w:sz w:val="18"/>
              </w:rPr>
              <w:t>Passed</w:t>
            </w:r>
          </w:p>
        </w:tc>
      </w:tr>
      <w:tr>
        <w:tc>
          <w:tcPr>
            <w:tcW w:type="dxa" w:w="2592"/>
            <w:vAlign w:val="center"/>
          </w:tcPr>
          <w:p>
            <w:r/>
            <w:r>
              <w:rPr>
                <w:b w:val="0"/>
                <w:color w:val="000000"/>
                <w:sz w:val="18"/>
              </w:rPr>
              <w:t>Ethics notice</w:t>
            </w:r>
          </w:p>
        </w:tc>
        <w:tc>
          <w:tcPr>
            <w:tcW w:type="dxa" w:w="4320"/>
            <w:vAlign w:val="center"/>
          </w:tcPr>
          <w:p>
            <w:r/>
            <w:r>
              <w:rPr>
                <w:b w:val="0"/>
                <w:color w:val="000000"/>
                <w:sz w:val="18"/>
              </w:rPr>
              <w:t>GET /api/ethics/notice</w:t>
            </w:r>
          </w:p>
        </w:tc>
        <w:tc>
          <w:tcPr>
            <w:tcW w:type="dxa" w:w="1440"/>
            <w:vAlign w:val="center"/>
          </w:tcPr>
          <w:p>
            <w:r/>
            <w:r>
              <w:rPr>
                <w:b w:val="0"/>
                <w:color w:val="000000"/>
                <w:sz w:val="18"/>
              </w:rPr>
              <w:t>Passed</w:t>
            </w:r>
          </w:p>
        </w:tc>
      </w:tr>
      <w:tr>
        <w:tc>
          <w:tcPr>
            <w:tcW w:type="dxa" w:w="2592"/>
            <w:vAlign w:val="center"/>
          </w:tcPr>
          <w:p>
            <w:r/>
            <w:r>
              <w:rPr>
                <w:b w:val="0"/>
                <w:color w:val="000000"/>
                <w:sz w:val="18"/>
              </w:rPr>
              <w:t>Frontend type safety</w:t>
            </w:r>
          </w:p>
        </w:tc>
        <w:tc>
          <w:tcPr>
            <w:tcW w:type="dxa" w:w="4320"/>
            <w:vAlign w:val="center"/>
          </w:tcPr>
          <w:p>
            <w:r/>
            <w:r>
              <w:rPr>
                <w:b w:val="0"/>
                <w:color w:val="000000"/>
                <w:sz w:val="18"/>
              </w:rPr>
              <w:t>npm run typecheck</w:t>
            </w:r>
          </w:p>
        </w:tc>
        <w:tc>
          <w:tcPr>
            <w:tcW w:type="dxa" w:w="1440"/>
            <w:vAlign w:val="center"/>
          </w:tcPr>
          <w:p>
            <w:r/>
            <w:r>
              <w:rPr>
                <w:b w:val="0"/>
                <w:color w:val="000000"/>
                <w:sz w:val="18"/>
              </w:rPr>
              <w:t>Passed</w:t>
            </w:r>
          </w:p>
        </w:tc>
      </w:tr>
      <w:tr>
        <w:tc>
          <w:tcPr>
            <w:tcW w:type="dxa" w:w="2592"/>
            <w:vAlign w:val="center"/>
          </w:tcPr>
          <w:p>
            <w:r/>
            <w:r>
              <w:rPr>
                <w:b w:val="0"/>
                <w:color w:val="000000"/>
                <w:sz w:val="18"/>
              </w:rPr>
              <w:t>Frontend production build</w:t>
            </w:r>
          </w:p>
        </w:tc>
        <w:tc>
          <w:tcPr>
            <w:tcW w:type="dxa" w:w="4320"/>
            <w:vAlign w:val="center"/>
          </w:tcPr>
          <w:p>
            <w:r/>
            <w:r>
              <w:rPr>
                <w:b w:val="0"/>
                <w:color w:val="000000"/>
                <w:sz w:val="18"/>
              </w:rPr>
              <w:t>npm run build</w:t>
            </w:r>
          </w:p>
        </w:tc>
        <w:tc>
          <w:tcPr>
            <w:tcW w:type="dxa" w:w="1440"/>
            <w:vAlign w:val="center"/>
          </w:tcPr>
          <w:p>
            <w:r/>
            <w:r>
              <w:rPr>
                <w:b w:val="0"/>
                <w:color w:val="000000"/>
                <w:sz w:val="18"/>
              </w:rPr>
              <w:t>Passed</w:t>
            </w:r>
          </w:p>
        </w:tc>
      </w:tr>
      <w:tr>
        <w:tc>
          <w:tcPr>
            <w:tcW w:type="dxa" w:w="2592"/>
            <w:vAlign w:val="center"/>
          </w:tcPr>
          <w:p>
            <w:r/>
            <w:r>
              <w:rPr>
                <w:b w:val="0"/>
                <w:color w:val="000000"/>
                <w:sz w:val="18"/>
              </w:rPr>
              <w:t>Backend release build</w:t>
            </w:r>
          </w:p>
        </w:tc>
        <w:tc>
          <w:tcPr>
            <w:tcW w:type="dxa" w:w="4320"/>
            <w:vAlign w:val="center"/>
          </w:tcPr>
          <w:p>
            <w:r/>
            <w:r>
              <w:rPr>
                <w:b w:val="0"/>
                <w:color w:val="000000"/>
                <w:sz w:val="18"/>
              </w:rPr>
              <w:t>dotnet build configuration Release</w:t>
            </w:r>
          </w:p>
        </w:tc>
        <w:tc>
          <w:tcPr>
            <w:tcW w:type="dxa" w:w="1440"/>
            <w:vAlign w:val="center"/>
          </w:tcPr>
          <w:p>
            <w:r/>
            <w:r>
              <w:rPr>
                <w:b w:val="0"/>
                <w:color w:val="000000"/>
                <w:sz w:val="18"/>
              </w:rPr>
              <w:t>Passed</w:t>
            </w:r>
          </w:p>
        </w:tc>
      </w:tr>
    </w:tbl>
    <w:p/>
    <w:p>
      <w:pPr>
        <w:jc w:val="center"/>
      </w:pPr>
      <w:r>
        <w:drawing>
          <wp:inline xmlns:a="http://schemas.openxmlformats.org/drawingml/2006/main" xmlns:pic="http://schemas.openxmlformats.org/drawingml/2006/picture">
            <wp:extent cx="6126480" cy="5105400"/>
            <wp:docPr id="18" name="Picture 18"/>
            <wp:cNvGraphicFramePr>
              <a:graphicFrameLocks noChangeAspect="1"/>
            </wp:cNvGraphicFramePr>
            <a:graphic>
              <a:graphicData uri="http://schemas.openxmlformats.org/drawingml/2006/picture">
                <pic:pic>
                  <pic:nvPicPr>
                    <pic:cNvPr id="0" name="frontend-build.png"/>
                    <pic:cNvPicPr/>
                  </pic:nvPicPr>
                  <pic:blipFill>
                    <a:blip r:embed="rId26"/>
                    <a:stretch>
                      <a:fillRect/>
                    </a:stretch>
                  </pic:blipFill>
                  <pic:spPr>
                    <a:xfrm>
                      <a:off x="0" y="0"/>
                      <a:ext cx="6126480" cy="5105400"/>
                    </a:xfrm>
                    <a:prstGeom prst="rect"/>
                  </pic:spPr>
                </pic:pic>
              </a:graphicData>
            </a:graphic>
          </wp:inline>
        </w:drawing>
      </w:r>
    </w:p>
    <w:p>
      <w:pPr>
        <w:pStyle w:val="CaptionSmall"/>
        <w:jc w:val="center"/>
      </w:pPr>
      <w:r>
        <w:t>Figure 17: Frontend build evidence.</w:t>
      </w:r>
    </w:p>
    <w:p>
      <w:pPr>
        <w:jc w:val="center"/>
      </w:pPr>
      <w:r>
        <w:drawing>
          <wp:inline xmlns:a="http://schemas.openxmlformats.org/drawingml/2006/main" xmlns:pic="http://schemas.openxmlformats.org/drawingml/2006/picture">
            <wp:extent cx="6126480" cy="5105400"/>
            <wp:docPr id="19" name="Picture 19"/>
            <wp:cNvGraphicFramePr>
              <a:graphicFrameLocks noChangeAspect="1"/>
            </wp:cNvGraphicFramePr>
            <a:graphic>
              <a:graphicData uri="http://schemas.openxmlformats.org/drawingml/2006/picture">
                <pic:pic>
                  <pic:nvPicPr>
                    <pic:cNvPr id="0" name="backend-build.png"/>
                    <pic:cNvPicPr/>
                  </pic:nvPicPr>
                  <pic:blipFill>
                    <a:blip r:embed="rId27"/>
                    <a:stretch>
                      <a:fillRect/>
                    </a:stretch>
                  </pic:blipFill>
                  <pic:spPr>
                    <a:xfrm>
                      <a:off x="0" y="0"/>
                      <a:ext cx="6126480" cy="5105400"/>
                    </a:xfrm>
                    <a:prstGeom prst="rect"/>
                  </pic:spPr>
                </pic:pic>
              </a:graphicData>
            </a:graphic>
          </wp:inline>
        </w:drawing>
      </w:r>
    </w:p>
    <w:p>
      <w:pPr>
        <w:pStyle w:val="CaptionSmall"/>
        <w:jc w:val="center"/>
      </w:pPr>
      <w:r>
        <w:t>Figure 18: Backend build evidence.</w:t>
      </w:r>
    </w:p>
    <w:p>
      <w:pPr>
        <w:pStyle w:val="Heading2"/>
        <w:spacing w:before="200" w:after="120"/>
      </w:pPr>
      <w:r>
        <w:t>Bug Fix Summary</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E3A8A"/>
            <w:vAlign w:val="center"/>
          </w:tcPr>
          <w:p>
            <w:r/>
            <w:r>
              <w:rPr>
                <w:b/>
                <w:color w:val="FFFFFF"/>
                <w:sz w:val="18"/>
              </w:rPr>
              <w:t>Bug</w:t>
            </w:r>
          </w:p>
        </w:tc>
        <w:tc>
          <w:tcPr>
            <w:tcW w:type="dxa" w:w="3312"/>
            <w:shd w:fill="1E3A8A"/>
            <w:vAlign w:val="center"/>
          </w:tcPr>
          <w:p>
            <w:r/>
            <w:r>
              <w:rPr>
                <w:b/>
                <w:color w:val="FFFFFF"/>
                <w:sz w:val="18"/>
              </w:rPr>
              <w:t>Root cause</w:t>
            </w:r>
          </w:p>
        </w:tc>
        <w:tc>
          <w:tcPr>
            <w:tcW w:type="dxa" w:w="3600"/>
            <w:shd w:fill="1E3A8A"/>
            <w:vAlign w:val="center"/>
          </w:tcPr>
          <w:p>
            <w:r/>
            <w:r>
              <w:rPr>
                <w:b/>
                <w:color w:val="FFFFFF"/>
                <w:sz w:val="18"/>
              </w:rPr>
              <w:t>Fix applied</w:t>
            </w:r>
          </w:p>
        </w:tc>
      </w:tr>
      <w:tr>
        <w:tc>
          <w:tcPr>
            <w:tcW w:type="dxa" w:w="2880"/>
            <w:vAlign w:val="center"/>
          </w:tcPr>
          <w:p>
            <w:r/>
            <w:r>
              <w:rPr>
                <w:b w:val="0"/>
                <w:color w:val="000000"/>
                <w:sz w:val="18"/>
              </w:rPr>
              <w:t>CSV notes containing commas failed import</w:t>
            </w:r>
          </w:p>
        </w:tc>
        <w:tc>
          <w:tcPr>
            <w:tcW w:type="dxa" w:w="3312"/>
            <w:vAlign w:val="center"/>
          </w:tcPr>
          <w:p>
            <w:r/>
            <w:r>
              <w:rPr>
                <w:b w:val="0"/>
                <w:color w:val="000000"/>
                <w:sz w:val="18"/>
              </w:rPr>
              <w:t>Naive comma split broke quoted rows.</w:t>
            </w:r>
          </w:p>
        </w:tc>
        <w:tc>
          <w:tcPr>
            <w:tcW w:type="dxa" w:w="3600"/>
            <w:vAlign w:val="center"/>
          </w:tcPr>
          <w:p>
            <w:r/>
            <w:r>
              <w:rPr>
                <w:b w:val="0"/>
                <w:color w:val="000000"/>
                <w:sz w:val="18"/>
              </w:rPr>
              <w:t>Quote-aware CSV parsing and column-count validation.</w:t>
            </w:r>
          </w:p>
        </w:tc>
      </w:tr>
      <w:tr>
        <w:tc>
          <w:tcPr>
            <w:tcW w:type="dxa" w:w="2880"/>
            <w:vAlign w:val="center"/>
          </w:tcPr>
          <w:p>
            <w:r/>
            <w:r>
              <w:rPr>
                <w:b w:val="0"/>
                <w:color w:val="000000"/>
                <w:sz w:val="18"/>
              </w:rPr>
              <w:t>Risk output was difficult to justify</w:t>
            </w:r>
          </w:p>
        </w:tc>
        <w:tc>
          <w:tcPr>
            <w:tcW w:type="dxa" w:w="3312"/>
            <w:vAlign w:val="center"/>
          </w:tcPr>
          <w:p>
            <w:r/>
            <w:r>
              <w:rPr>
                <w:b w:val="0"/>
                <w:color w:val="000000"/>
                <w:sz w:val="18"/>
              </w:rPr>
              <w:t>Risk flags had weak explanation metadata.</w:t>
            </w:r>
          </w:p>
        </w:tc>
        <w:tc>
          <w:tcPr>
            <w:tcW w:type="dxa" w:w="3600"/>
            <w:vAlign w:val="center"/>
          </w:tcPr>
          <w:p>
            <w:r/>
            <w:r>
              <w:rPr>
                <w:b w:val="0"/>
                <w:color w:val="000000"/>
                <w:sz w:val="18"/>
              </w:rPr>
              <w:t>Weighted scoring, priority categories and reason codes.</w:t>
            </w:r>
          </w:p>
        </w:tc>
      </w:tr>
      <w:tr>
        <w:tc>
          <w:tcPr>
            <w:tcW w:type="dxa" w:w="2880"/>
            <w:vAlign w:val="center"/>
          </w:tcPr>
          <w:p>
            <w:r/>
            <w:r>
              <w:rPr>
                <w:b w:val="0"/>
                <w:color w:val="000000"/>
                <w:sz w:val="18"/>
              </w:rPr>
              <w:t>Upload errors lacked field context</w:t>
            </w:r>
          </w:p>
        </w:tc>
        <w:tc>
          <w:tcPr>
            <w:tcW w:type="dxa" w:w="3312"/>
            <w:vAlign w:val="center"/>
          </w:tcPr>
          <w:p>
            <w:r/>
            <w:r>
              <w:rPr>
                <w:b w:val="0"/>
                <w:color w:val="000000"/>
                <w:sz w:val="18"/>
              </w:rPr>
              <w:t>Errors were returned as flat strings.</w:t>
            </w:r>
          </w:p>
        </w:tc>
        <w:tc>
          <w:tcPr>
            <w:tcW w:type="dxa" w:w="3600"/>
            <w:vAlign w:val="center"/>
          </w:tcPr>
          <w:p>
            <w:r/>
            <w:r>
              <w:rPr>
                <w:b w:val="0"/>
                <w:color w:val="000000"/>
                <w:sz w:val="18"/>
              </w:rPr>
              <w:t>Structured validation errors with line numbers and fields.</w:t>
            </w:r>
          </w:p>
        </w:tc>
      </w:tr>
      <w:tr>
        <w:tc>
          <w:tcPr>
            <w:tcW w:type="dxa" w:w="2880"/>
            <w:vAlign w:val="center"/>
          </w:tcPr>
          <w:p>
            <w:r/>
            <w:r>
              <w:rPr>
                <w:b w:val="0"/>
                <w:color w:val="000000"/>
                <w:sz w:val="18"/>
              </w:rPr>
              <w:t>Dashboard contract was too limited</w:t>
            </w:r>
          </w:p>
        </w:tc>
        <w:tc>
          <w:tcPr>
            <w:tcW w:type="dxa" w:w="3312"/>
            <w:vAlign w:val="center"/>
          </w:tcPr>
          <w:p>
            <w:r/>
            <w:r>
              <w:rPr>
                <w:b w:val="0"/>
                <w:color w:val="000000"/>
                <w:sz w:val="18"/>
              </w:rPr>
              <w:t>Older DTO supported fewer metrics.</w:t>
            </w:r>
          </w:p>
        </w:tc>
        <w:tc>
          <w:tcPr>
            <w:tcW w:type="dxa" w:w="3600"/>
            <w:vAlign w:val="center"/>
          </w:tcPr>
          <w:p>
            <w:r/>
            <w:r>
              <w:rPr>
                <w:b w:val="0"/>
                <w:color w:val="000000"/>
                <w:sz w:val="18"/>
              </w:rPr>
              <w:t>Expanded dashboard DTO and richer KPI/charts.</w:t>
            </w:r>
          </w:p>
        </w:tc>
      </w:tr>
    </w:tbl>
    <w:p/>
    <w:p>
      <w:pPr>
        <w:pStyle w:val="Heading2"/>
        <w:spacing w:before="200" w:after="120"/>
      </w:pPr>
      <w:r>
        <w:t>Peer / Stakeholder Review</w:t>
      </w:r>
    </w:p>
    <w:p>
      <w:pPr>
        <w:spacing w:after="120" w:line="259" w:lineRule="auto"/>
      </w:pPr>
      <w:r>
        <w:t>A review record is included to show that the value model, improved process, dashboard concept and risk/recommendation approach were reviewed. The key review outcome was to strengthen human-review wording and ensure the tool clearly presents risk scores as support signals rather than final decisions.</w:t>
      </w:r>
    </w:p>
    <w:p>
      <w:pPr>
        <w:pStyle w:val="Heading1"/>
        <w:spacing w:before="200" w:after="120"/>
      </w:pPr>
      <w:r>
        <w:t>12. Hosting and Deployment Readiness</w:t>
      </w:r>
    </w:p>
    <w:p>
      <w:pPr>
        <w:spacing w:after="120" w:line="259" w:lineRule="auto"/>
      </w:pPr>
      <w:r>
        <w:t>The project is prepared for cloud demonstration hosting. A split hosting model is recommended because the frontend is a static React application and the backend is an ASP.NET Core API. The project can be deployed using Azure Static Web Apps and Azure App Service, or using Netlify for the frontend and Railway for the backend.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shd w:fill="0F766E"/>
            <w:vAlign w:val="center"/>
          </w:tcPr>
          <w:p>
            <w:r/>
            <w:r>
              <w:rPr>
                <w:b/>
                <w:color w:val="FFFFFF"/>
                <w:sz w:val="18"/>
              </w:rPr>
              <w:t>Hosting option</w:t>
            </w:r>
          </w:p>
        </w:tc>
        <w:tc>
          <w:tcPr>
            <w:tcW w:type="dxa" w:w="2592"/>
            <w:shd w:fill="0F766E"/>
            <w:vAlign w:val="center"/>
          </w:tcPr>
          <w:p>
            <w:r/>
            <w:r>
              <w:rPr>
                <w:b/>
                <w:color w:val="FFFFFF"/>
                <w:sz w:val="18"/>
              </w:rPr>
              <w:t>Frontend</w:t>
            </w:r>
          </w:p>
        </w:tc>
        <w:tc>
          <w:tcPr>
            <w:tcW w:type="dxa" w:w="2592"/>
            <w:shd w:fill="0F766E"/>
            <w:vAlign w:val="center"/>
          </w:tcPr>
          <w:p>
            <w:r/>
            <w:r>
              <w:rPr>
                <w:b/>
                <w:color w:val="FFFFFF"/>
                <w:sz w:val="18"/>
              </w:rPr>
              <w:t>Backend</w:t>
            </w:r>
          </w:p>
        </w:tc>
        <w:tc>
          <w:tcPr>
            <w:tcW w:type="dxa" w:w="3312"/>
            <w:shd w:fill="0F766E"/>
            <w:vAlign w:val="center"/>
          </w:tcPr>
          <w:p>
            <w:r/>
            <w:r>
              <w:rPr>
                <w:b/>
                <w:color w:val="FFFFFF"/>
                <w:sz w:val="18"/>
              </w:rPr>
              <w:t>Best use</w:t>
            </w:r>
          </w:p>
        </w:tc>
      </w:tr>
      <w:tr>
        <w:tc>
          <w:tcPr>
            <w:tcW w:type="dxa" w:w="2304"/>
            <w:vAlign w:val="center"/>
          </w:tcPr>
          <w:p>
            <w:r/>
            <w:r>
              <w:rPr>
                <w:b w:val="0"/>
                <w:color w:val="000000"/>
                <w:sz w:val="18"/>
              </w:rPr>
              <w:t>Azure option</w:t>
            </w:r>
          </w:p>
        </w:tc>
        <w:tc>
          <w:tcPr>
            <w:tcW w:type="dxa" w:w="2592"/>
            <w:vAlign w:val="center"/>
          </w:tcPr>
          <w:p>
            <w:r/>
            <w:r>
              <w:rPr>
                <w:b w:val="0"/>
                <w:color w:val="000000"/>
                <w:sz w:val="18"/>
              </w:rPr>
              <w:t>Azure Static Web Apps</w:t>
            </w:r>
          </w:p>
        </w:tc>
        <w:tc>
          <w:tcPr>
            <w:tcW w:type="dxa" w:w="2592"/>
            <w:vAlign w:val="center"/>
          </w:tcPr>
          <w:p>
            <w:r/>
            <w:r>
              <w:rPr>
                <w:b w:val="0"/>
                <w:color w:val="000000"/>
                <w:sz w:val="18"/>
              </w:rPr>
              <w:t>Azure App Service</w:t>
            </w:r>
          </w:p>
        </w:tc>
        <w:tc>
          <w:tcPr>
            <w:tcW w:type="dxa" w:w="3312"/>
            <w:vAlign w:val="center"/>
          </w:tcPr>
          <w:p>
            <w:r/>
            <w:r>
              <w:rPr>
                <w:b w:val="0"/>
                <w:color w:val="000000"/>
                <w:sz w:val="18"/>
              </w:rPr>
              <w:t>Best for Microsoft cloud-aligned portfolio evidence.</w:t>
            </w:r>
          </w:p>
        </w:tc>
      </w:tr>
      <w:tr>
        <w:tc>
          <w:tcPr>
            <w:tcW w:type="dxa" w:w="2304"/>
            <w:vAlign w:val="center"/>
          </w:tcPr>
          <w:p>
            <w:r/>
            <w:r>
              <w:rPr>
                <w:b w:val="0"/>
                <w:color w:val="000000"/>
                <w:sz w:val="18"/>
              </w:rPr>
              <w:t>Alternative option</w:t>
            </w:r>
          </w:p>
        </w:tc>
        <w:tc>
          <w:tcPr>
            <w:tcW w:type="dxa" w:w="2592"/>
            <w:vAlign w:val="center"/>
          </w:tcPr>
          <w:p>
            <w:r/>
            <w:r>
              <w:rPr>
                <w:b w:val="0"/>
                <w:color w:val="000000"/>
                <w:sz w:val="18"/>
              </w:rPr>
              <w:t>Netlify</w:t>
            </w:r>
          </w:p>
        </w:tc>
        <w:tc>
          <w:tcPr>
            <w:tcW w:type="dxa" w:w="2592"/>
            <w:vAlign w:val="center"/>
          </w:tcPr>
          <w:p>
            <w:r/>
            <w:r>
              <w:rPr>
                <w:b w:val="0"/>
                <w:color w:val="000000"/>
                <w:sz w:val="18"/>
              </w:rPr>
              <w:t>Railway</w:t>
            </w:r>
          </w:p>
        </w:tc>
        <w:tc>
          <w:tcPr>
            <w:tcW w:type="dxa" w:w="3312"/>
            <w:vAlign w:val="center"/>
          </w:tcPr>
          <w:p>
            <w:r/>
            <w:r>
              <w:rPr>
                <w:b w:val="0"/>
                <w:color w:val="000000"/>
                <w:sz w:val="18"/>
              </w:rPr>
              <w:t>Fast demonstration hosting with simple GitHub-connected deployment.</w:t>
            </w:r>
          </w:p>
        </w:tc>
      </w:tr>
    </w:tbl>
    <w:p/>
    <w:p>
      <w:pPr>
        <w:pStyle w:val="Heading2"/>
        <w:spacing w:before="200" w:after="120"/>
      </w:pPr>
      <w:r>
        <w:t>Azure Hosting Plan</w:t>
      </w:r>
    </w:p>
    <w:p>
      <w:pPr>
        <w:pStyle w:val="ListBullet"/>
        <w:spacing w:after="60"/>
      </w:pPr>
      <w:r>
        <w:t>Deploy the React/Vite frontend to Azure Static Web Apps.</w:t>
      </w:r>
    </w:p>
    <w:p>
      <w:pPr>
        <w:pStyle w:val="ListBullet"/>
        <w:spacing w:after="60"/>
      </w:pPr>
      <w:r>
        <w:t>Deploy the ASP.NET Core backend to Azure App Service.</w:t>
      </w:r>
    </w:p>
    <w:p>
      <w:pPr>
        <w:pStyle w:val="ListBullet"/>
        <w:spacing w:after="60"/>
      </w:pPr>
      <w:r>
        <w:t>Set VITE_API_BASE_URL to the hosted backend API URL.</w:t>
      </w:r>
    </w:p>
    <w:p>
      <w:pPr>
        <w:pStyle w:val="ListBullet"/>
        <w:spacing w:after="60"/>
      </w:pPr>
      <w:r>
        <w:t>Restrict CORS to the hosted frontend origin.</w:t>
      </w:r>
    </w:p>
    <w:p>
      <w:pPr>
        <w:pStyle w:val="ListBullet"/>
        <w:spacing w:after="60"/>
      </w:pPr>
      <w:r>
        <w:t>Use App Service settings for environment values and API keys.</w:t>
      </w:r>
    </w:p>
    <w:p>
      <w:pPr>
        <w:pStyle w:val="ListBullet"/>
        <w:spacing w:after="60"/>
      </w:pPr>
      <w:r>
        <w:t>Capture hosted dashboard, health check, build and deployment screenshots as evidence.</w:t>
      </w:r>
    </w:p>
    <w:p>
      <w:pPr>
        <w:pStyle w:val="Heading2"/>
        <w:spacing w:before="200" w:after="120"/>
      </w:pPr>
      <w:r>
        <w:t>Hosted Prototype Security Notice</w:t>
      </w:r>
    </w:p>
    <w:p>
      <w:pPr>
        <w:spacing w:after="120" w:line="259" w:lineRule="auto"/>
      </w:pPr>
      <w:r>
        <w:t>The hosted version should be used with synthetic demonstration data only. If real learner data is ever used, the application must add authentication, role-based access control, protected learner/risk endpoints, audit logging, encrypted storage, retention rules and formal privacy governance.</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334155"/>
            <w:vAlign w:val="center"/>
          </w:tcPr>
          <w:p>
            <w:r/>
            <w:r>
              <w:rPr>
                <w:b/>
                <w:color w:val="FFFFFF"/>
                <w:sz w:val="18"/>
              </w:rPr>
              <w:t>Endpoint group</w:t>
            </w:r>
          </w:p>
        </w:tc>
        <w:tc>
          <w:tcPr>
            <w:tcW w:type="dxa" w:w="3168"/>
            <w:shd w:fill="334155"/>
            <w:vAlign w:val="center"/>
          </w:tcPr>
          <w:p>
            <w:r/>
            <w:r>
              <w:rPr>
                <w:b/>
                <w:color w:val="FFFFFF"/>
                <w:sz w:val="18"/>
              </w:rPr>
              <w:t>Demo status</w:t>
            </w:r>
          </w:p>
        </w:tc>
        <w:tc>
          <w:tcPr>
            <w:tcW w:type="dxa" w:w="3312"/>
            <w:shd w:fill="334155"/>
            <w:vAlign w:val="center"/>
          </w:tcPr>
          <w:p>
            <w:r/>
            <w:r>
              <w:rPr>
                <w:b/>
                <w:color w:val="FFFFFF"/>
                <w:sz w:val="18"/>
              </w:rPr>
              <w:t>Production requirement</w:t>
            </w:r>
          </w:p>
        </w:tc>
      </w:tr>
      <w:tr>
        <w:tc>
          <w:tcPr>
            <w:tcW w:type="dxa" w:w="3168"/>
            <w:vAlign w:val="center"/>
          </w:tcPr>
          <w:p>
            <w:r/>
            <w:r>
              <w:rPr>
                <w:b w:val="0"/>
                <w:color w:val="000000"/>
                <w:sz w:val="18"/>
              </w:rPr>
              <w:t>Health and ethics endpoints</w:t>
            </w:r>
          </w:p>
        </w:tc>
        <w:tc>
          <w:tcPr>
            <w:tcW w:type="dxa" w:w="3168"/>
            <w:vAlign w:val="center"/>
          </w:tcPr>
          <w:p>
            <w:r/>
            <w:r>
              <w:rPr>
                <w:b w:val="0"/>
                <w:color w:val="000000"/>
                <w:sz w:val="18"/>
              </w:rPr>
              <w:t>Can remain public.</w:t>
            </w:r>
          </w:p>
        </w:tc>
        <w:tc>
          <w:tcPr>
            <w:tcW w:type="dxa" w:w="3312"/>
            <w:vAlign w:val="center"/>
          </w:tcPr>
          <w:p>
            <w:r/>
            <w:r>
              <w:rPr>
                <w:b w:val="0"/>
                <w:color w:val="000000"/>
                <w:sz w:val="18"/>
              </w:rPr>
              <w:t>Monitor availability and keep ethics notice accessible.</w:t>
            </w:r>
          </w:p>
        </w:tc>
      </w:tr>
      <w:tr>
        <w:tc>
          <w:tcPr>
            <w:tcW w:type="dxa" w:w="3168"/>
            <w:vAlign w:val="center"/>
          </w:tcPr>
          <w:p>
            <w:r/>
            <w:r>
              <w:rPr>
                <w:b w:val="0"/>
                <w:color w:val="000000"/>
                <w:sz w:val="18"/>
              </w:rPr>
              <w:t>Learner, dashboard, risk and export endpoints</w:t>
            </w:r>
          </w:p>
        </w:tc>
        <w:tc>
          <w:tcPr>
            <w:tcW w:type="dxa" w:w="3168"/>
            <w:vAlign w:val="center"/>
          </w:tcPr>
          <w:p>
            <w:r/>
            <w:r>
              <w:rPr>
                <w:b w:val="0"/>
                <w:color w:val="000000"/>
                <w:sz w:val="18"/>
              </w:rPr>
              <w:t>Acceptable for synthetic demo only.</w:t>
            </w:r>
          </w:p>
        </w:tc>
        <w:tc>
          <w:tcPr>
            <w:tcW w:type="dxa" w:w="3312"/>
            <w:vAlign w:val="center"/>
          </w:tcPr>
          <w:p>
            <w:r/>
            <w:r>
              <w:rPr>
                <w:b w:val="0"/>
                <w:color w:val="000000"/>
                <w:sz w:val="18"/>
              </w:rPr>
              <w:t>Protect with authentication and role-based permissions.</w:t>
            </w:r>
          </w:p>
        </w:tc>
      </w:tr>
      <w:tr>
        <w:tc>
          <w:tcPr>
            <w:tcW w:type="dxa" w:w="3168"/>
            <w:vAlign w:val="center"/>
          </w:tcPr>
          <w:p>
            <w:r/>
            <w:r>
              <w:rPr>
                <w:b w:val="0"/>
                <w:color w:val="000000"/>
                <w:sz w:val="18"/>
              </w:rPr>
              <w:t>Upload and manual entry endpoints</w:t>
            </w:r>
          </w:p>
        </w:tc>
        <w:tc>
          <w:tcPr>
            <w:tcW w:type="dxa" w:w="3168"/>
            <w:vAlign w:val="center"/>
          </w:tcPr>
          <w:p>
            <w:r/>
            <w:r>
              <w:rPr>
                <w:b w:val="0"/>
                <w:color w:val="000000"/>
                <w:sz w:val="18"/>
              </w:rPr>
              <w:t>Should be gated by ethics declaration and API controls.</w:t>
            </w:r>
          </w:p>
        </w:tc>
        <w:tc>
          <w:tcPr>
            <w:tcW w:type="dxa" w:w="3312"/>
            <w:vAlign w:val="center"/>
          </w:tcPr>
          <w:p>
            <w:r/>
            <w:r>
              <w:rPr>
                <w:b w:val="0"/>
                <w:color w:val="000000"/>
                <w:sz w:val="18"/>
              </w:rPr>
              <w:t>Require authenticated staff access and audit logging.</w:t>
            </w:r>
          </w:p>
        </w:tc>
      </w:tr>
    </w:tbl>
    <w:p/>
    <w:p>
      <w:pPr>
        <w:pStyle w:val="Heading1"/>
        <w:spacing w:before="200" w:after="120"/>
      </w:pPr>
      <w:r>
        <w:t>13. Reflection and Future Improvements</w:t>
      </w:r>
    </w:p>
    <w:p>
      <w:pPr>
        <w:spacing w:after="120" w:line="259" w:lineRule="auto"/>
      </w:pPr>
      <w:r>
        <w:t>This project showed that a dashboard is only useful when the data, process and ethical controls around it are strong. The most important design decision was to make the risk model explainable. Instead of hiding the logic, the tool shows scores and reason codes so staff can review the context before taking action.</w:t>
      </w:r>
    </w:p>
    <w:p>
      <w:pPr>
        <w:spacing w:after="120" w:line="259" w:lineRule="auto"/>
      </w:pPr>
      <w:r>
        <w:t>A key challenge was balancing prototype functionality with assessment evidence. The final submission therefore focuses on traceability: every major assignment requirement links to a section, file or screenshot in the evidence pack. This makes the project easier to assess and easier to improve.</w:t>
      </w:r>
    </w:p>
    <w:p>
      <w:pPr>
        <w:pStyle w:val="Heading2"/>
        <w:spacing w:before="200" w:after="120"/>
      </w:pPr>
      <w:r>
        <w:t>Future Improvements</w:t>
      </w:r>
    </w:p>
    <w:p>
      <w:pPr>
        <w:pStyle w:val="ListBullet"/>
        <w:spacing w:after="60"/>
      </w:pPr>
      <w:r>
        <w:t>Add secure user authentication and role-based access for real deployments.</w:t>
      </w:r>
    </w:p>
    <w:p>
      <w:pPr>
        <w:pStyle w:val="ListBullet"/>
        <w:spacing w:after="60"/>
      </w:pPr>
      <w:r>
        <w:t>Add persistent storage with a controlled retention policy.</w:t>
      </w:r>
    </w:p>
    <w:p>
      <w:pPr>
        <w:pStyle w:val="ListBullet"/>
        <w:spacing w:after="60"/>
      </w:pPr>
      <w:r>
        <w:t>Add intervention tracking so staff can record actions and outcomes.</w:t>
      </w:r>
    </w:p>
    <w:p>
      <w:pPr>
        <w:pStyle w:val="ListBullet"/>
        <w:spacing w:after="60"/>
      </w:pPr>
      <w:r>
        <w:t>Calibrate the scoring model with anonymised historical programme data.</w:t>
      </w:r>
    </w:p>
    <w:p>
      <w:pPr>
        <w:pStyle w:val="ListBullet"/>
        <w:spacing w:after="60"/>
      </w:pPr>
      <w:r>
        <w:t>Add accessibility testing and keyboard navigation evidence.</w:t>
      </w:r>
    </w:p>
    <w:p>
      <w:pPr>
        <w:pStyle w:val="ListBullet"/>
        <w:spacing w:after="60"/>
      </w:pPr>
      <w:r>
        <w:t>Add automated backend unit tests and frontend component tests.</w:t>
      </w:r>
    </w:p>
    <w:p>
      <w:pPr>
        <w:pStyle w:val="ListBullet"/>
        <w:spacing w:after="60"/>
      </w:pPr>
      <w:r>
        <w:t>Add a PDF summary export for management reporting.</w:t>
      </w:r>
    </w:p>
    <w:p>
      <w:pPr>
        <w:pStyle w:val="Heading1"/>
        <w:spacing w:before="200" w:after="120"/>
      </w:pPr>
      <w:r>
        <w:t>14. Evidence Inventory Mapped to SFIA Skills</w:t>
      </w:r>
    </w:p>
    <w:p>
      <w:pPr>
        <w:spacing w:after="120" w:line="259" w:lineRule="auto"/>
      </w:pPr>
      <w:r>
        <w:t>The evidence inventory shows how the project meets each SFIA capability area in the integrated assignment. This prevents the report from reading as separate tasks and gives the assessor a clear map between skill requirements and project evidence.</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E3A8A"/>
            <w:vAlign w:val="center"/>
          </w:tcPr>
          <w:p>
            <w:r/>
            <w:r>
              <w:rPr>
                <w:b/>
                <w:color w:val="FFFFFF"/>
                <w:sz w:val="18"/>
              </w:rPr>
              <w:t>SFIA skill</w:t>
            </w:r>
          </w:p>
        </w:tc>
        <w:tc>
          <w:tcPr>
            <w:tcW w:type="dxa" w:w="4464"/>
            <w:shd w:fill="1E3A8A"/>
            <w:vAlign w:val="center"/>
          </w:tcPr>
          <w:p>
            <w:r/>
            <w:r>
              <w:rPr>
                <w:b/>
                <w:color w:val="FFFFFF"/>
                <w:sz w:val="18"/>
              </w:rPr>
              <w:t>Evidence in project</w:t>
            </w:r>
          </w:p>
        </w:tc>
        <w:tc>
          <w:tcPr>
            <w:tcW w:type="dxa" w:w="3168"/>
            <w:shd w:fill="1E3A8A"/>
            <w:vAlign w:val="center"/>
          </w:tcPr>
          <w:p>
            <w:r/>
            <w:r>
              <w:rPr>
                <w:b/>
                <w:color w:val="FFFFFF"/>
                <w:sz w:val="18"/>
              </w:rPr>
              <w:t>What it demonstrates</w:t>
            </w:r>
          </w:p>
        </w:tc>
      </w:tr>
      <w:tr>
        <w:tc>
          <w:tcPr>
            <w:tcW w:type="dxa" w:w="2448"/>
            <w:vAlign w:val="center"/>
          </w:tcPr>
          <w:p>
            <w:r/>
            <w:r>
              <w:rPr>
                <w:b w:val="0"/>
                <w:color w:val="000000"/>
                <w:sz w:val="18"/>
              </w:rPr>
              <w:t>AIDE - AI and Data Ethics</w:t>
            </w:r>
          </w:p>
        </w:tc>
        <w:tc>
          <w:tcPr>
            <w:tcW w:type="dxa" w:w="4464"/>
            <w:vAlign w:val="center"/>
          </w:tcPr>
          <w:p>
            <w:r/>
            <w:r>
              <w:rPr>
                <w:b w:val="0"/>
                <w:color w:val="000000"/>
                <w:sz w:val="18"/>
              </w:rPr>
              <w:t>Ethics review, governance checklist, ethics endpoint, privacy panel and human review wording.</w:t>
            </w:r>
          </w:p>
        </w:tc>
        <w:tc>
          <w:tcPr>
            <w:tcW w:type="dxa" w:w="3168"/>
            <w:vAlign w:val="center"/>
          </w:tcPr>
          <w:p>
            <w:r/>
            <w:r>
              <w:rPr>
                <w:b w:val="0"/>
                <w:color w:val="000000"/>
                <w:sz w:val="18"/>
              </w:rPr>
              <w:t>Responsible data use, consent, fairness, harm prevention and non-automation boundaries.</w:t>
            </w:r>
          </w:p>
        </w:tc>
      </w:tr>
      <w:tr>
        <w:tc>
          <w:tcPr>
            <w:tcW w:type="dxa" w:w="2448"/>
            <w:vAlign w:val="center"/>
          </w:tcPr>
          <w:p>
            <w:r/>
            <w:r>
              <w:rPr>
                <w:b w:val="0"/>
                <w:color w:val="000000"/>
                <w:sz w:val="18"/>
              </w:rPr>
              <w:t>BSMO - Business Modelling</w:t>
            </w:r>
          </w:p>
        </w:tc>
        <w:tc>
          <w:tcPr>
            <w:tcW w:type="dxa" w:w="4464"/>
            <w:vAlign w:val="center"/>
          </w:tcPr>
          <w:p>
            <w:r/>
            <w:r>
              <w:rPr>
                <w:b w:val="0"/>
                <w:color w:val="000000"/>
                <w:sz w:val="18"/>
              </w:rPr>
              <w:t>Value model, stakeholder needs analysis and review evidence.</w:t>
            </w:r>
          </w:p>
        </w:tc>
        <w:tc>
          <w:tcPr>
            <w:tcW w:type="dxa" w:w="3168"/>
            <w:vAlign w:val="center"/>
          </w:tcPr>
          <w:p>
            <w:r/>
            <w:r>
              <w:rPr>
                <w:b w:val="0"/>
                <w:color w:val="000000"/>
                <w:sz w:val="18"/>
              </w:rPr>
              <w:t>Business value, stakeholder alignment and decision-support outcomes.</w:t>
            </w:r>
          </w:p>
        </w:tc>
      </w:tr>
      <w:tr>
        <w:tc>
          <w:tcPr>
            <w:tcW w:type="dxa" w:w="2448"/>
            <w:vAlign w:val="center"/>
          </w:tcPr>
          <w:p>
            <w:r/>
            <w:r>
              <w:rPr>
                <w:b w:val="0"/>
                <w:color w:val="000000"/>
                <w:sz w:val="18"/>
              </w:rPr>
              <w:t>BPRE - Business Process Improvement</w:t>
            </w:r>
          </w:p>
        </w:tc>
        <w:tc>
          <w:tcPr>
            <w:tcW w:type="dxa" w:w="4464"/>
            <w:vAlign w:val="center"/>
          </w:tcPr>
          <w:p>
            <w:r/>
            <w:r>
              <w:rPr>
                <w:b w:val="0"/>
                <w:color w:val="000000"/>
                <w:sz w:val="18"/>
              </w:rPr>
              <w:t>As-is and to-be process models plus workflow explanation.</w:t>
            </w:r>
          </w:p>
        </w:tc>
        <w:tc>
          <w:tcPr>
            <w:tcW w:type="dxa" w:w="3168"/>
            <w:vAlign w:val="center"/>
          </w:tcPr>
          <w:p>
            <w:r/>
            <w:r>
              <w:rPr>
                <w:b w:val="0"/>
                <w:color w:val="000000"/>
                <w:sz w:val="18"/>
              </w:rPr>
              <w:t>Process analysis, improvement opportunities and tool placement.</w:t>
            </w:r>
          </w:p>
        </w:tc>
      </w:tr>
      <w:tr>
        <w:tc>
          <w:tcPr>
            <w:tcW w:type="dxa" w:w="2448"/>
            <w:vAlign w:val="center"/>
          </w:tcPr>
          <w:p>
            <w:r/>
            <w:r>
              <w:rPr>
                <w:b w:val="0"/>
                <w:color w:val="000000"/>
                <w:sz w:val="18"/>
              </w:rPr>
              <w:t>PROG - Programming / Software Development</w:t>
            </w:r>
          </w:p>
        </w:tc>
        <w:tc>
          <w:tcPr>
            <w:tcW w:type="dxa" w:w="4464"/>
            <w:vAlign w:val="center"/>
          </w:tcPr>
          <w:p>
            <w:r/>
            <w:r>
              <w:rPr>
                <w:b w:val="0"/>
                <w:color w:val="000000"/>
                <w:sz w:val="18"/>
              </w:rPr>
              <w:t>Frontend, backend, validation, risk scoring, export and API endpoints.</w:t>
            </w:r>
          </w:p>
        </w:tc>
        <w:tc>
          <w:tcPr>
            <w:tcW w:type="dxa" w:w="3168"/>
            <w:vAlign w:val="center"/>
          </w:tcPr>
          <w:p>
            <w:r/>
            <w:r>
              <w:rPr>
                <w:b w:val="0"/>
                <w:color w:val="000000"/>
                <w:sz w:val="18"/>
              </w:rPr>
              <w:t>Working prototype and implemented features.</w:t>
            </w:r>
          </w:p>
        </w:tc>
      </w:tr>
      <w:tr>
        <w:tc>
          <w:tcPr>
            <w:tcW w:type="dxa" w:w="2448"/>
            <w:vAlign w:val="center"/>
          </w:tcPr>
          <w:p>
            <w:r/>
            <w:r>
              <w:rPr>
                <w:b w:val="0"/>
                <w:color w:val="000000"/>
                <w:sz w:val="18"/>
              </w:rPr>
              <w:t>DAAN - Data Analytics</w:t>
            </w:r>
          </w:p>
        </w:tc>
        <w:tc>
          <w:tcPr>
            <w:tcW w:type="dxa" w:w="4464"/>
            <w:vAlign w:val="center"/>
          </w:tcPr>
          <w:p>
            <w:r/>
            <w:r>
              <w:rPr>
                <w:b w:val="0"/>
                <w:color w:val="000000"/>
                <w:sz w:val="18"/>
              </w:rPr>
              <w:t>Synthetic dataset, data dictionary, dashboard KPIs, charts, insights and recommendations.</w:t>
            </w:r>
          </w:p>
        </w:tc>
        <w:tc>
          <w:tcPr>
            <w:tcW w:type="dxa" w:w="3168"/>
            <w:vAlign w:val="center"/>
          </w:tcPr>
          <w:p>
            <w:r/>
            <w:r>
              <w:rPr>
                <w:b w:val="0"/>
                <w:color w:val="000000"/>
                <w:sz w:val="18"/>
              </w:rPr>
              <w:t>Data preparation, analysis, visualisation and practical recommendations.</w:t>
            </w:r>
          </w:p>
        </w:tc>
      </w:tr>
      <w:tr>
        <w:tc>
          <w:tcPr>
            <w:tcW w:type="dxa" w:w="2448"/>
            <w:vAlign w:val="center"/>
          </w:tcPr>
          <w:p>
            <w:r/>
            <w:r>
              <w:rPr>
                <w:b w:val="0"/>
                <w:color w:val="000000"/>
                <w:sz w:val="18"/>
              </w:rPr>
              <w:t>METL - Methods and Tools</w:t>
            </w:r>
          </w:p>
        </w:tc>
        <w:tc>
          <w:tcPr>
            <w:tcW w:type="dxa" w:w="4464"/>
            <w:vAlign w:val="center"/>
          </w:tcPr>
          <w:p>
            <w:r/>
            <w:r>
              <w:rPr>
                <w:b w:val="0"/>
                <w:color w:val="000000"/>
                <w:sz w:val="18"/>
              </w:rPr>
              <w:t>README, user guide, workflow, CI, test log, bug log and evidence folder.</w:t>
            </w:r>
          </w:p>
        </w:tc>
        <w:tc>
          <w:tcPr>
            <w:tcW w:type="dxa" w:w="3168"/>
            <w:vAlign w:val="center"/>
          </w:tcPr>
          <w:p>
            <w:r/>
            <w:r>
              <w:rPr>
                <w:b w:val="0"/>
                <w:color w:val="000000"/>
                <w:sz w:val="18"/>
              </w:rPr>
              <w:t>Structured development method, tool use and quality evidence.</w:t>
            </w:r>
          </w:p>
        </w:tc>
      </w:tr>
    </w:tbl>
    <w:p/>
    <w:p>
      <w:pPr>
        <w:pStyle w:val="Heading1"/>
        <w:spacing w:before="200" w:after="120"/>
      </w:pPr>
      <w:r>
        <w:t>15. Final Submission Checklist</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0F766E"/>
            <w:vAlign w:val="center"/>
          </w:tcPr>
          <w:p>
            <w:r/>
            <w:r>
              <w:rPr>
                <w:b/>
                <w:color w:val="FFFFFF"/>
                <w:sz w:val="18"/>
              </w:rPr>
              <w:t>Item</w:t>
            </w:r>
          </w:p>
        </w:tc>
        <w:tc>
          <w:tcPr>
            <w:tcW w:type="dxa" w:w="1728"/>
            <w:shd w:fill="0F766E"/>
            <w:vAlign w:val="center"/>
          </w:tcPr>
          <w:p>
            <w:r/>
            <w:r>
              <w:rPr>
                <w:b/>
                <w:color w:val="FFFFFF"/>
                <w:sz w:val="18"/>
              </w:rPr>
              <w:t>Status</w:t>
            </w:r>
          </w:p>
        </w:tc>
        <w:tc>
          <w:tcPr>
            <w:tcW w:type="dxa" w:w="5328"/>
            <w:shd w:fill="0F766E"/>
            <w:vAlign w:val="center"/>
          </w:tcPr>
          <w:p>
            <w:r/>
            <w:r>
              <w:rPr>
                <w:b/>
                <w:color w:val="FFFFFF"/>
                <w:sz w:val="18"/>
              </w:rPr>
              <w:t>Evidence note</w:t>
            </w:r>
          </w:p>
        </w:tc>
      </w:tr>
      <w:tr>
        <w:tc>
          <w:tcPr>
            <w:tcW w:type="dxa" w:w="2880"/>
            <w:vAlign w:val="center"/>
          </w:tcPr>
          <w:p>
            <w:r/>
            <w:r>
              <w:rPr>
                <w:b w:val="0"/>
                <w:color w:val="000000"/>
                <w:sz w:val="18"/>
              </w:rPr>
              <w:t>Working prototype</w:t>
            </w:r>
          </w:p>
        </w:tc>
        <w:tc>
          <w:tcPr>
            <w:tcW w:type="dxa" w:w="1728"/>
            <w:vAlign w:val="center"/>
          </w:tcPr>
          <w:p>
            <w:r/>
            <w:r>
              <w:rPr>
                <w:b w:val="0"/>
                <w:color w:val="000000"/>
                <w:sz w:val="18"/>
              </w:rPr>
              <w:t>Complete</w:t>
            </w:r>
          </w:p>
        </w:tc>
        <w:tc>
          <w:tcPr>
            <w:tcW w:type="dxa" w:w="5328"/>
            <w:vAlign w:val="center"/>
          </w:tcPr>
          <w:p>
            <w:r/>
            <w:r>
              <w:rPr>
                <w:b w:val="0"/>
                <w:color w:val="000000"/>
                <w:sz w:val="18"/>
              </w:rPr>
              <w:t>React frontend + ASP.NET Core backend.</w:t>
            </w:r>
          </w:p>
        </w:tc>
      </w:tr>
      <w:tr>
        <w:tc>
          <w:tcPr>
            <w:tcW w:type="dxa" w:w="2880"/>
            <w:vAlign w:val="center"/>
          </w:tcPr>
          <w:p>
            <w:r/>
            <w:r>
              <w:rPr>
                <w:b w:val="0"/>
                <w:color w:val="000000"/>
                <w:sz w:val="18"/>
              </w:rPr>
              <w:t>Integrated report</w:t>
            </w:r>
          </w:p>
        </w:tc>
        <w:tc>
          <w:tcPr>
            <w:tcW w:type="dxa" w:w="1728"/>
            <w:vAlign w:val="center"/>
          </w:tcPr>
          <w:p>
            <w:r/>
            <w:r>
              <w:rPr>
                <w:b w:val="0"/>
                <w:color w:val="000000"/>
                <w:sz w:val="18"/>
              </w:rPr>
              <w:t>Complete</w:t>
            </w:r>
          </w:p>
        </w:tc>
        <w:tc>
          <w:tcPr>
            <w:tcW w:type="dxa" w:w="5328"/>
            <w:vAlign w:val="center"/>
          </w:tcPr>
          <w:p>
            <w:r/>
            <w:r>
              <w:rPr>
                <w:b w:val="0"/>
                <w:color w:val="000000"/>
                <w:sz w:val="18"/>
              </w:rPr>
              <w:t>DOCX/PDF final report.</w:t>
            </w:r>
          </w:p>
        </w:tc>
      </w:tr>
      <w:tr>
        <w:tc>
          <w:tcPr>
            <w:tcW w:type="dxa" w:w="2880"/>
            <w:vAlign w:val="center"/>
          </w:tcPr>
          <w:p>
            <w:r/>
            <w:r>
              <w:rPr>
                <w:b w:val="0"/>
                <w:color w:val="000000"/>
                <w:sz w:val="18"/>
              </w:rPr>
              <w:t>Synthetic dataset</w:t>
            </w:r>
          </w:p>
        </w:tc>
        <w:tc>
          <w:tcPr>
            <w:tcW w:type="dxa" w:w="1728"/>
            <w:vAlign w:val="center"/>
          </w:tcPr>
          <w:p>
            <w:r/>
            <w:r>
              <w:rPr>
                <w:b w:val="0"/>
                <w:color w:val="000000"/>
                <w:sz w:val="18"/>
              </w:rPr>
              <w:t>Complete</w:t>
            </w:r>
          </w:p>
        </w:tc>
        <w:tc>
          <w:tcPr>
            <w:tcW w:type="dxa" w:w="5328"/>
            <w:vAlign w:val="center"/>
          </w:tcPr>
          <w:p>
            <w:r/>
            <w:r>
              <w:rPr>
                <w:b w:val="0"/>
                <w:color w:val="000000"/>
                <w:sz w:val="18"/>
              </w:rPr>
              <w:t>30 learner records.</w:t>
            </w:r>
          </w:p>
        </w:tc>
      </w:tr>
      <w:tr>
        <w:tc>
          <w:tcPr>
            <w:tcW w:type="dxa" w:w="2880"/>
            <w:vAlign w:val="center"/>
          </w:tcPr>
          <w:p>
            <w:r/>
            <w:r>
              <w:rPr>
                <w:b w:val="0"/>
                <w:color w:val="000000"/>
                <w:sz w:val="18"/>
              </w:rPr>
              <w:t>Data dictionary</w:t>
            </w:r>
          </w:p>
        </w:tc>
        <w:tc>
          <w:tcPr>
            <w:tcW w:type="dxa" w:w="1728"/>
            <w:vAlign w:val="center"/>
          </w:tcPr>
          <w:p>
            <w:r/>
            <w:r>
              <w:rPr>
                <w:b w:val="0"/>
                <w:color w:val="000000"/>
                <w:sz w:val="18"/>
              </w:rPr>
              <w:t>Complete</w:t>
            </w:r>
          </w:p>
        </w:tc>
        <w:tc>
          <w:tcPr>
            <w:tcW w:type="dxa" w:w="5328"/>
            <w:vAlign w:val="center"/>
          </w:tcPr>
          <w:p>
            <w:r/>
            <w:r>
              <w:rPr>
                <w:b w:val="0"/>
                <w:color w:val="000000"/>
                <w:sz w:val="18"/>
              </w:rPr>
              <w:t>Field definitions and values.</w:t>
            </w:r>
          </w:p>
        </w:tc>
      </w:tr>
      <w:tr>
        <w:tc>
          <w:tcPr>
            <w:tcW w:type="dxa" w:w="2880"/>
            <w:vAlign w:val="center"/>
          </w:tcPr>
          <w:p>
            <w:r/>
            <w:r>
              <w:rPr>
                <w:b w:val="0"/>
                <w:color w:val="000000"/>
                <w:sz w:val="18"/>
              </w:rPr>
              <w:t>Three or more visualisations</w:t>
            </w:r>
          </w:p>
        </w:tc>
        <w:tc>
          <w:tcPr>
            <w:tcW w:type="dxa" w:w="1728"/>
            <w:vAlign w:val="center"/>
          </w:tcPr>
          <w:p>
            <w:r/>
            <w:r>
              <w:rPr>
                <w:b w:val="0"/>
                <w:color w:val="000000"/>
                <w:sz w:val="18"/>
              </w:rPr>
              <w:t>Complete</w:t>
            </w:r>
          </w:p>
        </w:tc>
        <w:tc>
          <w:tcPr>
            <w:tcW w:type="dxa" w:w="5328"/>
            <w:vAlign w:val="center"/>
          </w:tcPr>
          <w:p>
            <w:r/>
            <w:r>
              <w:rPr>
                <w:b w:val="0"/>
                <w:color w:val="000000"/>
                <w:sz w:val="18"/>
              </w:rPr>
              <w:t>Five visualisations included.</w:t>
            </w:r>
          </w:p>
        </w:tc>
      </w:tr>
      <w:tr>
        <w:tc>
          <w:tcPr>
            <w:tcW w:type="dxa" w:w="2880"/>
            <w:vAlign w:val="center"/>
          </w:tcPr>
          <w:p>
            <w:r/>
            <w:r>
              <w:rPr>
                <w:b w:val="0"/>
                <w:color w:val="000000"/>
                <w:sz w:val="18"/>
              </w:rPr>
              <w:t>Five or more insights</w:t>
            </w:r>
          </w:p>
        </w:tc>
        <w:tc>
          <w:tcPr>
            <w:tcW w:type="dxa" w:w="1728"/>
            <w:vAlign w:val="center"/>
          </w:tcPr>
          <w:p>
            <w:r/>
            <w:r>
              <w:rPr>
                <w:b w:val="0"/>
                <w:color w:val="000000"/>
                <w:sz w:val="18"/>
              </w:rPr>
              <w:t>Complete</w:t>
            </w:r>
          </w:p>
        </w:tc>
        <w:tc>
          <w:tcPr>
            <w:tcW w:type="dxa" w:w="5328"/>
            <w:vAlign w:val="center"/>
          </w:tcPr>
          <w:p>
            <w:r/>
            <w:r>
              <w:rPr>
                <w:b w:val="0"/>
                <w:color w:val="000000"/>
                <w:sz w:val="18"/>
              </w:rPr>
              <w:t>Five key insights in analytics section.</w:t>
            </w:r>
          </w:p>
        </w:tc>
      </w:tr>
      <w:tr>
        <w:tc>
          <w:tcPr>
            <w:tcW w:type="dxa" w:w="2880"/>
            <w:vAlign w:val="center"/>
          </w:tcPr>
          <w:p>
            <w:r/>
            <w:r>
              <w:rPr>
                <w:b w:val="0"/>
                <w:color w:val="000000"/>
                <w:sz w:val="18"/>
              </w:rPr>
              <w:t>Three or more recommendations</w:t>
            </w:r>
          </w:p>
        </w:tc>
        <w:tc>
          <w:tcPr>
            <w:tcW w:type="dxa" w:w="1728"/>
            <w:vAlign w:val="center"/>
          </w:tcPr>
          <w:p>
            <w:r/>
            <w:r>
              <w:rPr>
                <w:b w:val="0"/>
                <w:color w:val="000000"/>
                <w:sz w:val="18"/>
              </w:rPr>
              <w:t>Complete</w:t>
            </w:r>
          </w:p>
        </w:tc>
        <w:tc>
          <w:tcPr>
            <w:tcW w:type="dxa" w:w="5328"/>
            <w:vAlign w:val="center"/>
          </w:tcPr>
          <w:p>
            <w:r/>
            <w:r>
              <w:rPr>
                <w:b w:val="0"/>
                <w:color w:val="000000"/>
                <w:sz w:val="18"/>
              </w:rPr>
              <w:t>Connectivity/device, attendance support, clinics and resource review.</w:t>
            </w:r>
          </w:p>
        </w:tc>
      </w:tr>
      <w:tr>
        <w:tc>
          <w:tcPr>
            <w:tcW w:type="dxa" w:w="2880"/>
            <w:vAlign w:val="center"/>
          </w:tcPr>
          <w:p>
            <w:r/>
            <w:r>
              <w:rPr>
                <w:b w:val="0"/>
                <w:color w:val="000000"/>
                <w:sz w:val="18"/>
              </w:rPr>
              <w:t>As-is and to-be process diagrams</w:t>
            </w:r>
          </w:p>
        </w:tc>
        <w:tc>
          <w:tcPr>
            <w:tcW w:type="dxa" w:w="1728"/>
            <w:vAlign w:val="center"/>
          </w:tcPr>
          <w:p>
            <w:r/>
            <w:r>
              <w:rPr>
                <w:b w:val="0"/>
                <w:color w:val="000000"/>
                <w:sz w:val="18"/>
              </w:rPr>
              <w:t>Complete</w:t>
            </w:r>
          </w:p>
        </w:tc>
        <w:tc>
          <w:tcPr>
            <w:tcW w:type="dxa" w:w="5328"/>
            <w:vAlign w:val="center"/>
          </w:tcPr>
          <w:p>
            <w:r/>
            <w:r>
              <w:rPr>
                <w:b w:val="0"/>
                <w:color w:val="000000"/>
                <w:sz w:val="18"/>
              </w:rPr>
              <w:t>Included and explained.</w:t>
            </w:r>
          </w:p>
        </w:tc>
      </w:tr>
      <w:tr>
        <w:tc>
          <w:tcPr>
            <w:tcW w:type="dxa" w:w="2880"/>
            <w:vAlign w:val="center"/>
          </w:tcPr>
          <w:p>
            <w:r/>
            <w:r>
              <w:rPr>
                <w:b w:val="0"/>
                <w:color w:val="000000"/>
                <w:sz w:val="18"/>
              </w:rPr>
              <w:t>Business/value model</w:t>
            </w:r>
          </w:p>
        </w:tc>
        <w:tc>
          <w:tcPr>
            <w:tcW w:type="dxa" w:w="1728"/>
            <w:vAlign w:val="center"/>
          </w:tcPr>
          <w:p>
            <w:r/>
            <w:r>
              <w:rPr>
                <w:b w:val="0"/>
                <w:color w:val="000000"/>
                <w:sz w:val="18"/>
              </w:rPr>
              <w:t>Complete</w:t>
            </w:r>
          </w:p>
        </w:tc>
        <w:tc>
          <w:tcPr>
            <w:tcW w:type="dxa" w:w="5328"/>
            <w:vAlign w:val="center"/>
          </w:tcPr>
          <w:p>
            <w:r/>
            <w:r>
              <w:rPr>
                <w:b w:val="0"/>
                <w:color w:val="000000"/>
                <w:sz w:val="18"/>
              </w:rPr>
              <w:t>Value model and stakeholder mapping.</w:t>
            </w:r>
          </w:p>
        </w:tc>
      </w:tr>
      <w:tr>
        <w:tc>
          <w:tcPr>
            <w:tcW w:type="dxa" w:w="2880"/>
            <w:vAlign w:val="center"/>
          </w:tcPr>
          <w:p>
            <w:r/>
            <w:r>
              <w:rPr>
                <w:b w:val="0"/>
                <w:color w:val="000000"/>
                <w:sz w:val="18"/>
              </w:rPr>
              <w:t>AI/data ethics review</w:t>
            </w:r>
          </w:p>
        </w:tc>
        <w:tc>
          <w:tcPr>
            <w:tcW w:type="dxa" w:w="1728"/>
            <w:vAlign w:val="center"/>
          </w:tcPr>
          <w:p>
            <w:r/>
            <w:r>
              <w:rPr>
                <w:b w:val="0"/>
                <w:color w:val="000000"/>
                <w:sz w:val="18"/>
              </w:rPr>
              <w:t>Complete</w:t>
            </w:r>
          </w:p>
        </w:tc>
        <w:tc>
          <w:tcPr>
            <w:tcW w:type="dxa" w:w="5328"/>
            <w:vAlign w:val="center"/>
          </w:tcPr>
          <w:p>
            <w:r/>
            <w:r>
              <w:rPr>
                <w:b w:val="0"/>
                <w:color w:val="000000"/>
                <w:sz w:val="18"/>
              </w:rPr>
              <w:t>Ethics review, privacy notice and governance checklist.</w:t>
            </w:r>
          </w:p>
        </w:tc>
      </w:tr>
      <w:tr>
        <w:tc>
          <w:tcPr>
            <w:tcW w:type="dxa" w:w="2880"/>
            <w:vAlign w:val="center"/>
          </w:tcPr>
          <w:p>
            <w:r/>
            <w:r>
              <w:rPr>
                <w:b w:val="0"/>
                <w:color w:val="000000"/>
                <w:sz w:val="18"/>
              </w:rPr>
              <w:t>Testing and bug log</w:t>
            </w:r>
          </w:p>
        </w:tc>
        <w:tc>
          <w:tcPr>
            <w:tcW w:type="dxa" w:w="1728"/>
            <w:vAlign w:val="center"/>
          </w:tcPr>
          <w:p>
            <w:r/>
            <w:r>
              <w:rPr>
                <w:b w:val="0"/>
                <w:color w:val="000000"/>
                <w:sz w:val="18"/>
              </w:rPr>
              <w:t>Complete</w:t>
            </w:r>
          </w:p>
        </w:tc>
        <w:tc>
          <w:tcPr>
            <w:tcW w:type="dxa" w:w="5328"/>
            <w:vAlign w:val="center"/>
          </w:tcPr>
          <w:p>
            <w:r/>
            <w:r>
              <w:rPr>
                <w:b w:val="0"/>
                <w:color w:val="000000"/>
                <w:sz w:val="18"/>
              </w:rPr>
              <w:t>Test log and bug log included.</w:t>
            </w:r>
          </w:p>
        </w:tc>
      </w:tr>
      <w:tr>
        <w:tc>
          <w:tcPr>
            <w:tcW w:type="dxa" w:w="2880"/>
            <w:vAlign w:val="center"/>
          </w:tcPr>
          <w:p>
            <w:r/>
            <w:r>
              <w:rPr>
                <w:b w:val="0"/>
                <w:color w:val="000000"/>
                <w:sz w:val="18"/>
              </w:rPr>
              <w:t>README/user guide</w:t>
            </w:r>
          </w:p>
        </w:tc>
        <w:tc>
          <w:tcPr>
            <w:tcW w:type="dxa" w:w="1728"/>
            <w:vAlign w:val="center"/>
          </w:tcPr>
          <w:p>
            <w:r/>
            <w:r>
              <w:rPr>
                <w:b w:val="0"/>
                <w:color w:val="000000"/>
                <w:sz w:val="18"/>
              </w:rPr>
              <w:t>Complete</w:t>
            </w:r>
          </w:p>
        </w:tc>
        <w:tc>
          <w:tcPr>
            <w:tcW w:type="dxa" w:w="5328"/>
            <w:vAlign w:val="center"/>
          </w:tcPr>
          <w:p>
            <w:r/>
            <w:r>
              <w:rPr>
                <w:b w:val="0"/>
                <w:color w:val="000000"/>
                <w:sz w:val="18"/>
              </w:rPr>
              <w:t>Run commands and user flow documented.</w:t>
            </w:r>
          </w:p>
        </w:tc>
      </w:tr>
      <w:tr>
        <w:tc>
          <w:tcPr>
            <w:tcW w:type="dxa" w:w="2880"/>
            <w:vAlign w:val="center"/>
          </w:tcPr>
          <w:p>
            <w:r/>
            <w:r>
              <w:rPr>
                <w:b w:val="0"/>
                <w:color w:val="000000"/>
                <w:sz w:val="18"/>
              </w:rPr>
              <w:t>SFIA evidence mapping</w:t>
            </w:r>
          </w:p>
        </w:tc>
        <w:tc>
          <w:tcPr>
            <w:tcW w:type="dxa" w:w="1728"/>
            <w:vAlign w:val="center"/>
          </w:tcPr>
          <w:p>
            <w:r/>
            <w:r>
              <w:rPr>
                <w:b w:val="0"/>
                <w:color w:val="000000"/>
                <w:sz w:val="18"/>
              </w:rPr>
              <w:t>Complete</w:t>
            </w:r>
          </w:p>
        </w:tc>
        <w:tc>
          <w:tcPr>
            <w:tcW w:type="dxa" w:w="5328"/>
            <w:vAlign w:val="center"/>
          </w:tcPr>
          <w:p>
            <w:r/>
            <w:r>
              <w:rPr>
                <w:b w:val="0"/>
                <w:color w:val="000000"/>
                <w:sz w:val="18"/>
              </w:rPr>
              <w:t>Skill-to-evidence mapping included.</w:t>
            </w:r>
          </w:p>
        </w:tc>
      </w:tr>
      <w:tr>
        <w:tc>
          <w:tcPr>
            <w:tcW w:type="dxa" w:w="2880"/>
            <w:vAlign w:val="center"/>
          </w:tcPr>
          <w:p>
            <w:r/>
            <w:r>
              <w:rPr>
                <w:b w:val="0"/>
                <w:color w:val="000000"/>
                <w:sz w:val="18"/>
              </w:rPr>
              <w:t>Screenshot evidence</w:t>
            </w:r>
          </w:p>
        </w:tc>
        <w:tc>
          <w:tcPr>
            <w:tcW w:type="dxa" w:w="1728"/>
            <w:vAlign w:val="center"/>
          </w:tcPr>
          <w:p>
            <w:r/>
            <w:r>
              <w:rPr>
                <w:b w:val="0"/>
                <w:color w:val="000000"/>
                <w:sz w:val="18"/>
              </w:rPr>
              <w:t>Complete</w:t>
            </w:r>
          </w:p>
        </w:tc>
        <w:tc>
          <w:tcPr>
            <w:tcW w:type="dxa" w:w="5328"/>
            <w:vAlign w:val="center"/>
          </w:tcPr>
          <w:p>
            <w:r/>
            <w:r>
              <w:rPr>
                <w:b w:val="0"/>
                <w:color w:val="000000"/>
                <w:sz w:val="18"/>
              </w:rPr>
              <w:t>Dashboard, validation, risk, ethics and build screenshots.</w:t>
            </w:r>
          </w:p>
        </w:tc>
      </w:tr>
    </w:tbl>
    <w:p/>
    <w:p>
      <w:pPr>
        <w:pStyle w:val="Heading1"/>
        <w:spacing w:before="200" w:after="120"/>
      </w:pPr>
      <w:r>
        <w:t>Appendices</w:t>
      </w:r>
    </w:p>
    <w:p>
      <w:pPr>
        <w:pStyle w:val="Heading2"/>
        <w:spacing w:before="200" w:after="120"/>
      </w:pPr>
      <w:r>
        <w:t>Appendix A: Screenshot Evidence</w:t>
      </w:r>
    </w:p>
    <w:p>
      <w:pPr>
        <w:jc w:val="center"/>
      </w:pPr>
      <w:r>
        <w:drawing>
          <wp:inline xmlns:a="http://schemas.openxmlformats.org/drawingml/2006/main" xmlns:pic="http://schemas.openxmlformats.org/drawingml/2006/picture">
            <wp:extent cx="6126480" cy="18332640"/>
            <wp:docPr id="20" name="Picture 20"/>
            <wp:cNvGraphicFramePr>
              <a:graphicFrameLocks noChangeAspect="1"/>
            </wp:cNvGraphicFramePr>
            <a:graphic>
              <a:graphicData uri="http://schemas.openxmlformats.org/drawingml/2006/picture">
                <pic:pic>
                  <pic:nvPicPr>
                    <pic:cNvPr id="0" name="settings-view.png"/>
                    <pic:cNvPicPr/>
                  </pic:nvPicPr>
                  <pic:blipFill>
                    <a:blip r:embed="rId28"/>
                    <a:stretch>
                      <a:fillRect/>
                    </a:stretch>
                  </pic:blipFill>
                  <pic:spPr>
                    <a:xfrm>
                      <a:off x="0" y="0"/>
                      <a:ext cx="6126480" cy="18332640"/>
                    </a:xfrm>
                    <a:prstGeom prst="rect"/>
                  </pic:spPr>
                </pic:pic>
              </a:graphicData>
            </a:graphic>
          </wp:inline>
        </w:drawing>
      </w:r>
    </w:p>
    <w:p>
      <w:pPr>
        <w:pStyle w:val="CaptionSmall"/>
        <w:jc w:val="center"/>
      </w:pPr>
      <w:r>
        <w:t>Appendix Figure A1: Settings view evidence.</w:t>
      </w:r>
    </w:p>
    <w:p>
      <w:pPr>
        <w:jc w:val="center"/>
      </w:pPr>
      <w:r>
        <w:drawing>
          <wp:inline xmlns:a="http://schemas.openxmlformats.org/drawingml/2006/main" xmlns:pic="http://schemas.openxmlformats.org/drawingml/2006/picture">
            <wp:extent cx="6126480" cy="18332640"/>
            <wp:docPr id="21" name="Picture 21"/>
            <wp:cNvGraphicFramePr>
              <a:graphicFrameLocks noChangeAspect="1"/>
            </wp:cNvGraphicFramePr>
            <a:graphic>
              <a:graphicData uri="http://schemas.openxmlformats.org/drawingml/2006/picture">
                <pic:pic>
                  <pic:nvPicPr>
                    <pic:cNvPr id="0" name="help-view.png"/>
                    <pic:cNvPicPr/>
                  </pic:nvPicPr>
                  <pic:blipFill>
                    <a:blip r:embed="rId29"/>
                    <a:stretch>
                      <a:fillRect/>
                    </a:stretch>
                  </pic:blipFill>
                  <pic:spPr>
                    <a:xfrm>
                      <a:off x="0" y="0"/>
                      <a:ext cx="6126480" cy="18332640"/>
                    </a:xfrm>
                    <a:prstGeom prst="rect"/>
                  </pic:spPr>
                </pic:pic>
              </a:graphicData>
            </a:graphic>
          </wp:inline>
        </w:drawing>
      </w:r>
    </w:p>
    <w:p>
      <w:pPr>
        <w:pStyle w:val="CaptionSmall"/>
        <w:jc w:val="center"/>
      </w:pPr>
      <w:r>
        <w:t>Appendix Figure A2: Help view evidence.</w:t>
      </w:r>
    </w:p>
    <w:p>
      <w:pPr>
        <w:pStyle w:val="Heading2"/>
        <w:spacing w:before="200" w:after="120"/>
      </w:pPr>
      <w:r>
        <w:t>Appendix B: Risk Review Extract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440"/>
            <w:shd w:fill="334155"/>
            <w:vAlign w:val="center"/>
          </w:tcPr>
          <w:p>
            <w:r/>
            <w:r>
              <w:rPr>
                <w:b/>
                <w:color w:val="FFFFFF"/>
                <w:sz w:val="18"/>
              </w:rPr>
              <w:t>Learner ID</w:t>
            </w:r>
          </w:p>
        </w:tc>
        <w:tc>
          <w:tcPr>
            <w:tcW w:type="dxa" w:w="1728"/>
            <w:shd w:fill="334155"/>
            <w:vAlign w:val="center"/>
          </w:tcPr>
          <w:p>
            <w:r/>
            <w:r>
              <w:rPr>
                <w:b/>
                <w:color w:val="FFFFFF"/>
                <w:sz w:val="18"/>
              </w:rPr>
              <w:t>Province</w:t>
            </w:r>
          </w:p>
        </w:tc>
        <w:tc>
          <w:tcPr>
            <w:tcW w:type="dxa" w:w="1440"/>
            <w:shd w:fill="334155"/>
            <w:vAlign w:val="center"/>
          </w:tcPr>
          <w:p>
            <w:r/>
            <w:r>
              <w:rPr>
                <w:b/>
                <w:color w:val="FFFFFF"/>
                <w:sz w:val="18"/>
              </w:rPr>
              <w:t>Attendance</w:t>
            </w:r>
          </w:p>
        </w:tc>
        <w:tc>
          <w:tcPr>
            <w:tcW w:type="dxa" w:w="2160"/>
            <w:shd w:fill="334155"/>
            <w:vAlign w:val="center"/>
          </w:tcPr>
          <w:p>
            <w:r/>
            <w:r>
              <w:rPr>
                <w:b/>
                <w:color w:val="FFFFFF"/>
                <w:sz w:val="18"/>
              </w:rPr>
              <w:t>Support need</w:t>
            </w:r>
          </w:p>
        </w:tc>
        <w:tc>
          <w:tcPr>
            <w:tcW w:type="dxa" w:w="1152"/>
            <w:shd w:fill="334155"/>
            <w:vAlign w:val="center"/>
          </w:tcPr>
          <w:p>
            <w:r/>
            <w:r>
              <w:rPr>
                <w:b/>
                <w:color w:val="FFFFFF"/>
                <w:sz w:val="18"/>
              </w:rPr>
              <w:t>Score</w:t>
            </w:r>
          </w:p>
        </w:tc>
        <w:tc>
          <w:tcPr>
            <w:tcW w:type="dxa" w:w="1440"/>
            <w:shd w:fill="334155"/>
            <w:vAlign w:val="center"/>
          </w:tcPr>
          <w:p>
            <w:r/>
            <w:r>
              <w:rPr>
                <w:b/>
                <w:color w:val="FFFFFF"/>
                <w:sz w:val="18"/>
              </w:rPr>
              <w:t>Priority</w:t>
            </w:r>
          </w:p>
        </w:tc>
      </w:tr>
      <w:tr>
        <w:tc>
          <w:tcPr>
            <w:tcW w:type="dxa" w:w="1440"/>
            <w:vAlign w:val="center"/>
          </w:tcPr>
          <w:p>
            <w:r/>
            <w:r>
              <w:rPr>
                <w:b w:val="0"/>
                <w:color w:val="000000"/>
                <w:sz w:val="18"/>
              </w:rPr>
              <w:t>L002</w:t>
            </w:r>
          </w:p>
        </w:tc>
        <w:tc>
          <w:tcPr>
            <w:tcW w:type="dxa" w:w="1728"/>
            <w:vAlign w:val="center"/>
          </w:tcPr>
          <w:p>
            <w:r/>
            <w:r>
              <w:rPr>
                <w:b w:val="0"/>
                <w:color w:val="000000"/>
                <w:sz w:val="18"/>
              </w:rPr>
              <w:t>Gauteng</w:t>
            </w:r>
          </w:p>
        </w:tc>
        <w:tc>
          <w:tcPr>
            <w:tcW w:type="dxa" w:w="1440"/>
            <w:vAlign w:val="center"/>
          </w:tcPr>
          <w:p>
            <w:r/>
            <w:r>
              <w:rPr>
                <w:b w:val="0"/>
                <w:color w:val="000000"/>
                <w:sz w:val="18"/>
              </w:rPr>
              <w:t>High</w:t>
            </w:r>
          </w:p>
        </w:tc>
        <w:tc>
          <w:tcPr>
            <w:tcW w:type="dxa" w:w="2160"/>
            <w:vAlign w:val="center"/>
          </w:tcPr>
          <w:p>
            <w:r/>
            <w:r>
              <w:rPr>
                <w:b w:val="0"/>
                <w:color w:val="000000"/>
                <w:sz w:val="18"/>
              </w:rPr>
              <w:t>Data</w:t>
            </w:r>
          </w:p>
        </w:tc>
        <w:tc>
          <w:tcPr>
            <w:tcW w:type="dxa" w:w="1152"/>
            <w:vAlign w:val="center"/>
          </w:tcPr>
          <w:p>
            <w:r/>
            <w:r>
              <w:rPr>
                <w:b w:val="0"/>
                <w:color w:val="000000"/>
                <w:sz w:val="18"/>
              </w:rPr>
              <w:t>100</w:t>
            </w:r>
          </w:p>
        </w:tc>
        <w:tc>
          <w:tcPr>
            <w:tcW w:type="dxa" w:w="1440"/>
            <w:vAlign w:val="center"/>
          </w:tcPr>
          <w:p>
            <w:r/>
            <w:r>
              <w:rPr>
                <w:b w:val="0"/>
                <w:color w:val="000000"/>
                <w:sz w:val="18"/>
              </w:rPr>
              <w:t>Critical</w:t>
            </w:r>
          </w:p>
        </w:tc>
      </w:tr>
      <w:tr>
        <w:tc>
          <w:tcPr>
            <w:tcW w:type="dxa" w:w="1440"/>
            <w:vAlign w:val="center"/>
          </w:tcPr>
          <w:p>
            <w:r/>
            <w:r>
              <w:rPr>
                <w:b w:val="0"/>
                <w:color w:val="000000"/>
                <w:sz w:val="18"/>
              </w:rPr>
              <w:t>L006</w:t>
            </w:r>
          </w:p>
        </w:tc>
        <w:tc>
          <w:tcPr>
            <w:tcW w:type="dxa" w:w="1728"/>
            <w:vAlign w:val="center"/>
          </w:tcPr>
          <w:p>
            <w:r/>
            <w:r>
              <w:rPr>
                <w:b w:val="0"/>
                <w:color w:val="000000"/>
                <w:sz w:val="18"/>
              </w:rPr>
              <w:t>KZN</w:t>
            </w:r>
          </w:p>
        </w:tc>
        <w:tc>
          <w:tcPr>
            <w:tcW w:type="dxa" w:w="1440"/>
            <w:vAlign w:val="center"/>
          </w:tcPr>
          <w:p>
            <w:r/>
            <w:r>
              <w:rPr>
                <w:b w:val="0"/>
                <w:color w:val="000000"/>
                <w:sz w:val="18"/>
              </w:rPr>
              <w:t>High</w:t>
            </w:r>
          </w:p>
        </w:tc>
        <w:tc>
          <w:tcPr>
            <w:tcW w:type="dxa" w:w="2160"/>
            <w:vAlign w:val="center"/>
          </w:tcPr>
          <w:p>
            <w:r/>
            <w:r>
              <w:rPr>
                <w:b w:val="0"/>
                <w:color w:val="000000"/>
                <w:sz w:val="18"/>
              </w:rPr>
              <w:t>Data</w:t>
            </w:r>
          </w:p>
        </w:tc>
        <w:tc>
          <w:tcPr>
            <w:tcW w:type="dxa" w:w="1152"/>
            <w:vAlign w:val="center"/>
          </w:tcPr>
          <w:p>
            <w:r/>
            <w:r>
              <w:rPr>
                <w:b w:val="0"/>
                <w:color w:val="000000"/>
                <w:sz w:val="18"/>
              </w:rPr>
              <w:t>100</w:t>
            </w:r>
          </w:p>
        </w:tc>
        <w:tc>
          <w:tcPr>
            <w:tcW w:type="dxa" w:w="1440"/>
            <w:vAlign w:val="center"/>
          </w:tcPr>
          <w:p>
            <w:r/>
            <w:r>
              <w:rPr>
                <w:b w:val="0"/>
                <w:color w:val="000000"/>
                <w:sz w:val="18"/>
              </w:rPr>
              <w:t>Critical</w:t>
            </w:r>
          </w:p>
        </w:tc>
      </w:tr>
      <w:tr>
        <w:tc>
          <w:tcPr>
            <w:tcW w:type="dxa" w:w="1440"/>
            <w:vAlign w:val="center"/>
          </w:tcPr>
          <w:p>
            <w:r/>
            <w:r>
              <w:rPr>
                <w:b w:val="0"/>
                <w:color w:val="000000"/>
                <w:sz w:val="18"/>
              </w:rPr>
              <w:t>L009</w:t>
            </w:r>
          </w:p>
        </w:tc>
        <w:tc>
          <w:tcPr>
            <w:tcW w:type="dxa" w:w="1728"/>
            <w:vAlign w:val="center"/>
          </w:tcPr>
          <w:p>
            <w:r/>
            <w:r>
              <w:rPr>
                <w:b w:val="0"/>
                <w:color w:val="000000"/>
                <w:sz w:val="18"/>
              </w:rPr>
              <w:t>KZN</w:t>
            </w:r>
          </w:p>
        </w:tc>
        <w:tc>
          <w:tcPr>
            <w:tcW w:type="dxa" w:w="1440"/>
            <w:vAlign w:val="center"/>
          </w:tcPr>
          <w:p>
            <w:r/>
            <w:r>
              <w:rPr>
                <w:b w:val="0"/>
                <w:color w:val="000000"/>
                <w:sz w:val="18"/>
              </w:rPr>
              <w:t>High</w:t>
            </w:r>
          </w:p>
        </w:tc>
        <w:tc>
          <w:tcPr>
            <w:tcW w:type="dxa" w:w="2160"/>
            <w:vAlign w:val="center"/>
          </w:tcPr>
          <w:p>
            <w:r/>
            <w:r>
              <w:rPr>
                <w:b w:val="0"/>
                <w:color w:val="000000"/>
                <w:sz w:val="18"/>
              </w:rPr>
              <w:t>Data</w:t>
            </w:r>
          </w:p>
        </w:tc>
        <w:tc>
          <w:tcPr>
            <w:tcW w:type="dxa" w:w="1152"/>
            <w:vAlign w:val="center"/>
          </w:tcPr>
          <w:p>
            <w:r/>
            <w:r>
              <w:rPr>
                <w:b w:val="0"/>
                <w:color w:val="000000"/>
                <w:sz w:val="18"/>
              </w:rPr>
              <w:t>100</w:t>
            </w:r>
          </w:p>
        </w:tc>
        <w:tc>
          <w:tcPr>
            <w:tcW w:type="dxa" w:w="1440"/>
            <w:vAlign w:val="center"/>
          </w:tcPr>
          <w:p>
            <w:r/>
            <w:r>
              <w:rPr>
                <w:b w:val="0"/>
                <w:color w:val="000000"/>
                <w:sz w:val="18"/>
              </w:rPr>
              <w:t>Critical</w:t>
            </w:r>
          </w:p>
        </w:tc>
      </w:tr>
      <w:tr>
        <w:tc>
          <w:tcPr>
            <w:tcW w:type="dxa" w:w="1440"/>
            <w:vAlign w:val="center"/>
          </w:tcPr>
          <w:p>
            <w:r/>
            <w:r>
              <w:rPr>
                <w:b w:val="0"/>
                <w:color w:val="000000"/>
                <w:sz w:val="18"/>
              </w:rPr>
              <w:t>L013</w:t>
            </w:r>
          </w:p>
        </w:tc>
        <w:tc>
          <w:tcPr>
            <w:tcW w:type="dxa" w:w="1728"/>
            <w:vAlign w:val="center"/>
          </w:tcPr>
          <w:p>
            <w:r/>
            <w:r>
              <w:rPr>
                <w:b w:val="0"/>
                <w:color w:val="000000"/>
                <w:sz w:val="18"/>
              </w:rPr>
              <w:t>Western Cape</w:t>
            </w:r>
          </w:p>
        </w:tc>
        <w:tc>
          <w:tcPr>
            <w:tcW w:type="dxa" w:w="1440"/>
            <w:vAlign w:val="center"/>
          </w:tcPr>
          <w:p>
            <w:r/>
            <w:r>
              <w:rPr>
                <w:b w:val="0"/>
                <w:color w:val="000000"/>
                <w:sz w:val="18"/>
              </w:rPr>
              <w:t>High</w:t>
            </w:r>
          </w:p>
        </w:tc>
        <w:tc>
          <w:tcPr>
            <w:tcW w:type="dxa" w:w="2160"/>
            <w:vAlign w:val="center"/>
          </w:tcPr>
          <w:p>
            <w:r/>
            <w:r>
              <w:rPr>
                <w:b w:val="0"/>
                <w:color w:val="000000"/>
                <w:sz w:val="18"/>
              </w:rPr>
              <w:t>Data</w:t>
            </w:r>
          </w:p>
        </w:tc>
        <w:tc>
          <w:tcPr>
            <w:tcW w:type="dxa" w:w="1152"/>
            <w:vAlign w:val="center"/>
          </w:tcPr>
          <w:p>
            <w:r/>
            <w:r>
              <w:rPr>
                <w:b w:val="0"/>
                <w:color w:val="000000"/>
                <w:sz w:val="18"/>
              </w:rPr>
              <w:t>100</w:t>
            </w:r>
          </w:p>
        </w:tc>
        <w:tc>
          <w:tcPr>
            <w:tcW w:type="dxa" w:w="1440"/>
            <w:vAlign w:val="center"/>
          </w:tcPr>
          <w:p>
            <w:r/>
            <w:r>
              <w:rPr>
                <w:b w:val="0"/>
                <w:color w:val="000000"/>
                <w:sz w:val="18"/>
              </w:rPr>
              <w:t>Critical</w:t>
            </w:r>
          </w:p>
        </w:tc>
      </w:tr>
      <w:tr>
        <w:tc>
          <w:tcPr>
            <w:tcW w:type="dxa" w:w="1440"/>
            <w:vAlign w:val="center"/>
          </w:tcPr>
          <w:p>
            <w:r/>
            <w:r>
              <w:rPr>
                <w:b w:val="0"/>
                <w:color w:val="000000"/>
                <w:sz w:val="18"/>
              </w:rPr>
              <w:t>L017</w:t>
            </w:r>
          </w:p>
        </w:tc>
        <w:tc>
          <w:tcPr>
            <w:tcW w:type="dxa" w:w="1728"/>
            <w:vAlign w:val="center"/>
          </w:tcPr>
          <w:p>
            <w:r/>
            <w:r>
              <w:rPr>
                <w:b w:val="0"/>
                <w:color w:val="000000"/>
                <w:sz w:val="18"/>
              </w:rPr>
              <w:t>Gauteng</w:t>
            </w:r>
          </w:p>
        </w:tc>
        <w:tc>
          <w:tcPr>
            <w:tcW w:type="dxa" w:w="1440"/>
            <w:vAlign w:val="center"/>
          </w:tcPr>
          <w:p>
            <w:r/>
            <w:r>
              <w:rPr>
                <w:b w:val="0"/>
                <w:color w:val="000000"/>
                <w:sz w:val="18"/>
              </w:rPr>
              <w:t>High</w:t>
            </w:r>
          </w:p>
        </w:tc>
        <w:tc>
          <w:tcPr>
            <w:tcW w:type="dxa" w:w="2160"/>
            <w:vAlign w:val="center"/>
          </w:tcPr>
          <w:p>
            <w:r/>
            <w:r>
              <w:rPr>
                <w:b w:val="0"/>
                <w:color w:val="000000"/>
                <w:sz w:val="18"/>
              </w:rPr>
              <w:t>Data</w:t>
            </w:r>
          </w:p>
        </w:tc>
        <w:tc>
          <w:tcPr>
            <w:tcW w:type="dxa" w:w="1152"/>
            <w:vAlign w:val="center"/>
          </w:tcPr>
          <w:p>
            <w:r/>
            <w:r>
              <w:rPr>
                <w:b w:val="0"/>
                <w:color w:val="000000"/>
                <w:sz w:val="18"/>
              </w:rPr>
              <w:t>100</w:t>
            </w:r>
          </w:p>
        </w:tc>
        <w:tc>
          <w:tcPr>
            <w:tcW w:type="dxa" w:w="1440"/>
            <w:vAlign w:val="center"/>
          </w:tcPr>
          <w:p>
            <w:r/>
            <w:r>
              <w:rPr>
                <w:b w:val="0"/>
                <w:color w:val="000000"/>
                <w:sz w:val="18"/>
              </w:rPr>
              <w:t>Critical</w:t>
            </w:r>
          </w:p>
        </w:tc>
      </w:tr>
      <w:tr>
        <w:tc>
          <w:tcPr>
            <w:tcW w:type="dxa" w:w="1440"/>
            <w:vAlign w:val="center"/>
          </w:tcPr>
          <w:p>
            <w:r/>
            <w:r>
              <w:rPr>
                <w:b w:val="0"/>
                <w:color w:val="000000"/>
                <w:sz w:val="18"/>
              </w:rPr>
              <w:t>L021</w:t>
            </w:r>
          </w:p>
        </w:tc>
        <w:tc>
          <w:tcPr>
            <w:tcW w:type="dxa" w:w="1728"/>
            <w:vAlign w:val="center"/>
          </w:tcPr>
          <w:p>
            <w:r/>
            <w:r>
              <w:rPr>
                <w:b w:val="0"/>
                <w:color w:val="000000"/>
                <w:sz w:val="18"/>
              </w:rPr>
              <w:t>KZN</w:t>
            </w:r>
          </w:p>
        </w:tc>
        <w:tc>
          <w:tcPr>
            <w:tcW w:type="dxa" w:w="1440"/>
            <w:vAlign w:val="center"/>
          </w:tcPr>
          <w:p>
            <w:r/>
            <w:r>
              <w:rPr>
                <w:b w:val="0"/>
                <w:color w:val="000000"/>
                <w:sz w:val="18"/>
              </w:rPr>
              <w:t>High</w:t>
            </w:r>
          </w:p>
        </w:tc>
        <w:tc>
          <w:tcPr>
            <w:tcW w:type="dxa" w:w="2160"/>
            <w:vAlign w:val="center"/>
          </w:tcPr>
          <w:p>
            <w:r/>
            <w:r>
              <w:rPr>
                <w:b w:val="0"/>
                <w:color w:val="000000"/>
                <w:sz w:val="18"/>
              </w:rPr>
              <w:t>Data</w:t>
            </w:r>
          </w:p>
        </w:tc>
        <w:tc>
          <w:tcPr>
            <w:tcW w:type="dxa" w:w="1152"/>
            <w:vAlign w:val="center"/>
          </w:tcPr>
          <w:p>
            <w:r/>
            <w:r>
              <w:rPr>
                <w:b w:val="0"/>
                <w:color w:val="000000"/>
                <w:sz w:val="18"/>
              </w:rPr>
              <w:t>100</w:t>
            </w:r>
          </w:p>
        </w:tc>
        <w:tc>
          <w:tcPr>
            <w:tcW w:type="dxa" w:w="1440"/>
            <w:vAlign w:val="center"/>
          </w:tcPr>
          <w:p>
            <w:r/>
            <w:r>
              <w:rPr>
                <w:b w:val="0"/>
                <w:color w:val="000000"/>
                <w:sz w:val="18"/>
              </w:rPr>
              <w:t>Critical</w:t>
            </w:r>
          </w:p>
        </w:tc>
      </w:tr>
      <w:tr>
        <w:tc>
          <w:tcPr>
            <w:tcW w:type="dxa" w:w="1440"/>
            <w:vAlign w:val="center"/>
          </w:tcPr>
          <w:p>
            <w:r/>
            <w:r>
              <w:rPr>
                <w:b w:val="0"/>
                <w:color w:val="000000"/>
                <w:sz w:val="18"/>
              </w:rPr>
              <w:t>L025</w:t>
            </w:r>
          </w:p>
        </w:tc>
        <w:tc>
          <w:tcPr>
            <w:tcW w:type="dxa" w:w="1728"/>
            <w:vAlign w:val="center"/>
          </w:tcPr>
          <w:p>
            <w:r/>
            <w:r>
              <w:rPr>
                <w:b w:val="0"/>
                <w:color w:val="000000"/>
                <w:sz w:val="18"/>
              </w:rPr>
              <w:t>Western Cape</w:t>
            </w:r>
          </w:p>
        </w:tc>
        <w:tc>
          <w:tcPr>
            <w:tcW w:type="dxa" w:w="1440"/>
            <w:vAlign w:val="center"/>
          </w:tcPr>
          <w:p>
            <w:r/>
            <w:r>
              <w:rPr>
                <w:b w:val="0"/>
                <w:color w:val="000000"/>
                <w:sz w:val="18"/>
              </w:rPr>
              <w:t>High</w:t>
            </w:r>
          </w:p>
        </w:tc>
        <w:tc>
          <w:tcPr>
            <w:tcW w:type="dxa" w:w="2160"/>
            <w:vAlign w:val="center"/>
          </w:tcPr>
          <w:p>
            <w:r/>
            <w:r>
              <w:rPr>
                <w:b w:val="0"/>
                <w:color w:val="000000"/>
                <w:sz w:val="18"/>
              </w:rPr>
              <w:t>Data</w:t>
            </w:r>
          </w:p>
        </w:tc>
        <w:tc>
          <w:tcPr>
            <w:tcW w:type="dxa" w:w="1152"/>
            <w:vAlign w:val="center"/>
          </w:tcPr>
          <w:p>
            <w:r/>
            <w:r>
              <w:rPr>
                <w:b w:val="0"/>
                <w:color w:val="000000"/>
                <w:sz w:val="18"/>
              </w:rPr>
              <w:t>100</w:t>
            </w:r>
          </w:p>
        </w:tc>
        <w:tc>
          <w:tcPr>
            <w:tcW w:type="dxa" w:w="1440"/>
            <w:vAlign w:val="center"/>
          </w:tcPr>
          <w:p>
            <w:r/>
            <w:r>
              <w:rPr>
                <w:b w:val="0"/>
                <w:color w:val="000000"/>
                <w:sz w:val="18"/>
              </w:rPr>
              <w:t>Critical</w:t>
            </w:r>
          </w:p>
        </w:tc>
      </w:tr>
      <w:tr>
        <w:tc>
          <w:tcPr>
            <w:tcW w:type="dxa" w:w="1440"/>
            <w:vAlign w:val="center"/>
          </w:tcPr>
          <w:p>
            <w:r/>
            <w:r>
              <w:rPr>
                <w:b w:val="0"/>
                <w:color w:val="000000"/>
                <w:sz w:val="18"/>
              </w:rPr>
              <w:t>L029</w:t>
            </w:r>
          </w:p>
        </w:tc>
        <w:tc>
          <w:tcPr>
            <w:tcW w:type="dxa" w:w="1728"/>
            <w:vAlign w:val="center"/>
          </w:tcPr>
          <w:p>
            <w:r/>
            <w:r>
              <w:rPr>
                <w:b w:val="0"/>
                <w:color w:val="000000"/>
                <w:sz w:val="18"/>
              </w:rPr>
              <w:t>Gauteng</w:t>
            </w:r>
          </w:p>
        </w:tc>
        <w:tc>
          <w:tcPr>
            <w:tcW w:type="dxa" w:w="1440"/>
            <w:vAlign w:val="center"/>
          </w:tcPr>
          <w:p>
            <w:r/>
            <w:r>
              <w:rPr>
                <w:b w:val="0"/>
                <w:color w:val="000000"/>
                <w:sz w:val="18"/>
              </w:rPr>
              <w:t>High</w:t>
            </w:r>
          </w:p>
        </w:tc>
        <w:tc>
          <w:tcPr>
            <w:tcW w:type="dxa" w:w="2160"/>
            <w:vAlign w:val="center"/>
          </w:tcPr>
          <w:p>
            <w:r/>
            <w:r>
              <w:rPr>
                <w:b w:val="0"/>
                <w:color w:val="000000"/>
                <w:sz w:val="18"/>
              </w:rPr>
              <w:t>Data</w:t>
            </w:r>
          </w:p>
        </w:tc>
        <w:tc>
          <w:tcPr>
            <w:tcW w:type="dxa" w:w="1152"/>
            <w:vAlign w:val="center"/>
          </w:tcPr>
          <w:p>
            <w:r/>
            <w:r>
              <w:rPr>
                <w:b w:val="0"/>
                <w:color w:val="000000"/>
                <w:sz w:val="18"/>
              </w:rPr>
              <w:t>100</w:t>
            </w:r>
          </w:p>
        </w:tc>
        <w:tc>
          <w:tcPr>
            <w:tcW w:type="dxa" w:w="1440"/>
            <w:vAlign w:val="center"/>
          </w:tcPr>
          <w:p>
            <w:r/>
            <w:r>
              <w:rPr>
                <w:b w:val="0"/>
                <w:color w:val="000000"/>
                <w:sz w:val="18"/>
              </w:rPr>
              <w:t>Critical</w:t>
            </w:r>
          </w:p>
        </w:tc>
      </w:tr>
      <w:tr>
        <w:tc>
          <w:tcPr>
            <w:tcW w:type="dxa" w:w="1440"/>
            <w:vAlign w:val="center"/>
          </w:tcPr>
          <w:p>
            <w:r/>
            <w:r>
              <w:rPr>
                <w:b w:val="0"/>
                <w:color w:val="000000"/>
                <w:sz w:val="18"/>
              </w:rPr>
              <w:t>L005</w:t>
            </w:r>
          </w:p>
        </w:tc>
        <w:tc>
          <w:tcPr>
            <w:tcW w:type="dxa" w:w="1728"/>
            <w:vAlign w:val="center"/>
          </w:tcPr>
          <w:p>
            <w:r/>
            <w:r>
              <w:rPr>
                <w:b w:val="0"/>
                <w:color w:val="000000"/>
                <w:sz w:val="18"/>
              </w:rPr>
              <w:t>Gauteng</w:t>
            </w:r>
          </w:p>
        </w:tc>
        <w:tc>
          <w:tcPr>
            <w:tcW w:type="dxa" w:w="1440"/>
            <w:vAlign w:val="center"/>
          </w:tcPr>
          <w:p>
            <w:r/>
            <w:r>
              <w:rPr>
                <w:b w:val="0"/>
                <w:color w:val="000000"/>
                <w:sz w:val="18"/>
              </w:rPr>
              <w:t>High</w:t>
            </w:r>
          </w:p>
        </w:tc>
        <w:tc>
          <w:tcPr>
            <w:tcW w:type="dxa" w:w="2160"/>
            <w:vAlign w:val="center"/>
          </w:tcPr>
          <w:p>
            <w:r/>
            <w:r>
              <w:rPr>
                <w:b w:val="0"/>
                <w:color w:val="000000"/>
                <w:sz w:val="18"/>
              </w:rPr>
              <w:t>Transport</w:t>
            </w:r>
          </w:p>
        </w:tc>
        <w:tc>
          <w:tcPr>
            <w:tcW w:type="dxa" w:w="1152"/>
            <w:vAlign w:val="center"/>
          </w:tcPr>
          <w:p>
            <w:r/>
            <w:r>
              <w:rPr>
                <w:b w:val="0"/>
                <w:color w:val="000000"/>
                <w:sz w:val="18"/>
              </w:rPr>
              <w:t>98</w:t>
            </w:r>
          </w:p>
        </w:tc>
        <w:tc>
          <w:tcPr>
            <w:tcW w:type="dxa" w:w="1440"/>
            <w:vAlign w:val="center"/>
          </w:tcPr>
          <w:p>
            <w:r/>
            <w:r>
              <w:rPr>
                <w:b w:val="0"/>
                <w:color w:val="000000"/>
                <w:sz w:val="18"/>
              </w:rPr>
              <w:t>Critical</w:t>
            </w:r>
          </w:p>
        </w:tc>
      </w:tr>
      <w:tr>
        <w:tc>
          <w:tcPr>
            <w:tcW w:type="dxa" w:w="1440"/>
            <w:vAlign w:val="center"/>
          </w:tcPr>
          <w:p>
            <w:r/>
            <w:r>
              <w:rPr>
                <w:b w:val="0"/>
                <w:color w:val="000000"/>
                <w:sz w:val="18"/>
              </w:rPr>
              <w:t>L015</w:t>
            </w:r>
          </w:p>
        </w:tc>
        <w:tc>
          <w:tcPr>
            <w:tcW w:type="dxa" w:w="1728"/>
            <w:vAlign w:val="center"/>
          </w:tcPr>
          <w:p>
            <w:r/>
            <w:r>
              <w:rPr>
                <w:b w:val="0"/>
                <w:color w:val="000000"/>
                <w:sz w:val="18"/>
              </w:rPr>
              <w:t>KZN</w:t>
            </w:r>
          </w:p>
        </w:tc>
        <w:tc>
          <w:tcPr>
            <w:tcW w:type="dxa" w:w="1440"/>
            <w:vAlign w:val="center"/>
          </w:tcPr>
          <w:p>
            <w:r/>
            <w:r>
              <w:rPr>
                <w:b w:val="0"/>
                <w:color w:val="000000"/>
                <w:sz w:val="18"/>
              </w:rPr>
              <w:t>Medium</w:t>
            </w:r>
          </w:p>
        </w:tc>
        <w:tc>
          <w:tcPr>
            <w:tcW w:type="dxa" w:w="2160"/>
            <w:vAlign w:val="center"/>
          </w:tcPr>
          <w:p>
            <w:r/>
            <w:r>
              <w:rPr>
                <w:b w:val="0"/>
                <w:color w:val="000000"/>
                <w:sz w:val="18"/>
              </w:rPr>
              <w:t>Academic support</w:t>
            </w:r>
          </w:p>
        </w:tc>
        <w:tc>
          <w:tcPr>
            <w:tcW w:type="dxa" w:w="1152"/>
            <w:vAlign w:val="center"/>
          </w:tcPr>
          <w:p>
            <w:r/>
            <w:r>
              <w:rPr>
                <w:b w:val="0"/>
                <w:color w:val="000000"/>
                <w:sz w:val="18"/>
              </w:rPr>
              <w:t>75</w:t>
            </w:r>
          </w:p>
        </w:tc>
        <w:tc>
          <w:tcPr>
            <w:tcW w:type="dxa" w:w="1440"/>
            <w:vAlign w:val="center"/>
          </w:tcPr>
          <w:p>
            <w:r/>
            <w:r>
              <w:rPr>
                <w:b w:val="0"/>
                <w:color w:val="000000"/>
                <w:sz w:val="18"/>
              </w:rPr>
              <w:t>High</w:t>
            </w:r>
          </w:p>
        </w:tc>
      </w:tr>
    </w:tbl>
    <w:p/>
    <w:p>
      <w:pPr>
        <w:pStyle w:val="Heading2"/>
        <w:spacing w:before="200" w:after="120"/>
      </w:pPr>
      <w:r>
        <w:t>Appendix C: Improvement Backlog for Future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56"/>
            <w:shd w:fill="1E3A8A"/>
            <w:vAlign w:val="center"/>
          </w:tcPr>
          <w:p>
            <w:r/>
            <w:r>
              <w:rPr>
                <w:b/>
                <w:color w:val="FFFFFF"/>
                <w:sz w:val="18"/>
              </w:rPr>
              <w:t>Improvement</w:t>
            </w:r>
          </w:p>
        </w:tc>
        <w:tc>
          <w:tcPr>
            <w:tcW w:type="dxa" w:w="4752"/>
            <w:shd w:fill="1E3A8A"/>
            <w:vAlign w:val="center"/>
          </w:tcPr>
          <w:p>
            <w:r/>
            <w:r>
              <w:rPr>
                <w:b/>
                <w:color w:val="FFFFFF"/>
                <w:sz w:val="18"/>
              </w:rPr>
              <w:t>Reason</w:t>
            </w:r>
          </w:p>
        </w:tc>
        <w:tc>
          <w:tcPr>
            <w:tcW w:type="dxa" w:w="1440"/>
            <w:shd w:fill="1E3A8A"/>
            <w:vAlign w:val="center"/>
          </w:tcPr>
          <w:p>
            <w:r/>
            <w:r>
              <w:rPr>
                <w:b/>
                <w:color w:val="FFFFFF"/>
                <w:sz w:val="18"/>
              </w:rPr>
              <w:t>Priority</w:t>
            </w:r>
          </w:p>
        </w:tc>
      </w:tr>
      <w:tr>
        <w:tc>
          <w:tcPr>
            <w:tcW w:type="dxa" w:w="3456"/>
            <w:vAlign w:val="center"/>
          </w:tcPr>
          <w:p>
            <w:r/>
            <w:r>
              <w:rPr>
                <w:b w:val="0"/>
                <w:color w:val="000000"/>
                <w:sz w:val="18"/>
              </w:rPr>
              <w:t>Secure authentication and role-based access</w:t>
            </w:r>
          </w:p>
        </w:tc>
        <w:tc>
          <w:tcPr>
            <w:tcW w:type="dxa" w:w="4752"/>
            <w:vAlign w:val="center"/>
          </w:tcPr>
          <w:p>
            <w:r/>
            <w:r>
              <w:rPr>
                <w:b w:val="0"/>
                <w:color w:val="000000"/>
                <w:sz w:val="18"/>
              </w:rPr>
              <w:t>Required before using real learner data.</w:t>
            </w:r>
          </w:p>
        </w:tc>
        <w:tc>
          <w:tcPr>
            <w:tcW w:type="dxa" w:w="1440"/>
            <w:vAlign w:val="center"/>
          </w:tcPr>
          <w:p>
            <w:r/>
            <w:r>
              <w:rPr>
                <w:b w:val="0"/>
                <w:color w:val="000000"/>
                <w:sz w:val="18"/>
              </w:rPr>
              <w:t>High</w:t>
            </w:r>
          </w:p>
        </w:tc>
      </w:tr>
      <w:tr>
        <w:tc>
          <w:tcPr>
            <w:tcW w:type="dxa" w:w="3456"/>
            <w:vAlign w:val="center"/>
          </w:tcPr>
          <w:p>
            <w:r/>
            <w:r>
              <w:rPr>
                <w:b w:val="0"/>
                <w:color w:val="000000"/>
                <w:sz w:val="18"/>
              </w:rPr>
              <w:t>Protect learner and risk read endpoints</w:t>
            </w:r>
          </w:p>
        </w:tc>
        <w:tc>
          <w:tcPr>
            <w:tcW w:type="dxa" w:w="4752"/>
            <w:vAlign w:val="center"/>
          </w:tcPr>
          <w:p>
            <w:r/>
            <w:r>
              <w:rPr>
                <w:b w:val="0"/>
                <w:color w:val="000000"/>
                <w:sz w:val="18"/>
              </w:rPr>
              <w:t>Prevents public exposure of support indicators.</w:t>
            </w:r>
          </w:p>
        </w:tc>
        <w:tc>
          <w:tcPr>
            <w:tcW w:type="dxa" w:w="1440"/>
            <w:vAlign w:val="center"/>
          </w:tcPr>
          <w:p>
            <w:r/>
            <w:r>
              <w:rPr>
                <w:b w:val="0"/>
                <w:color w:val="000000"/>
                <w:sz w:val="18"/>
              </w:rPr>
              <w:t>High</w:t>
            </w:r>
          </w:p>
        </w:tc>
      </w:tr>
      <w:tr>
        <w:tc>
          <w:tcPr>
            <w:tcW w:type="dxa" w:w="3456"/>
            <w:vAlign w:val="center"/>
          </w:tcPr>
          <w:p>
            <w:r/>
            <w:r>
              <w:rPr>
                <w:b w:val="0"/>
                <w:color w:val="000000"/>
                <w:sz w:val="18"/>
              </w:rPr>
              <w:t>Persist intervention follow-up actions</w:t>
            </w:r>
          </w:p>
        </w:tc>
        <w:tc>
          <w:tcPr>
            <w:tcW w:type="dxa" w:w="4752"/>
            <w:vAlign w:val="center"/>
          </w:tcPr>
          <w:p>
            <w:r/>
            <w:r>
              <w:rPr>
                <w:b w:val="0"/>
                <w:color w:val="000000"/>
                <w:sz w:val="18"/>
              </w:rPr>
              <w:t>Allows staff to track support outcomes.</w:t>
            </w:r>
          </w:p>
        </w:tc>
        <w:tc>
          <w:tcPr>
            <w:tcW w:type="dxa" w:w="1440"/>
            <w:vAlign w:val="center"/>
          </w:tcPr>
          <w:p>
            <w:r/>
            <w:r>
              <w:rPr>
                <w:b w:val="0"/>
                <w:color w:val="000000"/>
                <w:sz w:val="18"/>
              </w:rPr>
              <w:t>Medium</w:t>
            </w:r>
          </w:p>
        </w:tc>
      </w:tr>
      <w:tr>
        <w:tc>
          <w:tcPr>
            <w:tcW w:type="dxa" w:w="3456"/>
            <w:vAlign w:val="center"/>
          </w:tcPr>
          <w:p>
            <w:r/>
            <w:r>
              <w:rPr>
                <w:b w:val="0"/>
                <w:color w:val="000000"/>
                <w:sz w:val="18"/>
              </w:rPr>
              <w:t>Calibrate risk scoring with approved anonymised data</w:t>
            </w:r>
          </w:p>
        </w:tc>
        <w:tc>
          <w:tcPr>
            <w:tcW w:type="dxa" w:w="4752"/>
            <w:vAlign w:val="center"/>
          </w:tcPr>
          <w:p>
            <w:r/>
            <w:r>
              <w:rPr>
                <w:b w:val="0"/>
                <w:color w:val="000000"/>
                <w:sz w:val="18"/>
              </w:rPr>
              <w:t>Improves reliability beyond synthetic data.</w:t>
            </w:r>
          </w:p>
        </w:tc>
        <w:tc>
          <w:tcPr>
            <w:tcW w:type="dxa" w:w="1440"/>
            <w:vAlign w:val="center"/>
          </w:tcPr>
          <w:p>
            <w:r/>
            <w:r>
              <w:rPr>
                <w:b w:val="0"/>
                <w:color w:val="000000"/>
                <w:sz w:val="18"/>
              </w:rPr>
              <w:t>Medium</w:t>
            </w:r>
          </w:p>
        </w:tc>
      </w:tr>
      <w:tr>
        <w:tc>
          <w:tcPr>
            <w:tcW w:type="dxa" w:w="3456"/>
            <w:vAlign w:val="center"/>
          </w:tcPr>
          <w:p>
            <w:r/>
            <w:r>
              <w:rPr>
                <w:b w:val="0"/>
                <w:color w:val="000000"/>
                <w:sz w:val="18"/>
              </w:rPr>
              <w:t>Automated regression tests</w:t>
            </w:r>
          </w:p>
        </w:tc>
        <w:tc>
          <w:tcPr>
            <w:tcW w:type="dxa" w:w="4752"/>
            <w:vAlign w:val="center"/>
          </w:tcPr>
          <w:p>
            <w:r/>
            <w:r>
              <w:rPr>
                <w:b w:val="0"/>
                <w:color w:val="000000"/>
                <w:sz w:val="18"/>
              </w:rPr>
              <w:t>Strengthens engineering evidence.</w:t>
            </w:r>
          </w:p>
        </w:tc>
        <w:tc>
          <w:tcPr>
            <w:tcW w:type="dxa" w:w="1440"/>
            <w:vAlign w:val="center"/>
          </w:tcPr>
          <w:p>
            <w:r/>
            <w:r>
              <w:rPr>
                <w:b w:val="0"/>
                <w:color w:val="000000"/>
                <w:sz w:val="18"/>
              </w:rPr>
              <w:t>Medium</w:t>
            </w:r>
          </w:p>
        </w:tc>
      </w:tr>
      <w:tr>
        <w:tc>
          <w:tcPr>
            <w:tcW w:type="dxa" w:w="3456"/>
            <w:vAlign w:val="center"/>
          </w:tcPr>
          <w:p>
            <w:r/>
            <w:r>
              <w:rPr>
                <w:b w:val="0"/>
                <w:color w:val="000000"/>
                <w:sz w:val="18"/>
              </w:rPr>
              <w:t>PDF export of management summary</w:t>
            </w:r>
          </w:p>
        </w:tc>
        <w:tc>
          <w:tcPr>
            <w:tcW w:type="dxa" w:w="4752"/>
            <w:vAlign w:val="center"/>
          </w:tcPr>
          <w:p>
            <w:r/>
            <w:r>
              <w:rPr>
                <w:b w:val="0"/>
                <w:color w:val="000000"/>
                <w:sz w:val="18"/>
              </w:rPr>
              <w:t>Improves reporting usefulness.</w:t>
            </w:r>
          </w:p>
        </w:tc>
        <w:tc>
          <w:tcPr>
            <w:tcW w:type="dxa" w:w="1440"/>
            <w:vAlign w:val="center"/>
          </w:tcPr>
          <w:p>
            <w:r/>
            <w:r>
              <w:rPr>
                <w:b w:val="0"/>
                <w:color w:val="000000"/>
                <w:sz w:val="18"/>
              </w:rPr>
              <w:t>Low</w:t>
            </w:r>
          </w:p>
        </w:tc>
      </w:tr>
    </w:tbl>
    <w:p/>
    <w:sectPr>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ptos" w:hAnsi="Aptos"/>
      <w:i/>
      <w:color w:val="475569"/>
      <w:sz w:val="17"/>
    </w:rPr>
  </w:style>
  <w:style w:type="paragraph" w:customStyle="1" w:styleId="PullQuote">
    <w:name w:val="PullQuote"/>
    <w:rPr>
      <w:rFonts w:ascii="Aptos" w:hAnsi="Aptos"/>
      <w:i/>
      <w:color w:val="0F172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Support Insights Tool Final Integrated Report</dc:title>
  <dc:subject>SFIA Level 3 Integrated Assessment</dc:subject>
  <dc:creator/>
  <cp:keywords/>
  <dc:description/>
  <cp:lastModifiedBy/>
  <cp:revision>1</cp:revision>
  <dcterms:created xsi:type="dcterms:W3CDTF">2013-12-23T23:15:00Z</dcterms:created>
  <dcterms:modified xsi:type="dcterms:W3CDTF">2013-12-23T23:15:00Z</dcterms:modified>
  <cp:category/>
</cp:coreProperties>
</file>