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“MZ 세대 1인가구 식생활 정보 제공 서비스”</w:t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요구사항 분석서</w:t>
      </w:r>
    </w:p>
    <w:p w:rsidR="00000000" w:rsidDel="00000000" w:rsidP="00000000" w:rsidRDefault="00000000" w:rsidRPr="00000000" w14:paraId="00000003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   차</w:t>
      </w:r>
    </w:p>
    <w:p w:rsidR="00000000" w:rsidDel="00000000" w:rsidP="00000000" w:rsidRDefault="00000000" w:rsidRPr="00000000" w14:paraId="00000007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6"/>
        </w:numPr>
        <w:spacing w:line="360" w:lineRule="auto"/>
        <w:rPr>
          <w:b w:val="1"/>
          <w:sz w:val="30"/>
          <w:szCs w:val="30"/>
        </w:rPr>
      </w:pPr>
      <w:bookmarkStart w:colFirst="0" w:colLast="0" w:name="_dvs5ectpur1e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기능적 요구사항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메인 페이지 기능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line="360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선호도 분석 및 품목별 시각화 자료 제공 서비스 </w:t>
      </w:r>
    </w:p>
    <w:p w:rsidR="00000000" w:rsidDel="00000000" w:rsidP="00000000" w:rsidRDefault="00000000" w:rsidRPr="00000000" w14:paraId="0000000B">
      <w:pPr>
        <w:numPr>
          <w:ilvl w:val="3"/>
          <w:numId w:val="6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선호도 분석 및 카테고리별 시각화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6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품목별 HMR 인기상품 정보 제공 서비스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line="360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1인가구 식생활 트렌드 분석</w:t>
      </w:r>
    </w:p>
    <w:p w:rsidR="00000000" w:rsidDel="00000000" w:rsidP="00000000" w:rsidRDefault="00000000" w:rsidRPr="00000000" w14:paraId="0000000E">
      <w:pPr>
        <w:numPr>
          <w:ilvl w:val="3"/>
          <w:numId w:val="6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 상관성 비교 및 분석, 연관 키워드 분류</w:t>
      </w:r>
    </w:p>
    <w:p w:rsidR="00000000" w:rsidDel="00000000" w:rsidP="00000000" w:rsidRDefault="00000000" w:rsidRPr="00000000" w14:paraId="0000000F">
      <w:pPr>
        <w:numPr>
          <w:ilvl w:val="3"/>
          <w:numId w:val="6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검색어 분석을 통한 트렌드 확인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회원가입 기능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로그인 기능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line="360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내 정보 조회 및 수정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기능적 요구사항</w:t>
      </w:r>
    </w:p>
    <w:p w:rsidR="00000000" w:rsidDel="00000000" w:rsidP="00000000" w:rsidRDefault="00000000" w:rsidRPr="00000000" w14:paraId="00000018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메인 페이지 기능</w:t>
      </w:r>
    </w:p>
    <w:p w:rsidR="00000000" w:rsidDel="00000000" w:rsidP="00000000" w:rsidRDefault="00000000" w:rsidRPr="00000000" w14:paraId="0000001A">
      <w:pPr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 HMR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 선호도 분석 및 시각화 자료 제공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1인가구의 HMR 선호도 분석을 위해 농림축산식품부의 「가공식품소비자태도조사」, 식품의약품안전처의 「식품및식품첨가물생산실적」 데이터와 쿠팡, 마켓컬리의 크롤링 데이터를 활용한다.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1.1.1.1 HMR 선호도 분석 및 카테고리별 시각화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「주로 구입하는 간편식 품목」, 「간편식 품목별 구입경험」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 이용하여 2018년부터 2022년까지 HMR 품목별(즉석 조리 식품, 즉석 섭취 식품, 신선 편의 식품, 밀키트) 구매율 변화와 구입 경험률을 확인하여 선호도를 분석하고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 시각화하여 제공할 수 있어야 한다.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「간편식 구입 주기」, 「간편식 주 구입처」, 「간편식 주 이용 용도」 데이터를 이용하여 품목별로 해당 데이터의 BarPlot그래프를 제공하고 데이터 간의 상관, 회귀분석을 통해 분석한 자료를 제공한다.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88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연도별(2018~2022년) 간편식 구입 주기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288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품목별 간편식 주 구입처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288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품목별 간편식 주 이용 용도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1.1.1.2 품목별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 HMR 인기제품 정보 제공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88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2023년 “opensurvey” 자료 기준 온라인 식품 구매처 1위, 2위인 쿠팡, 마켓컬리에서 품목별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“평점 높은 순”,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“판매량 순”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으로 데이터를 크롤링하여 가져온다.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하위 카테고리 식품별 (밥, 면, 만두 등) 항목 선택 후, 검색 버튼 클릭 시 쿠팡과 마켓컬리에서 가져온 상위 1~3위 상품 정보(상품명, 가격, 브랜드)를 제공할 수 있어야 한다. 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기능 최종 예시 )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1인가구 20대 기준, 카테고리 단락에서 상위 카테고리 “즉석조리식품”</w:t>
      </w:r>
    </w:p>
    <w:p w:rsidR="00000000" w:rsidDel="00000000" w:rsidP="00000000" w:rsidRDefault="00000000" w:rsidRPr="00000000" w14:paraId="00000029">
      <w:pPr>
        <w:spacing w:line="288" w:lineRule="auto"/>
        <w:ind w:left="72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선택.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“즉석조리식품”의 데이터를 보여주는 세가지 차트 페이지 왼쪽 하단에 제공.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“즉석 조리식품” 카테고리의 “밥” 선택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“밥”에 관련된 2018~2022년 “백분위 구매비율”과 “구입 경험” 데이터 차트 생성. 하위품목군 “밥”에 대한 선호도 확인 가능.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288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“검색” 버튼 클릭 시 “즉석조리식품” 카테고리의 “밥”에 해당하는 식품 중 쿠팡, 마켓컬리의 1~3위 인기상품(상품명, 가격, 브랜드) 정보 제공. 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1인가구 식생활 트렌드 분석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SNS와 온라인 구매 플랫폼, 네이버 데이터랩 등 시간대별 움직임에 따라 변화할 수 있는 데이터를 취합하고 분석 및 시각화하여 MZ세대의 식생활 관련 최근 이슈와 트렌드 정보를 제공할 수 있어야 한다.</w:t>
      </w:r>
    </w:p>
    <w:p w:rsidR="00000000" w:rsidDel="00000000" w:rsidP="00000000" w:rsidRDefault="00000000" w:rsidRPr="00000000" w14:paraId="00000032">
      <w:pPr>
        <w:spacing w:line="288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8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1.1.2.1 키워드 상관성 비교 분석, 연관 키워드 분류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88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네이버 데이터랩을 통해 다양한 식생활 관련 트렌드 키워드 중 MZ세대의 검색량 추이를 파악해 1개월 단위로 HMR 식품군 중 특정 키워드의 증가 및 감소를 시각화하여 보일 수 있도록 한다.</w:t>
        <w:br w:type="textWrapping"/>
        <w:t xml:space="preserve">(만약 포함할 수 있는 것이 너무 많은 키워드가 나온다면, 연관된 키워드들 또한 시각화 할 수 있도록 한다.) 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88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키워드들의 데이터와 텍스트마이닝을 통해 n가지의 키워드 사이의 상호유사성을 분석하고 클러스터링(Clustering)을 통해 키워드 및 제품군의 그룹화, 카테고리별 분류하여 인접해있는 단어들의 연관성을 확인할 수 있어야 한다.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88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클러스터링 및 마이닝 된 텍스트를 클릭하면 해당 키워드와 관련된 기사와 뉴스레터를 확인할 수 있도록 한다. </w:t>
      </w:r>
    </w:p>
    <w:p w:rsidR="00000000" w:rsidDel="00000000" w:rsidP="00000000" w:rsidRDefault="00000000" w:rsidRPr="00000000" w14:paraId="00000037">
      <w:pPr>
        <w:spacing w:line="288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예시 ) “스테이크”클릭 → 1인 스테이크 밀키트 관련 뉴스기사 제공</w:t>
      </w:r>
    </w:p>
    <w:p w:rsidR="00000000" w:rsidDel="00000000" w:rsidP="00000000" w:rsidRDefault="00000000" w:rsidRPr="00000000" w14:paraId="00000038">
      <w:pPr>
        <w:jc w:val="right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4643438" cy="8407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84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1.2 회원가입 기능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개인정보를 등록해 회원이 될 수 있다.</w:t>
      </w:r>
    </w:p>
    <w:p w:rsidR="00000000" w:rsidDel="00000000" w:rsidP="00000000" w:rsidRDefault="00000000" w:rsidRPr="00000000" w14:paraId="0000003C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1.3 로그인 기능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회원가입 한 사용자가 아이디, 비밀번호를 통해 로그인한다.</w:t>
      </w:r>
    </w:p>
    <w:p w:rsidR="00000000" w:rsidDel="00000000" w:rsidP="00000000" w:rsidRDefault="00000000" w:rsidRPr="00000000" w14:paraId="0000003E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ab/>
        <w:t xml:space="preserve">1.3.1 내 정보 조회 및 수정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원하는 대로 자신의 정보를 수정할 수 있다.</w:t>
      </w:r>
    </w:p>
    <w:p w:rsidR="00000000" w:rsidDel="00000000" w:rsidP="00000000" w:rsidRDefault="00000000" w:rsidRPr="00000000" w14:paraId="00000040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HMR (Home Meal Replacement) 가정 간편식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Malgun Gothic" w:cs="Malgun Gothic" w:eastAsia="Malgun Gothic" w:hAnsi="Malgun Gothi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