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自动控制原理-作业3稳定性与动态特性"/>
    <w:p>
      <w:pPr>
        <w:pStyle w:val="Heading1"/>
        <w:spacing w:line="240" w:lineRule="auto" w:before="0" w:after="80"/>
        <w:ind w:firstLine="0"/>
        <w:jc w:val="center"/>
      </w:pPr>
      <w:r>
        <w:rPr>
          <w:rFonts w:ascii="Times New Roman" w:hAnsi="Times New Roman" w:eastAsia="SimHei"/>
          <w:b w:val="0"/>
          <w:color w:val="000000"/>
          <w:sz w:val="32"/>
        </w:rPr>
        <w:t xml:space="preserve">自动控制原理 作业3：稳定性与动态特性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本次作业包含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道闭题与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道开放题。</w:t>
      </w:r>
    </w:p>
    <w:bookmarkStart w:id="20" w:name="t3-1-劳斯判据与稳定区间2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T3-1 劳斯判据与稳定区间（20分）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已知某闭环系统的特征方程为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t>K</m:t>
              </m:r>
            </m:e>
          </m:d>
          <m:r>
            <m:t>s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其中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为实参数。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用劳斯判据求系统稳定的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取值范围。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给出系统处于临界稳定时的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值。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用一句话说明：为什么这里求出的稳定区间，只能看作后续参数筛选的第一层可行域？</w:t>
      </w:r>
    </w:p>
    <w:p>
      <w:pPr>
        <w:spacing w:line="240" w:lineRule="auto" w:before="0" w:after="80"/>
        <w:ind w:firstLine="0"/>
      </w:pPr>
      <w:r>
        <w:rPr>
          <w:rFonts w:ascii="Times New Roman" w:hAnsi="Times New Roman" w:eastAsia="SimSun"/>
          <w:b w:val="0"/>
          <w:color w:val="000000"/>
          <w:sz w:val="24"/>
        </w:rPr>
        <w:pict>
          <v:rect style="width:0;height:1.5pt" o:hralign="center" o:hrstd="t" o:hr="t"/>
        </w:pict>
      </w:r>
    </w:p>
    <w:bookmarkEnd w:id="20"/>
    <w:bookmarkStart w:id="24" w:name="t3-2-根轨迹读图与增益迁移2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T3-2 根轨迹读图与增益迁移（20分）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某单位负反馈系统只采用比例控制，实际控制器增益记为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，且只考虑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。教师给出的完整根轨迹主图采用“作图增益”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，两者关系已明确标注为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4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根轨迹读图示意如下。该图依据题干给出的关键节点绘制，用于完成读图、换算和趋势解释。</w:t>
      </w:r>
    </w:p>
    <w:p>
      <w:pPr>
        <w:pStyle w:val="CaptionedFigure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drawing>
          <wp:inline>
            <wp:extent cx="5334000" cy="4365201"/>
            <wp:effectExtent b="0" l="0" r="0" t="0"/>
            <wp:docPr descr="根轨迹读图示意图" title="" id="22" name="Picture"/>
            <a:graphic>
              <a:graphicData uri="http://schemas.openxmlformats.org/drawingml/2006/picture">
                <pic:pic>
                  <pic:nvPicPr>
                    <pic:cNvPr descr="assets/T3/T3-2-root-locus-reading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t xml:space="preserve">根轨迹读图示意图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为避免你补画主图，现把该根轨迹的关键信息直接整理如下（这些信息等价于完整主图上的可读内容）：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时，闭环极点位于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出发的两条实轴分支相向移动，并在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0.8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处分离，此时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≈</m:t>
        </m:r>
        <m:r>
          <m:t>1.6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分离后形成一对共轭复极点，分别沿上、下两支轨迹移动；当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时，这对极点穿过虚轴，交点约为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j</m:t>
        </m:r>
        <m:r>
          <m:t>2.4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时，这对共轭极点进入右半平面。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从主图读得两组代表性点：</w:t>
      </w:r>
    </w:p>
    <w:p>
      <w:pPr>
        <w:numPr>
          <w:ilvl w:val="1"/>
          <w:numId w:val="100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时，主导极点约为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0.72</m:t>
        </m:r>
        <m:r>
          <m:rPr>
            <m:sty m:val="p"/>
          </m:rPr>
          <m:t>±</m:t>
        </m:r>
        <m:r>
          <m:t>j</m:t>
        </m:r>
        <m:r>
          <m:t>0.78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；</w:t>
      </w:r>
    </w:p>
    <w:p>
      <w:pPr>
        <w:numPr>
          <w:ilvl w:val="1"/>
          <w:numId w:val="100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时，主导极点约为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0.18</m:t>
        </m:r>
        <m:r>
          <m:rPr>
            <m:sty m:val="p"/>
          </m:rPr>
          <m:t>±</m:t>
        </m:r>
        <m:r>
          <m:t>j</m:t>
        </m:r>
        <m:r>
          <m:t>1.92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根据上述读图信息回答：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写出闭环稳定的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取值窗口，并换算为实际控制器增益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的稳定窗口。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若工程上要求“工作增益不超过稳定边界的 80%”，求允许的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上限。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现把控制器增益从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增大到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1.25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。说明根轨迹上的极点总体向哪个方向迁移，并结合题中给出的读点，解释闭环响应在振荡程度、超调趋势和衰减快慢上的变化。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说明：本题只需按给定信息读图、换算并解释，不需要补画根轨迹。</w:t>
      </w:r>
    </w:p>
    <w:p>
      <w:pPr>
        <w:spacing w:line="240" w:lineRule="auto" w:before="0" w:after="80"/>
        <w:ind w:firstLine="0"/>
      </w:pPr>
      <w:r>
        <w:rPr>
          <w:rFonts w:ascii="Times New Roman" w:hAnsi="Times New Roman" w:eastAsia="SimSun"/>
          <w:b w:val="0"/>
          <w:color w:val="000000"/>
          <w:sz w:val="24"/>
        </w:rPr>
        <w:pict>
          <v:rect style="width:0;height:1.5pt" o:hralign="center" o:hrstd="t" o:hr="t"/>
        </w:pict>
      </w:r>
    </w:p>
    <w:bookmarkEnd w:id="24"/>
    <w:bookmarkStart w:id="25" w:name="t3-3-稳定与动态冲突下的判断2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T3-3 稳定与动态冲突下的判断（20分）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【结构化判断题】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某单位负反馈系统仅通过比例增益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调整闭环性能。已知根轨迹在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2.8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时与虚轴相交，继续增大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将失稳；随着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1.0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增大到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2.6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，主导极点逐步向虚轴靠近，振荡趋势增强。若无特殊说明，下表中的调节时间与超调量按同一口径统计。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候选闭环数据：</w:t>
      </w:r>
    </w:p>
    <w:p>
      <w:pPr>
        <w:numPr>
          <w:ilvl w:val="0"/>
          <w:numId w:val="1005"/>
        </w:numPr>
        <w:pStyle w:val="Compact"/>
        <w:spacing w:line="240" w:lineRule="auto" w:before="0" w:after="80"/>
        <w:ind w:firstLine="480"/>
      </w:pPr>
      <m:oMath>
        <m:r>
          <m:t>K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，主导极点为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±</m:t>
        </m:r>
        <m:r>
          <m:t>j</m:t>
        </m:r>
        <m:r>
          <m:t>0.7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，调节时间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2.8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，超调量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6%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，现象：稳定且振荡较轻，但响应偏慢。</w:t>
      </w:r>
    </w:p>
    <w:p>
      <w:pPr>
        <w:numPr>
          <w:ilvl w:val="0"/>
          <w:numId w:val="1005"/>
        </w:numPr>
        <w:pStyle w:val="Compact"/>
        <w:spacing w:line="240" w:lineRule="auto" w:before="0" w:after="80"/>
        <w:ind w:firstLine="480"/>
      </w:pPr>
      <m:oMath>
        <m:r>
          <m:t>K</m:t>
        </m:r>
        <m:r>
          <m:rPr>
            <m:sty m:val="p"/>
          </m:rPr>
          <m:t>=</m:t>
        </m:r>
        <m:r>
          <m:t>2.0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，主导极点为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−</m:t>
        </m:r>
        <m:r>
          <m:t>0.9</m:t>
        </m:r>
        <m:r>
          <m:rPr>
            <m:sty m:val="p"/>
          </m:rPr>
          <m:t>±</m:t>
        </m:r>
        <m:r>
          <m:t>j</m:t>
        </m:r>
        <m:r>
          <m:t>1.5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，调节时间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1.9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，超调量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16%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，现象：响应更快，但振荡明显、超调偏大。</w:t>
      </w:r>
    </w:p>
    <w:p>
      <w:pPr>
        <w:numPr>
          <w:ilvl w:val="0"/>
          <w:numId w:val="1005"/>
        </w:numPr>
        <w:pStyle w:val="Compact"/>
        <w:spacing w:line="240" w:lineRule="auto" w:before="0" w:after="80"/>
        <w:ind w:firstLine="480"/>
      </w:pPr>
      <m:oMath>
        <m:r>
          <m:t>K</m:t>
        </m:r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，主导极点为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−</m:t>
        </m:r>
        <m:r>
          <m:t>0.25</m:t>
        </m:r>
        <m:r>
          <m:rPr>
            <m:sty m:val="p"/>
          </m:rPr>
          <m:t>±</m:t>
        </m:r>
        <m:r>
          <m:t>j</m:t>
        </m:r>
        <m:r>
          <m:t>1.9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，调节时间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4.6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，超调量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32%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，现象：已非常接近临界稳定，振荡重，动态变差。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现有要求互相冲突：</w:t>
      </w:r>
    </w:p>
    <w:p>
      <w:pPr>
        <w:numPr>
          <w:ilvl w:val="0"/>
          <w:numId w:val="1006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考虑模型不确定性，工作点不能贴近临界稳定边界；</w:t>
      </w:r>
    </w:p>
    <w:p>
      <w:pPr>
        <w:numPr>
          <w:ilvl w:val="0"/>
          <w:numId w:val="1006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超调量希望不超过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10%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；</w:t>
      </w:r>
    </w:p>
    <w:p>
      <w:pPr>
        <w:numPr>
          <w:ilvl w:val="0"/>
          <w:numId w:val="1006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调节时间希望不超过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2.0 s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请只使用“稳定边界、极点迁移、振荡趋势、响应快慢”这些语言，回答下面三个判断：</w:t>
      </w:r>
    </w:p>
    <w:p>
      <w:pPr>
        <w:numPr>
          <w:ilvl w:val="0"/>
          <w:numId w:val="1007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在上述冲突中，必须先守住哪一条约束？</w:t>
      </w:r>
    </w:p>
    <w:p>
      <w:pPr>
        <w:numPr>
          <w:ilvl w:val="0"/>
          <w:numId w:val="1007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哪一条动态要求在本情境下只能部分满足？</w:t>
      </w:r>
    </w:p>
    <w:p>
      <w:pPr>
        <w:numPr>
          <w:ilvl w:val="0"/>
          <w:numId w:val="1007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依据题中根轨迹摘要和候选数据，给出结构化理由。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要求：不允许讨论控制器选型、参数整定、补偿结构、零点、型别或频域方法。</w:t>
      </w:r>
    </w:p>
    <w:p>
      <w:pPr>
        <w:spacing w:line="240" w:lineRule="auto" w:before="0" w:after="80"/>
        <w:ind w:firstLine="0"/>
      </w:pPr>
      <w:r>
        <w:rPr>
          <w:rFonts w:ascii="Times New Roman" w:hAnsi="Times New Roman" w:eastAsia="SimSun"/>
          <w:b w:val="0"/>
          <w:color w:val="000000"/>
          <w:sz w:val="24"/>
        </w:rPr>
        <w:pict>
          <v:rect style="width:0;height:1.5pt" o:hralign="center" o:hrstd="t" o:hr="t"/>
        </w:pict>
      </w:r>
    </w:p>
    <w:bookmarkEnd w:id="25"/>
    <w:bookmarkStart w:id="26" w:name="o3-结构机理诊断4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O3 结构机理诊断（40分）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请沿用你在 O2 中已经固定的同一对象、简化模型与最小三域表征，不得更换对象。围绕该对象当前的基线方案，完成一次“结构机理诊断”。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请完成以下内容：</w:t>
      </w:r>
    </w:p>
    <w:p>
      <w:pPr>
        <w:numPr>
          <w:ilvl w:val="0"/>
          <w:numId w:val="1008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先在“稳定问题 / 动态问题 / 稳态问题”中判断当前最主要的问题属于哪一类，并用 O2 中已有模型、响应或仿真结果给出 1-2 条直接证据。</w:t>
      </w:r>
    </w:p>
    <w:p>
      <w:pPr>
        <w:numPr>
          <w:ilvl w:val="0"/>
          <w:numId w:val="1008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明确说明它属于哪条机理线。不能只说“响应不好”，必须说清你为什么把它判为稳定机理线、动态机理线或稳态机理线。</w:t>
      </w:r>
    </w:p>
    <w:p>
      <w:pPr>
        <w:numPr>
          <w:ilvl w:val="0"/>
          <w:numId w:val="1008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只使用本阶段允许的语言，对主要问题给出结构机理解释。允许使用：稳定边界、极点位置、主导极点、增益变化与极点迁移、根轨迹趋势、时域响应现象。若你选择“稳态问题”，只能用 O2 中可直接观察的终值偏差或低频现象作证据，不得调用型别、积分、静态误差系数等后续语言。</w:t>
      </w:r>
    </w:p>
    <w:p>
      <w:pPr>
        <w:numPr>
          <w:ilvl w:val="0"/>
          <w:numId w:val="1008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给出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张必要图表或对照表，并用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2-3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句说明该图表支持了哪条诊断。图表可采用“极点-响应对照”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“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增益-极点迁移对照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”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“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模型参数-现象对照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”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等形式。</w:t>
      </w:r>
    </w:p>
    <w:p>
      <w:pPr>
        <w:numPr>
          <w:ilvl w:val="0"/>
          <w:numId w:val="1008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若诊断涉及动态或稳定判断，必须附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MATLAB/Octave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仿真代码、结果图与最小复现实验说明。</w:t>
      </w:r>
    </w:p>
    <w:p>
      <w:pPr>
        <w:numPr>
          <w:ilvl w:val="0"/>
          <w:numId w:val="1008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最后用“主要矛盾清单”收束：写出当前主要矛盾、一个次要矛盾，以及为什么本次不进入控制结构最终定夺。</w:t>
      </w:r>
    </w:p>
    <w:p>
      <w:pPr>
        <w:numPr>
          <w:ilvl w:val="0"/>
          <w:numId w:val="1008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AI 使用记录摘要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，写明你如何使用 AI、如何核查和修改 AI 输出。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提交约束：</w:t>
      </w:r>
    </w:p>
    <w:p>
      <w:pPr>
        <w:numPr>
          <w:ilvl w:val="0"/>
          <w:numId w:val="1009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主体正文不超过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700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字。</w:t>
      </w:r>
    </w:p>
    <w:p>
      <w:pPr>
        <w:numPr>
          <w:ilvl w:val="0"/>
          <w:numId w:val="1009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允许附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1-3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张图、表或示意图。</w:t>
      </w:r>
    </w:p>
    <w:p>
      <w:pPr>
        <w:numPr>
          <w:ilvl w:val="0"/>
          <w:numId w:val="1009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本题只做机理诊断，不做控制结构最终定夺，不允许写成完整设计报告。</w:t>
      </w:r>
    </w:p>
    <w:p>
      <w:pPr>
        <w:numPr>
          <w:ilvl w:val="0"/>
          <w:numId w:val="1009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不得调用零点、型别、积分稳态改善、Nyquist 判据、Bode 判稳或完整控制器选型语言。</w:t>
      </w:r>
    </w:p>
    <w:bookmarkEnd w:id="26"/>
    <w:bookmarkEnd w:id="27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  <w:color w:val="00000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eastAsia="SimSun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eastAsia="SimSu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eastAsia="SimSu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eastAsia="SimSu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hAnsi="Times New Roman" w:eastAsia="SimSu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 w:eastAsia="SimSu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 w:eastAsia="SimSu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  <w:color w:val="000000"/>
    </w:rPr>
  </w:style>
  <w:style w:customStyle="1" w:styleId="Definition" w:type="paragraph">
    <w:name w:val="Definition"/>
    <w:basedOn w:val="Normal"/>
    <w:rPr>
      <w:rFonts w:ascii="Times New Roman" w:hAnsi="Times New Roman" w:eastAsia="SimSu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  <w:color w:val="000000"/>
    </w:rPr>
  </w:style>
  <w:style w:customStyle="1" w:styleId="ImageCaption" w:type="paragraph">
    <w:name w:val="Image Caption"/>
    <w:basedOn w:val="Caption"/>
    <w:rPr>
      <w:rFonts w:ascii="Times New Roman" w:hAnsi="Times New Roman" w:eastAsia="SimSun"/>
      <w:color w:val="000000"/>
    </w:rPr>
  </w:style>
  <w:style w:customStyle="1" w:styleId="Figure" w:type="paragraph">
    <w:name w:val="Figure"/>
    <w:basedOn w:val="Normal"/>
    <w:rPr>
      <w:rFonts w:ascii="Times New Roman" w:hAnsi="Times New Roman" w:eastAsia="SimSu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  <w:color w:val="000000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  <w:color w:val="000000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SimSu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  <w:color w:val="000000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  <w:color w:val="000000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  <w:color w:val="000000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2026-05-28T01:53:57Z</dcterms:created>
  <dcterms:modified xsi:type="dcterms:W3CDTF">2026-05-28T01:53:57Z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