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动控制原理-作业6约束迁移与高保真验证下的方案修正"/>
    <w:p>
      <w:pPr>
        <w:pStyle w:val="Heading1"/>
        <w:spacing w:line="240" w:lineRule="auto" w:before="0" w:after="80"/>
        <w:ind w:firstLine="0"/>
        <w:jc w:val="center"/>
      </w:pPr>
      <w:r>
        <w:rPr>
          <w:rFonts w:ascii="Times New Roman" w:hAnsi="Times New Roman" w:eastAsia="SimHei"/>
          <w:b w:val="0"/>
          <w:color w:val="000000"/>
          <w:sz w:val="32"/>
        </w:rPr>
        <w:t xml:space="preserve">自动控制原理 作业6：约束、迁移与高保真验证下的方案修正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本次作业包含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道闭题与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道开放题，总分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100分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bookmarkStart w:id="21" w:name="t6-1-首轮证据目标函数与带约束候选比较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T6-1 首轮证据、目标函数与带约束候选比较（20分）</w:t>
      </w:r>
    </w:p>
    <w:bookmarkStart w:id="20" w:name="作业题单选问答混合20分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作业题（单选/问答混合，20分）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某单位在完成首轮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PID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参数试探后，得到以下验证证据：上升时间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1.9</m:t>
        </m:r>
        <m:r>
          <m:t> 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、最大超调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%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、稳态误差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、扰动抑制时间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1.0</m:t>
        </m:r>
        <m:r>
          <m:t> 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、相位裕度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ϕ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p>
          <m:e>
            <m:r>
              <m:t>38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、控制能量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E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0"/>
            <m:supHide m:val="0"/>
          </m:naryPr>
          <m:sub>
            <m:r>
              <m:t>0</m:t>
            </m:r>
          </m:sub>
          <m:sup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</m:sup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4.5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。工程团队希望下一轮设计同时关注速度、超调、稳态精度、扰动恢复、相位裕度和控制能量。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建议归一化基准如下：</w:t>
      </w:r>
      <m:oMath>
        <m:sSubSup>
          <m:e>
            <m:r>
              <m:t>t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r>
          <m:t>1.6</m:t>
        </m:r>
        <m:r>
          <m:t> 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m:oMath>
        <m:sSubSup>
          <m:e>
            <m:r>
              <m:t>M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r>
          <m:t>15</m:t>
        </m:r>
        <m:r>
          <m:rPr>
            <m:sty m:val="p"/>
          </m:rPr>
          <m:t>%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m:oMath>
        <m:sSubSup>
          <m:e>
            <m:r>
              <m:t>e</m:t>
            </m:r>
          </m:e>
          <m:sub>
            <m:r>
              <m:t>s</m:t>
            </m:r>
            <m:r>
              <m:t>s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m:oMath>
        <m:sSubSup>
          <m:e>
            <m:r>
              <m:t>t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r>
          <m:t>0.8</m:t>
        </m:r>
        <m:r>
          <m:t> 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m:oMath>
        <m:sSubSup>
          <m:e>
            <m:r>
              <m:t>ϕ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下一轮计算得到三组候选结果如下：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候选方案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目标函数值 J(越小越好)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超调 Mp(%)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调节时间 Ts(s)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稳态误差 e_ss(%)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控制量峰值 u_max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控制能量 E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无约束候选 U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22.0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0.8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1.20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带约束候选 C1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8.9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16.0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0.85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5.5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带约束候选 C2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19.0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5.8</w:t>
            </w:r>
          </w:p>
        </w:tc>
      </w:tr>
    </w:tbl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硬约束要求：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Mp ≤ 18%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Ts ≤ 1.8 s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e_ss ≤ 1.5%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u_max ≤ 0.9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E ≤ 6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请按以下要求作答：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写出一个单一目标函数表达式，至少包含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E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六项，并给出一组合理权重。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写出无约束与带约束方案的硬约束判定表（可行/不可行）。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比较三组方案指标变化，指出无约束方案与带约束方案的差异。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判断哪一个是可交付方案，并说明主要收益与代价。</w:t>
      </w:r>
    </w:p>
    <w:bookmarkEnd w:id="20"/>
    <w:bookmarkEnd w:id="21"/>
    <w:bookmarkStart w:id="23" w:name="t6-2-迁移与跨模型验证下的排序变化解释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T6-2 迁移与跨模型验证下的排序变化解释（20分）</w:t>
      </w:r>
    </w:p>
    <w:bookmarkStart w:id="22" w:name="题目迁移与跨模型验证下的排序变化解释20分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题目：迁移与跨模型验证下的排序变化解释（20分）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某企业从产线 A 迁移到产线 B，控制对象从原有小负载工况转入更高惯量与更强干扰环境。已知候选控制结构共3个，均采用固定结构模板：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候选方案：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S1: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P1 = [PI + 积分抗饱和 + 反积分项]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S2: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P2 = [PID + 限幅抗饱和 / anti-windup + 速度前馈]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S3: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P3 = [PI + 低通滤波 + 位置前馈]</w:t>
      </w:r>
    </w:p>
    <w:p>
      <w:pPr>
        <w:pStyle w:val="FirstParagraph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迁移工况信息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迁移前（工况 O）：</w:t>
      </w:r>
    </w:p>
    <w:p>
      <w:pPr>
        <w:numPr>
          <w:ilvl w:val="1"/>
          <w:numId w:val="100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负载惯量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J=1.0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，摩擦系数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f=0.05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，通信延迟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0.02 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，测量噪声标准差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σ=0.002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迁移后（工况 M）：</w:t>
      </w:r>
    </w:p>
    <w:p>
      <w:pPr>
        <w:numPr>
          <w:ilvl w:val="1"/>
          <w:numId w:val="100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负载惯量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J=2.2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，摩擦系数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f=0.12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，通信延迟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0.12 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，测量噪声标准差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σ=0.010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FirstParagraph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结构编码片段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S1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：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id[1, 1] = PI, AW=true, FF=false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S2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：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id[2, 1] = PID, AW=true, FF=velocity</w:t>
      </w:r>
    </w:p>
    <w:p>
      <w:pPr>
        <w:numPr>
          <w:ilvl w:val="0"/>
          <w:numId w:val="1007"/>
        </w:numPr>
        <w:pStyle w:val="Compact"/>
        <w:spacing w:line="240" w:lineRule="auto" w:before="0" w:after="80"/>
        <w:ind w:firstLine="480"/>
      </w:pP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S3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：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id[3, 1] = PI, AW=true, LPF=1.5Hz</w:t>
      </w:r>
    </w:p>
    <w:p>
      <w:pPr>
        <w:pStyle w:val="FirstParagraph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辨识模型（Identification）验证结果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50"/>
        <w:gridCol w:w="1667"/>
        <w:gridCol w:w="1667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方案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目标代价 J_id （越小越好）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上升沿延迟 t_r (s)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稳态误差 e_ss (%)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超调 M_p (%)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S1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41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0.39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0.8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8.5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S2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52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0.46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6.2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S3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58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7.1</w:t>
            </w:r>
          </w:p>
        </w:tc>
      </w:tr>
    </w:tbl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在辨识模型下约束要求：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M_p &lt; 9%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且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t_r &lt; 0.6 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高保真模型（High-Fidelity）验证结果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方案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目标代价 J_hf （越小越好）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上升沿延迟 t_r (s)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稳态误差 e_ss (%)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超调 M_p (%)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控制量峰值 u_max（%）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饱和上限 u_sat（%）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S1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49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0.7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12.4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19.0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S2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55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0.48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0.9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13.5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S3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57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0.45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7.8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12.1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righ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15</w:t>
            </w:r>
          </w:p>
        </w:tc>
      </w:tr>
    </w:tbl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高保真约束要求：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M_p &lt; 10%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t_r &lt; 0.6 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|u| &lt;= u_sat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请回答以下问题：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在迁移到工况 M 后，比较 S1、S2、S3 在辨识模型与高保真模型中的排序变化并给出排序结果（5分）。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说明 S1 为何在高保真模型中失效，给出固定结构层面的证据（5分）。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说明结构参数或边界如何限定“可迁移性”：哪些工况下该方案可直接移植，哪些工况下不建议直接沿用（10分）。</w:t>
      </w:r>
    </w:p>
    <w:bookmarkEnd w:id="22"/>
    <w:bookmarkEnd w:id="23"/>
    <w:bookmarkStart w:id="25" w:name="t6-3-高保真验证下的多目标交付判断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T6-3 高保真验证下的多目标交付判断（20分）</w:t>
      </w:r>
    </w:p>
    <w:bookmarkStart w:id="24" w:name="作业题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作业题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某液位控制系统拟定三个有限候选控制方案 A/B/C，用于单回路液位调节。请基于给定的硬约束、模型来源与高保真验证证据，判断每个候选方案的交付状态：</w:t>
      </w: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可交付 / 需修正 / 只能保留为候选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。并说明判断依据（取舍逻辑必须关联硬约束、扰动/噪声证据与模型来源）。</w:t>
      </w:r>
    </w:p>
    <w:p>
      <w:pPr>
        <w:numPr>
          <w:ilvl w:val="0"/>
          <w:numId w:val="1009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总任务：</w:t>
      </w:r>
    </w:p>
    <w:p>
      <w:pPr>
        <w:numPr>
          <w:ilvl w:val="1"/>
          <w:numId w:val="1010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不要求重新优化算法，不要求设计新方法。</w:t>
      </w:r>
    </w:p>
    <w:p>
      <w:pPr>
        <w:numPr>
          <w:ilvl w:val="1"/>
          <w:numId w:val="1010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只能基于下表已有数据做交付判断。</w:t>
      </w:r>
    </w:p>
    <w:p>
      <w:pPr>
        <w:numPr>
          <w:ilvl w:val="1"/>
          <w:numId w:val="1010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不允许将模块5方法用于修补。</w:t>
      </w:r>
    </w:p>
    <w:p>
      <w:pPr>
        <w:numPr>
          <w:ilvl w:val="0"/>
          <w:numId w:val="1009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课程单元要求：</w:t>
      </w:r>
    </w:p>
    <w:p>
      <w:pPr>
        <w:numPr>
          <w:ilvl w:val="1"/>
          <w:numId w:val="101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识别并区分模型来源（简化模型 / 辨识模型 / 高保真模型）。</w:t>
      </w:r>
    </w:p>
    <w:p>
      <w:pPr>
        <w:numPr>
          <w:ilvl w:val="1"/>
          <w:numId w:val="101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结合扰动、噪声与不确定性验证结果。</w:t>
      </w:r>
    </w:p>
    <w:p>
      <w:pPr>
        <w:numPr>
          <w:ilvl w:val="1"/>
          <w:numId w:val="101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做出分类判断并给出可追踪依据。</w:t>
      </w:r>
    </w:p>
    <w:p>
      <w:pPr>
        <w:pStyle w:val="FirstParagraph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不可放宽硬约束（全部课题共用）</w:t>
      </w:r>
    </w:p>
    <w:p>
      <w:pPr>
        <w:numPr>
          <w:ilvl w:val="0"/>
          <w:numId w:val="101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峰值超调：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5</m:t>
        </m:r>
        <m:r>
          <m:rPr>
            <m:sty m:val="p"/>
          </m:rPr>
          <m:t>%</m:t>
        </m:r>
      </m:oMath>
    </w:p>
    <w:p>
      <w:pPr>
        <w:numPr>
          <w:ilvl w:val="0"/>
          <w:numId w:val="101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稳态误差：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  <m:r>
                  <m:t>s</m:t>
                </m:r>
              </m:sub>
            </m:sSub>
          </m:e>
        </m:d>
        <m:r>
          <m:rPr>
            <m:sty m:val="p"/>
          </m:rPr>
          <m:t>≤</m:t>
        </m:r>
        <m:r>
          <m:t>1</m:t>
        </m:r>
        <m:r>
          <m:rPr>
            <m:sty m:val="p"/>
          </m:rPr>
          <m:t>%</m:t>
        </m:r>
      </m:oMath>
    </w:p>
    <w:p>
      <w:pPr>
        <w:numPr>
          <w:ilvl w:val="0"/>
          <w:numId w:val="101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稳定上升沿时间：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≤</m:t>
        </m:r>
        <m:r>
          <m:t>1.5</m:t>
        </m:r>
        <m:r>
          <m:t> </m:t>
        </m:r>
        <m:r>
          <m:rPr>
            <m:nor/>
            <m:sty m:val="p"/>
          </m:rPr>
          <m:t>s</m:t>
        </m:r>
      </m:oMath>
    </w:p>
    <w:p>
      <w:pPr>
        <w:numPr>
          <w:ilvl w:val="0"/>
          <w:numId w:val="101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执行机构限幅：</w:t>
      </w:r>
      <m:oMath>
        <m:sSub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u</m:t>
                </m:r>
              </m:e>
            </m:d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4.0</m:t>
        </m:r>
      </m:oMath>
    </w:p>
    <w:p>
      <w:pPr>
        <w:pStyle w:val="FirstParagraph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高保真扰动与噪声试验条件（判定依据）</w:t>
      </w:r>
    </w:p>
    <w:p>
      <w:pPr>
        <w:numPr>
          <w:ilvl w:val="0"/>
          <w:numId w:val="101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扰动：负载扰动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10</m:t>
        </m:r>
        <m:r>
          <m:rPr>
            <m:sty m:val="p"/>
          </m:rPr>
          <m:t>%</m:t>
        </m:r>
      </m:oMath>
    </w:p>
    <w:p>
      <w:pPr>
        <w:numPr>
          <w:ilvl w:val="0"/>
          <w:numId w:val="101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噪声：传感噪声标准差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σ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0.02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（量纲一化）</w:t>
      </w:r>
    </w:p>
    <w:p>
      <w:pPr>
        <w:numPr>
          <w:ilvl w:val="0"/>
          <w:numId w:val="101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高频未建模动态：执行机构滞后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0.25</m:t>
        </m:r>
        <m:r>
          <m:t> </m:t>
        </m:r>
        <m:r>
          <m:rPr>
            <m:nor/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+ 轻微摩擦项</w:t>
      </w:r>
    </w:p>
    <w:p>
      <w:pPr>
        <w:pStyle w:val="FirstParagraph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候选方案与证据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方案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简化模型来源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辨识模型来源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高保真模型来源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指标及结果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二阶等效模型（主导共轭实根）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ARX 辨识（5 Hz 采样）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非线性液位机理模型 + 饱和+摩擦 + 噪声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简化：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3.6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；辨识：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3.8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；高保真（含扰动/噪声）：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6.1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一阶延迟近似模型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互补试验辨识（不同工况拼接）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统一高保真模型 + 相同工况扰动/噪声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简化：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1.4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3.7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；辨识：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5.0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；高保真：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1.4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3.8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二阶标准型线性模型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经验模型外推（仅局部有效）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高保真模型（含执行器死区0.12）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简化：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；辨识：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1.3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4.4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；高保真：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2.3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2.9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4.3</m:t>
              </m:r>
            </m:oMath>
          </w:p>
        </w:tc>
      </w:tr>
    </w:tbl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问题：请按课程要求写出三方案判定，并对每个方案给出一句解释其结论的依据，强调“为何硬约束决定了该结论”。</w:t>
      </w:r>
    </w:p>
    <w:bookmarkEnd w:id="24"/>
    <w:bookmarkEnd w:id="25"/>
    <w:bookmarkStart w:id="26" w:name="o6-约束迁移与高保真验证下的方案修正4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O6 约束、迁移与高保真验证下的方案修正（40分）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请沿用你在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中已经提交的初始控制方案，不得更换控制对象，也不得把模块5中的非线性、数据驱动或强化学习方法作为本题解决方案。现在同一对象进入新工况，出现新的硬约束、扰动/噪声边界或结构编码入口。请在经典控制主线内部完成一次方案修正与交付判断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提交内容包括：</w:t>
      </w:r>
    </w:p>
    <w:p>
      <w:pPr>
        <w:numPr>
          <w:ilvl w:val="0"/>
          <w:numId w:val="101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回收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的对象、控制结构和首轮验证结论，说明原方案在新工况下最可能暴露的风险。</w:t>
      </w:r>
    </w:p>
    <w:p>
      <w:pPr>
        <w:numPr>
          <w:ilvl w:val="0"/>
          <w:numId w:val="101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给出新工况或第二场景的硬约束，至少包含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项不可放宽约束和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项软目标。</w:t>
      </w:r>
    </w:p>
    <w:p>
      <w:pPr>
        <w:numPr>
          <w:ilvl w:val="0"/>
          <w:numId w:val="101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给出一张迁移前后比较表，覆盖原工况、新工况、关键指标、约束是否满足和修正方向。</w:t>
      </w:r>
    </w:p>
    <w:p>
      <w:pPr>
        <w:numPr>
          <w:ilvl w:val="0"/>
          <w:numId w:val="101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说明结构编码入口或固定结构修正入口，例如保留原结构、补充限幅/抗饱和、加入滤波或前馈，但不得引入模块5方法替代。</w:t>
      </w:r>
    </w:p>
    <w:p>
      <w:pPr>
        <w:numPr>
          <w:ilvl w:val="0"/>
          <w:numId w:val="101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仿真代码、结果图和复现实验说明，验证迁移前后或高保真/扰动/噪声边界。</w:t>
      </w:r>
    </w:p>
    <w:p>
      <w:pPr>
        <w:numPr>
          <w:ilvl w:val="0"/>
          <w:numId w:val="101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写出一段高保真、扰动或噪声验证边界说明：哪些证据足以支持交付，哪些证据只能说明“保留候选”。</w:t>
      </w:r>
    </w:p>
    <w:p>
      <w:pPr>
        <w:numPr>
          <w:ilvl w:val="0"/>
          <w:numId w:val="101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AI 使用记录摘要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，说明 AI 参与了哪些整理、代码检查或文字润色工作，以及你如何核查关键判断。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提交约束：</w:t>
      </w:r>
    </w:p>
    <w:p>
      <w:pPr>
        <w:numPr>
          <w:ilvl w:val="0"/>
          <w:numId w:val="101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主体正文不超过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900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字。</w:t>
      </w:r>
    </w:p>
    <w:p>
      <w:pPr>
        <w:numPr>
          <w:ilvl w:val="0"/>
          <w:numId w:val="101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必须附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张迁移前后比较表。</w:t>
      </w:r>
    </w:p>
    <w:p>
      <w:pPr>
        <w:numPr>
          <w:ilvl w:val="0"/>
          <w:numId w:val="101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必须附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段高保真或扰动/噪声边界说明。</w:t>
      </w:r>
    </w:p>
    <w:p>
      <w:pPr>
        <w:numPr>
          <w:ilvl w:val="0"/>
          <w:numId w:val="101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必须附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仿真代码、结果图与简短复现实验说明。</w:t>
      </w:r>
    </w:p>
    <w:p>
      <w:pPr>
        <w:numPr>
          <w:ilvl w:val="0"/>
          <w:numId w:val="101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允许原方案在新工况下不满足全部指标，但必须说明修正入口和再次验证条件。</w:t>
      </w:r>
    </w:p>
    <w:p>
      <w:pPr>
        <w:numPr>
          <w:ilvl w:val="0"/>
          <w:numId w:val="101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可引用带约束求解记录，但不得只报求解器输出，必须回到经典控制结构、指标证据和交付判断；不得把模块5方法作为本题解决方案。</w:t>
      </w:r>
    </w:p>
    <w:bookmarkEnd w:id="26"/>
    <w:bookmarkEnd w:id="27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SimSu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eastAsia="SimSu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hAnsi="Times New Roman" w:eastAsia="SimSu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 w:eastAsia="SimSu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 w:eastAsia="SimSu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 w:eastAsia="SimSu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 w:eastAsia="SimSun"/>
      <w:color w:val="000000"/>
    </w:rPr>
  </w:style>
  <w:style w:customStyle="1" w:styleId="Figure" w:type="paragraph">
    <w:name w:val="Figure"/>
    <w:basedOn w:val="Normal"/>
    <w:rPr>
      <w:rFonts w:ascii="Times New Roman" w:hAnsi="Times New Roman" w:eastAsia="SimSu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SimSu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2026-05-28T01:53:59Z</dcterms:created>
  <dcterms:modified xsi:type="dcterms:W3CDTF">2026-05-28T01:53:59Z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