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自动控制原理-作业6约束迁移与高保真验证下的方案修正含参考答案"/>
    <w:p>
      <w:pPr>
        <w:pStyle w:val="Heading1"/>
        <w:spacing w:line="240" w:lineRule="auto" w:before="0" w:after="80"/>
        <w:ind w:firstLine="0"/>
        <w:jc w:val="center"/>
      </w:pPr>
      <w:r>
        <w:rPr>
          <w:rFonts w:ascii="Times New Roman" w:hAnsi="Times New Roman" w:eastAsia="SimHei"/>
          <w:b w:val="0"/>
          <w:color w:val="000000"/>
          <w:sz w:val="32"/>
        </w:rPr>
        <w:t xml:space="preserve">自动控制原理 作业6：约束、迁移与高保真验证下的方案修正（含参考答案）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本文件收录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T6-1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T6-3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的闭题参考答案，以及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O6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开放题示例答案。</w:t>
      </w:r>
    </w:p>
    <w:bookmarkStart w:id="24" w:name="t6-1-首轮证据目标函数与带约束候选比较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T6-1 首轮证据、目标函数与带约束候选比较（20分）</w:t>
      </w:r>
    </w:p>
    <w:bookmarkStart w:id="20" w:name="题干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bookmarkEnd w:id="20"/>
    <w:bookmarkStart w:id="21" w:name="作业题单选问答混合20分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作业题（单选/问答混合，20分）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某单位在完成首轮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PID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参数试探后，得到以下验证证据：上升时间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1.9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、最大超调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、稳态误差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1.4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、扰动抑制时间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、相位裕度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ϕ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p>
          <m:e>
            <m:r>
              <m:t>38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、控制能量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E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sup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4.5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。工程团队希望下一轮设计同时关注速度、超调、稳态精度、扰动恢复、相位裕度和控制能量。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建议归一化基准如下：</w:t>
      </w:r>
      <m:oMath>
        <m:sSubSup>
          <m:e>
            <m:r>
              <m:t>t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r>
          <m:t>1.6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Sup>
          <m:e>
            <m:r>
              <m:t>M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r>
          <m:t>15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Sup>
          <m:e>
            <m:r>
              <m:t>e</m:t>
            </m:r>
          </m:e>
          <m:sub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Sup>
          <m:e>
            <m:r>
              <m:t>t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r>
          <m:t>0.8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Sup>
          <m:e>
            <m:r>
              <m:t>ϕ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下一轮计算得到三组候选结果如下：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候选方案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目标函数值 J(越小越好)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超调 Mp(%)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调节时间 Ts(s)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稳态误差 e_ss(%)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控制量峰值 u_max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控制能量 E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无约束候选 U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7.5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22.0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1.20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带约束候选 C1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8.9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16.0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1.7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0.85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5.5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带约束候选 C2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8.4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19.0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0.88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5.8</w:t>
            </w:r>
          </w:p>
        </w:tc>
      </w:tr>
    </w:tbl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硬约束要求：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Mp ≤ 18%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Ts ≤ 1.8 s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e_ss ≤ 1.5%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u_max ≤ 0.9</w:t>
      </w:r>
    </w:p>
    <w:p>
      <w:pPr>
        <w:numPr>
          <w:ilvl w:val="0"/>
          <w:numId w:val="100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E ≤ 6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请按以下要求作答：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写出一个单一目标函数表达式，至少包含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ϕ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E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六项，并给出一组合理权重。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写出无约束与带约束方案的硬约束判定表（可行/不可行）。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比较三组方案指标变化，指出无约束方案与带约束方案的差异。</w:t>
      </w:r>
    </w:p>
    <w:p>
      <w:pPr>
        <w:numPr>
          <w:ilvl w:val="0"/>
          <w:numId w:val="100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判断哪一个是可交付方案，并说明主要收益与代价。</w:t>
      </w:r>
    </w:p>
    <w:bookmarkEnd w:id="21"/>
    <w:bookmarkStart w:id="22" w:name="标准答案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标准答案</w:t>
      </w:r>
    </w:p>
    <w:p>
      <w:pPr>
        <w:numPr>
          <w:ilvl w:val="0"/>
          <w:numId w:val="1003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可构造以下归一化目标项：</w:t>
      </w:r>
    </w:p>
    <w:p>
      <w:pPr>
        <w:pStyle w:val="FirstParagraph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1.6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15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0.8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sSub>
                <m:e>
                  <m:r>
                    <m:t>ϕ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一组合理权重为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0.20</m:t>
              </m:r>
              <m:r>
                <m:rPr>
                  <m:sty m:val="p"/>
                </m:rPr>
                <m:t>,</m:t>
              </m:r>
              <m:r>
                <m:t>0.18</m:t>
              </m:r>
              <m:r>
                <m:rPr>
                  <m:sty m:val="p"/>
                </m:rPr>
                <m:t>,</m:t>
              </m:r>
              <m:r>
                <m:t>0.15</m:t>
              </m:r>
              <m:r>
                <m:rPr>
                  <m:sty m:val="p"/>
                </m:rPr>
                <m:t>,</m:t>
              </m:r>
              <m:r>
                <m:t>0.15</m:t>
              </m:r>
              <m:r>
                <m:rPr>
                  <m:sty m:val="p"/>
                </m:rPr>
                <m:t>,</m:t>
              </m:r>
              <m:r>
                <m:t>0.17</m:t>
              </m:r>
              <m:r>
                <m:rPr>
                  <m:sty m:val="p"/>
                </m:rPr>
                <m:t>,</m:t>
              </m:r>
              <m:r>
                <m:t>0.15</m:t>
              </m:r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目标函数可写为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0.20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0.18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0.15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0.15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0.17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0.15</m:t>
          </m:r>
          <m:sSub>
            <m:e>
              <m:acc>
                <m:accPr>
                  <m:chr m:val="̃"/>
                </m:accPr>
                <m:e>
                  <m:r>
                    <m:t>J</m:t>
                  </m:r>
                </m:e>
              </m:acc>
            </m:e>
            <m:sub>
              <m:r>
                <m:t>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这组权重体现速度、超调和相位裕度优先，同时保留稳态精度、扰动恢复和控制能量。（共5分）</w:t>
      </w:r>
    </w:p>
    <w:p>
      <w:pPr>
        <w:numPr>
          <w:ilvl w:val="0"/>
          <w:numId w:val="100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硬约束判定表如下：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方案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1.8</m:t>
              </m:r>
              <m:r>
                <m:t> 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0.9</m:t>
              </m:r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E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U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22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&gt;</m:t>
              </m:r>
              <m:r>
                <m:t>18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，不达标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1.4</m:t>
              </m:r>
              <m:r>
                <m:rPr>
                  <m:sty m:val="p"/>
                </m:rPr>
                <m:t>≤</m:t>
              </m:r>
              <m:r>
                <m:t>1.8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0.8</m:t>
              </m:r>
              <m:r>
                <m:rPr>
                  <m:sty m:val="p"/>
                </m:rPr>
                <m:t>≤</m:t>
              </m:r>
              <m:r>
                <m:t>1.5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1.20</m:t>
              </m:r>
              <m:r>
                <m:rPr>
                  <m:sty m:val="p"/>
                </m:rPr>
                <m:t>&gt;</m:t>
              </m:r>
              <m:r>
                <m:t>0.9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，不达标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4.5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不可行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C1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16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≤</m:t>
              </m:r>
              <m:r>
                <m:t>18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1.7</m:t>
              </m:r>
              <m:r>
                <m:rPr>
                  <m:sty m:val="p"/>
                </m:rPr>
                <m:t>≤</m:t>
              </m:r>
              <m:r>
                <m:t>1.8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1.2</m:t>
              </m:r>
              <m:r>
                <m:rPr>
                  <m:sty m:val="p"/>
                </m:rPr>
                <m:t>≤</m:t>
              </m:r>
              <m:r>
                <m:t>1.5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0.85</m:t>
              </m:r>
              <m:r>
                <m:rPr>
                  <m:sty m:val="p"/>
                </m:rPr>
                <m:t>≤</m:t>
              </m:r>
              <m:r>
                <m:t>0.9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5.5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可行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C2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19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&gt;</m:t>
              </m:r>
              <m:r>
                <m:t>18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，不达标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2.1</m:t>
              </m:r>
              <m:r>
                <m:rPr>
                  <m:sty m:val="p"/>
                </m:rPr>
                <m:t>&gt;</m:t>
              </m:r>
              <m:r>
                <m:t>1.8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，不达标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1.1</m:t>
              </m:r>
              <m:r>
                <m:rPr>
                  <m:sty m:val="p"/>
                </m:rPr>
                <m:t>≤</m:t>
              </m:r>
              <m:r>
                <m:t>1.5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0.88</m:t>
              </m:r>
              <m:r>
                <m:rPr>
                  <m:sty m:val="p"/>
                </m:rPr>
                <m:t>≤</m:t>
              </m:r>
              <m:r>
                <m:t>0.9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r>
                <m:t>5.8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，达标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不可行</w:t>
            </w:r>
          </w:p>
        </w:tc>
      </w:tr>
    </w:tbl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据此，U 违反超调和控制峰值约束，C2 违反超调和调节时间约束，只有 C1 满足全部硬约束。（7分）</w:t>
      </w:r>
    </w:p>
    <w:p>
      <w:pPr>
        <w:numPr>
          <w:ilvl w:val="0"/>
          <w:numId w:val="100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指标比较：U 的目标函数值最低，</w:t>
      </w:r>
      <m:oMath>
        <m:sSub>
          <m:e>
            <m:r>
              <m:t>J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7.5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，但它不可交付；C2 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8.4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低于 C1 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8.9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，但 C2 仍违反硬约束，也不能交付。与 U 相比，C1 的目标函数代价增加为</w:t>
      </w:r>
    </w:p>
    <w:p>
      <w:pPr>
        <w:pStyle w:val="FirstParagraph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Δ</m:t>
          </m:r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8.9</m:t>
              </m:r>
              <m:r>
                <m:rPr>
                  <m:sty m:val="p"/>
                </m:rPr>
                <m:t>−</m:t>
              </m:r>
              <m:r>
                <m:t>7.5</m:t>
              </m:r>
            </m:num>
            <m:den>
              <m:r>
                <m:t>7.5</m:t>
              </m:r>
            </m:den>
          </m:f>
          <m:r>
            <m:rPr>
              <m:sty m:val="p"/>
            </m:rPr>
            <m:t>≈</m:t>
          </m:r>
          <m:r>
            <m:t>18.7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C1 的主要变化是：超调由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降至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16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，控制峰值由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1.20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降至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0.85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，但调节时间由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1.4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增至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1.7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，控制能量由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4.5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增至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5.5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。（4分）</w:t>
      </w:r>
    </w:p>
    <w:p>
      <w:pPr>
        <w:numPr>
          <w:ilvl w:val="0"/>
          <w:numId w:val="100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可交付方案应选 C1。理由是 C1 是唯一满足全部硬约束的候选；工程交付先看硬约束可行性，再在可行集合内比较目标函数值。主要收益是超调和控制峰值被压回允许范围，执行器饱和和振荡风险降低；主要代价是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J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E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上升。（4分）</w:t>
      </w:r>
    </w:p>
    <w:bookmarkEnd w:id="22"/>
    <w:bookmarkStart w:id="23" w:name="分步评分标准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分步评分标准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步骤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分值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目标函数表达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能从首轮证据写出目标项、归一化基准、权重和单一目标函数。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硬约束核验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完整列出并逐项判断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、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、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、</w:t>
            </w: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、</w:t>
            </w:r>
            <m:oMath>
              <m:r>
                <m:t>E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，三组方案可行性结论正确。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指标比较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正确比较无约束与带约束候选，识别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r>
                <m:t>J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最小不等于可交付，并量化 C1 相对 U 的主要代价。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可交付选择与取舍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明确选择 C1，并说明收益与代价。</w:t>
            </w:r>
          </w:p>
        </w:tc>
      </w:tr>
    </w:tbl>
    <w:bookmarkEnd w:id="23"/>
    <w:bookmarkEnd w:id="24"/>
    <w:bookmarkStart w:id="29" w:name="t6-2-迁移与跨模型验证下的排序变化解释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T6-2 迁移与跨模型验证下的排序变化解释（20分）</w:t>
      </w:r>
    </w:p>
    <w:bookmarkStart w:id="25" w:name="题干-1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bookmarkEnd w:id="25"/>
    <w:bookmarkStart w:id="26" w:name="题目迁移与跨模型验证下的排序变化解释20分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题目：迁移与跨模型验证下的排序变化解释（20分）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某企业从产线 A 迁移到产线 B，控制对象从原有小负载工况转入更高惯量与更强干扰环境。已知候选控制结构共3个，均采用固定结构模板：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候选方案：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S1: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P1 = [PI + 积分抗饱和 + 反积分项]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S2: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P2 = [PID + 限幅抗饱和 / anti-windup + 速度前馈]</w:t>
      </w:r>
    </w:p>
    <w:p>
      <w:pPr>
        <w:numPr>
          <w:ilvl w:val="0"/>
          <w:numId w:val="100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S3: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P3 = [PI + 低通滤波 + 位置前馈]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迁移工况信息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迁移前（工况 O）：</w:t>
      </w:r>
    </w:p>
    <w:p>
      <w:pPr>
        <w:numPr>
          <w:ilvl w:val="1"/>
          <w:numId w:val="1009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负载惯量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J=1.0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，摩擦系数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f=0.05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，通信延迟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0.02 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，测量噪声标准差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σ=0.002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迁移后（工况 M）：</w:t>
      </w:r>
    </w:p>
    <w:p>
      <w:pPr>
        <w:numPr>
          <w:ilvl w:val="1"/>
          <w:numId w:val="101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负载惯量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J=2.2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，摩擦系数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f=0.12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，通信延迟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0.12 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，测量噪声标准差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σ=0.010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结构编码片段</w:t>
      </w:r>
    </w:p>
    <w:p>
      <w:pPr>
        <w:numPr>
          <w:ilvl w:val="0"/>
          <w:numId w:val="1011"/>
        </w:numPr>
        <w:pStyle w:val="Compact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S1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id[1, 1] = PI, AW=true, FF=false</w:t>
      </w:r>
    </w:p>
    <w:p>
      <w:pPr>
        <w:numPr>
          <w:ilvl w:val="0"/>
          <w:numId w:val="1011"/>
        </w:numPr>
        <w:pStyle w:val="Compact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S2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id[2, 1] = PID, AW=true, FF=velocity</w:t>
      </w:r>
    </w:p>
    <w:p>
      <w:pPr>
        <w:numPr>
          <w:ilvl w:val="0"/>
          <w:numId w:val="1011"/>
        </w:numPr>
        <w:pStyle w:val="Compact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S3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id[3, 1] = PI, AW=true, LPF=1.5Hz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辨识模型（Identification）验证结果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方案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目标代价 J_id （越小越好）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上升沿延迟 t_r (s)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稳态误差 e_ss (%)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超调 M_p (%)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S1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41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0.39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8.5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S2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52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0.46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6.2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S3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58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0.52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7.1</w:t>
            </w:r>
          </w:p>
        </w:tc>
      </w:tr>
    </w:tbl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在辨识模型下约束要求：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M_p &lt; 9%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t_r &lt; 0.6 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高保真模型（High-Fidelity）验证结果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方案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目标代价 J_hf （越小越好）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上升沿延迟 t_r (s)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稳态误差 e_ss (%)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超调 M_p (%)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控制量峰值 u_max（%）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饱和上限 u_sat（%）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S1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49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0.54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0.7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12.4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19.0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S2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55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0.48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0.9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8.1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13.5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S3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57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0.45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7.8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12.1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15</w:t>
            </w:r>
          </w:p>
        </w:tc>
      </w:tr>
    </w:tbl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高保真约束要求：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M_p &lt; 10%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t_r &lt; 0.6 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|u| &lt;= u_sat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请回答以下问题：</w:t>
      </w:r>
    </w:p>
    <w:p>
      <w:pPr>
        <w:numPr>
          <w:ilvl w:val="0"/>
          <w:numId w:val="101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在迁移到工况 M 后，比较 S1、S2、S3 在辨识模型与高保真模型中的排序变化并给出排序结果（5分）。</w:t>
      </w:r>
    </w:p>
    <w:p>
      <w:pPr>
        <w:numPr>
          <w:ilvl w:val="0"/>
          <w:numId w:val="101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说明 S1 为何在高保真模型中失效，给出固定结构层面的证据（5分）。</w:t>
      </w:r>
    </w:p>
    <w:p>
      <w:pPr>
        <w:numPr>
          <w:ilvl w:val="0"/>
          <w:numId w:val="101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说明结构参数或边界如何限定“可迁移性”：哪些工况下该方案可直接移植，哪些工况下不建议直接沿用（10分）。</w:t>
      </w:r>
    </w:p>
    <w:bookmarkEnd w:id="26"/>
    <w:bookmarkStart w:id="27" w:name="标准答案-1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标准答案</w:t>
      </w:r>
    </w:p>
    <w:p>
      <w:pPr>
        <w:numPr>
          <w:ilvl w:val="0"/>
          <w:numId w:val="1013"/>
        </w:numPr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排序变化应分两层看：辨识模型中三组方案均满足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t>9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0.6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，因此可按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t>d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从小到大排序，结果为 S1 第一、S2 第二、S3 第三。高保真模型中，如果只看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J</m:t>
            </m:r>
          </m:e>
          <m:sub>
            <m:r>
              <m:t>h</m:t>
            </m:r>
            <m:r>
              <m:t>f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，S1 仍最低；但高保真验收必须先过硬约束，S1 出现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12.4</m:t>
        </m:r>
        <m:r>
          <m:rPr>
            <m:sty m:val="p"/>
          </m:rPr>
          <m:t>%</m:t>
        </m:r>
        <m:r>
          <m:rPr>
            <m:sty m:val="p"/>
          </m:rPr>
          <m:t>&gt;</m:t>
        </m:r>
        <m:r>
          <m:t>10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%</m:t>
        </m:r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，应剔除。因此高保真可交付排序为 S2 第一、S3 第二，S1 不可直接迁移。（5分）</w:t>
      </w:r>
    </w:p>
    <w:p>
      <w:pPr>
        <w:numPr>
          <w:ilvl w:val="0"/>
          <w:numId w:val="1013"/>
        </w:numPr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S1 的失效证据来自固定结构与迁移条件共同作用。迁移后惯量从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增至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2.2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，摩擦从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0.05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增至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0.12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，通信延迟从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0.02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增至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0.12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，噪声标准差从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0.002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增至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0.010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。S1 的结构编码为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PI, AW=true, FF=false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，没有速度前馈，也没有低通滤波或更主动的延迟补偿通道。辨识模型低估了饱和和超调风险；高保真模型把输入饱和与延迟影响显化后，S1 同时违反超调和控制量约束。这说明 S1 的问题不是只差一次参数微调，而是固定结构在迁移工况下暴露出可交付性不足。（5分）</w:t>
      </w:r>
    </w:p>
    <w:p>
      <w:pPr>
        <w:numPr>
          <w:ilvl w:val="0"/>
          <w:numId w:val="1013"/>
        </w:numPr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可迁移边界应以高保真约束为准。若迁移后仍满足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0.6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d>
          <m:dPr>
            <m:begChr m:val="|"/>
            <m:endChr m:val="|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，且惯量、摩擦、延迟、噪声没有明显放大，可先用辨识模型排序作为初筛，再做高保真复核。当前工况 M 下，S2 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8.1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0.48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15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，可作为优先可迁移方案；S3 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7.8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0.45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12.1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15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，也可迁移但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J</m:t>
            </m:r>
          </m:e>
          <m:sub>
            <m:r>
              <m:t>h</m:t>
            </m:r>
            <m:r>
              <m:t>f</m:t>
            </m:r>
          </m:sub>
        </m:sSub>
        <m:r>
          <m:rPr>
            <m:sty m:val="p"/>
          </m:rPr>
          <m:t>=</m:t>
        </m:r>
        <m:r>
          <m:t>57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高于 S2，作为备选。S1 在高保真下违反硬约束，不建议直接沿用；若要保留 S1，必须先重整定或改结构，再重新通过高保真验证。结构编码层面的边界是：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FF=false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 PI 类方案在高惯量、高延迟、高噪声下不应只靠辨识模型排序决策；带速度前馈的 S2 对迁移工况更稳健，带低通滤波的 S3 对噪声更友好但综合代价略高。（10分）</w:t>
      </w:r>
    </w:p>
    <w:bookmarkEnd w:id="27"/>
    <w:bookmarkStart w:id="28" w:name="分步评分标准-1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分步评分标准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步骤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分值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排序变化判定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辨识模型排序为 S1、S2、S3；高保真可交付排序为 S2、S3，S1 因硬约束失效剔除。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失效证据解释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能指出 S1 在高保真下超调与控制饱和越界，并结合 PI、无前馈、迁移后惯量/延迟/噪声增大解释固定结构失效。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迁移边界说明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能说明以高保真约束为迁移门槛，区分 S2 优先、S3 备选、S1 不宜直接沿用，并解释结构编码与参数迁移边界。</w:t>
            </w:r>
          </w:p>
        </w:tc>
      </w:tr>
    </w:tbl>
    <w:bookmarkEnd w:id="28"/>
    <w:bookmarkEnd w:id="29"/>
    <w:bookmarkStart w:id="34" w:name="t6-3-高保真验证下的多目标交付判断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T6-3 高保真验证下的多目标交付判断（20分）</w:t>
      </w:r>
    </w:p>
    <w:bookmarkStart w:id="30" w:name="题干-2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bookmarkEnd w:id="30"/>
    <w:bookmarkStart w:id="31" w:name="作业题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作业题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某液位控制系统拟定三个有限候选控制方案 A/B/C，用于单回路液位调节。请基于给定的硬约束、模型来源与高保真验证证据，判断每个候选方案的交付状态：</w:t>
      </w: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可交付 / 需修正 / 只能保留为候选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。并说明判断依据（取舍逻辑必须关联硬约束、扰动/噪声证据与模型来源）。</w:t>
      </w:r>
    </w:p>
    <w:p>
      <w:pPr>
        <w:numPr>
          <w:ilvl w:val="0"/>
          <w:numId w:val="101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总任务：</w:t>
      </w:r>
    </w:p>
    <w:p>
      <w:pPr>
        <w:numPr>
          <w:ilvl w:val="1"/>
          <w:numId w:val="101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不要求重新优化算法，不要求设计新方法。</w:t>
      </w:r>
    </w:p>
    <w:p>
      <w:pPr>
        <w:numPr>
          <w:ilvl w:val="1"/>
          <w:numId w:val="101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只能基于下表已有数据做交付判断。</w:t>
      </w:r>
    </w:p>
    <w:p>
      <w:pPr>
        <w:numPr>
          <w:ilvl w:val="1"/>
          <w:numId w:val="1015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不允许将模块5方法用于修补。</w:t>
      </w:r>
    </w:p>
    <w:p>
      <w:pPr>
        <w:numPr>
          <w:ilvl w:val="0"/>
          <w:numId w:val="1014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课程单元要求：</w:t>
      </w:r>
    </w:p>
    <w:p>
      <w:pPr>
        <w:numPr>
          <w:ilvl w:val="1"/>
          <w:numId w:val="101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识别并区分模型来源（简化模型 / 辨识模型 / 高保真模型）。</w:t>
      </w:r>
    </w:p>
    <w:p>
      <w:pPr>
        <w:numPr>
          <w:ilvl w:val="1"/>
          <w:numId w:val="101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结合扰动、噪声与不确定性验证结果。</w:t>
      </w:r>
    </w:p>
    <w:p>
      <w:pPr>
        <w:numPr>
          <w:ilvl w:val="1"/>
          <w:numId w:val="1016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做出分类判断并给出可追踪依据。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不可放宽硬约束（全部课题共用）</w:t>
      </w:r>
    </w:p>
    <w:p>
      <w:pPr>
        <w:numPr>
          <w:ilvl w:val="0"/>
          <w:numId w:val="101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峰值超调：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5</m:t>
        </m:r>
        <m:r>
          <m:rPr>
            <m:sty m:val="p"/>
          </m:rPr>
          <m:t>%</m:t>
        </m:r>
      </m:oMath>
    </w:p>
    <w:p>
      <w:pPr>
        <w:numPr>
          <w:ilvl w:val="0"/>
          <w:numId w:val="101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稳态误差：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  <m:r>
                  <m:t>s</m:t>
                </m:r>
              </m:sub>
            </m:sSub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%</m:t>
        </m:r>
      </m:oMath>
    </w:p>
    <w:p>
      <w:pPr>
        <w:numPr>
          <w:ilvl w:val="0"/>
          <w:numId w:val="101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稳定上升沿时间：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1.5</m:t>
        </m:r>
        <m:r>
          <m:t> </m:t>
        </m:r>
        <m:r>
          <m:rPr>
            <m:nor/>
            <m:sty m:val="p"/>
          </m:rPr>
          <m:t>s</m:t>
        </m:r>
      </m:oMath>
    </w:p>
    <w:p>
      <w:pPr>
        <w:numPr>
          <w:ilvl w:val="0"/>
          <w:numId w:val="1017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执行机构限幅：</w:t>
      </w:r>
      <m:oMath>
        <m:sSub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u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r>
          <m:t>4.0</m:t>
        </m:r>
      </m:oMath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高保真扰动与噪声试验条件（判定依据）</w:t>
      </w:r>
    </w:p>
    <w:p>
      <w:pPr>
        <w:numPr>
          <w:ilvl w:val="0"/>
          <w:numId w:val="101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扰动：负载扰动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Δ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</m:oMath>
    </w:p>
    <w:p>
      <w:pPr>
        <w:numPr>
          <w:ilvl w:val="0"/>
          <w:numId w:val="101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噪声：传感噪声标准差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0.02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（量纲一化）</w:t>
      </w:r>
    </w:p>
    <w:p>
      <w:pPr>
        <w:numPr>
          <w:ilvl w:val="0"/>
          <w:numId w:val="1018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高频未建模动态：执行机构滞后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0.25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+ 轻微摩擦项</w:t>
      </w:r>
    </w:p>
    <w:p>
      <w:pPr>
        <w:pStyle w:val="FirstParagraph"/>
        <w:spacing w:line="240" w:lineRule="auto" w:before="0" w:after="80"/>
        <w:ind w:firstLine="480"/>
      </w:pPr>
      <w:r>
        <w:rPr>
          <w:bCs/>
          <w:rFonts w:ascii="Times New Roman" w:hAnsi="Times New Roman" w:eastAsia="SimHei"/>
          <w:b w:val="0"/>
          <w:i w:val="0"/>
          <w:color w:val="000000"/>
          <w:sz w:val="24"/>
        </w:rPr>
        <w:t xml:space="preserve">候选方案与证据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方案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简化模型来源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辨识模型来源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高保真模型来源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指标及结果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二阶等效模型（主导共轭实根）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ARX 辨识（5 Hz 采样）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非线性液位机理模型 + 饱和+摩擦 + 噪声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简化：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1.1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3.6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；辨识：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3.8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；高保真（含扰动/噪声）：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6.1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</m:t>
              </m:r>
            </m:oMath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一阶延迟近似模型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互补试验辨识（不同工况拼接）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统一高保真模型 + 相同工况扰动/噪声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简化：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1.4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4.8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3.7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；辨识：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5.0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；高保真：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1.4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3.8</m:t>
              </m:r>
            </m:oMath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二阶标准型线性模型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经验模型外推（仅局部有效）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高保真模型（含执行器死区0.12）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简化：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；辨识：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1.3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3.8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4.4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；高保真：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2.3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2.9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4.3</m:t>
              </m:r>
            </m:oMath>
          </w:p>
        </w:tc>
      </w:tr>
    </w:tbl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问题：请按课程要求写出三方案判定，并对每个方案给出一句解释其结论的依据，强调“为何硬约束决定了该结论”。</w:t>
      </w:r>
    </w:p>
    <w:bookmarkEnd w:id="31"/>
    <w:bookmarkStart w:id="32" w:name="标准答案-2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标准答案</w:t>
      </w:r>
    </w:p>
    <w:p>
      <w:pPr>
        <w:numPr>
          <w:ilvl w:val="0"/>
          <w:numId w:val="1019"/>
        </w:numPr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先确定不可放宽的硬约束与证据优先级。四项硬约束为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  <m:r>
                  <m:t>s</m:t>
                </m:r>
              </m:sub>
            </m:sSub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1.5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u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r>
          <m:t>4.0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本题给出了简化模型、辨识模型与高保真模型三类来源，其中交付判断必须以含扰动、噪声、执行机构滞后与摩擦项的高保真验证为最终依据；简化模型和辨识模型只能作为候选筛选证据，不能覆盖高保真越界结论。（4分）</w:t>
      </w:r>
    </w:p>
    <w:p>
      <w:pPr>
        <w:numPr>
          <w:ilvl w:val="0"/>
          <w:numId w:val="1019"/>
        </w:numPr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逐项判定三组候选：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方案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高保真证据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硬约束结论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交付状态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</m:t>
              </m:r>
              <m:r>
                <m:t> 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</w:t>
            </w: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6.1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</w:t>
            </w:r>
            <m:oMath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</m:t>
              </m:r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与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越界，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与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仍满足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需修正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1.4</m:t>
              </m:r>
              <m:r>
                <m:t> 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</w:t>
            </w: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</w:t>
            </w:r>
            <m:oMath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3.8</m:t>
              </m:r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四项硬约束全部满足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可交付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2.3</m:t>
              </m:r>
              <m:r>
                <m:t> 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</w:t>
            </w: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2.9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，</w:t>
            </w:r>
            <m:oMath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4.3</m:t>
              </m:r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、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、</w:t>
            </w:r>
            <m:oMath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多项越界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只能保留为候选</w:t>
            </w:r>
          </w:p>
        </w:tc>
      </w:tr>
    </w:tbl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因此，A 不是可交付方案，但越界集中在动态性能，且执行机构限幅未超出，适合在原结构内继续修正；B 在高保真扰动/噪声条件下全部满足硬约束，可进入交付；C 多项硬约束越界，且辨识模型来源为经验外推、仅局部有效，同时高保真模型含执行器死区，当前证据不足以支撑交付，只能保留为后续候选。（10分）</w:t>
      </w:r>
    </w:p>
    <w:p>
      <w:pPr>
        <w:numPr>
          <w:ilvl w:val="0"/>
          <w:numId w:val="1020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取舍说明如下：本题不能按“简化模型指标最好”或“单项性能最好”直接选择方案，而要先守硬约束，再看高保真证据。A 在简化和辨识模型下表现较好，但高保真下暴露超调和响应时间风险，所以应修正后重验；B 的目标表现不是所有表中最优，但它在最完整证据链中全部达标，是唯一可交付方案；C 虽然超调较低，但稳态误差、响应时间和执行器限幅同时失败，且模型来源不够稳健，不能以低超调掩盖交付风险。最终结论为：A 需修正，B 可交付，C 只能保留为候选。（6分）</w:t>
      </w:r>
    </w:p>
    <w:bookmarkEnd w:id="32"/>
    <w:bookmarkStart w:id="33" w:name="分步评分标准-2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分步评分标准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步骤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分值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硬约束与证据路径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正确列出四项硬约束，并说明高保真扰动/噪声验证优先于简化模型和辨识模型。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三方案交付分类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A 判为需修正，B 判为可交付，C 判为只能保留候选，并能引用高保真数据支撑。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取舍与模型来源说明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说明为什么不能只看简化模型或单项指标，能把结论与模型来源、扰动/噪声和硬约束联系起来。</w:t>
            </w:r>
          </w:p>
        </w:tc>
      </w:tr>
    </w:tbl>
    <w:bookmarkEnd w:id="33"/>
    <w:bookmarkEnd w:id="34"/>
    <w:bookmarkStart w:id="41" w:name="o6-约束迁移与高保真验证下的方案修正4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O6 约束、迁移与高保真验证下的方案修正（40分）</w:t>
      </w:r>
    </w:p>
    <w:bookmarkStart w:id="35" w:name="题干-3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请沿用你在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O5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中已经提交的初始控制方案，不得更换控制对象，也不得把模块5中的非线性、数据驱动或强化学习方法作为本题解决方案。现在同一对象进入新工况，出现新的硬约束、扰动/噪声边界或结构编码入口。请在经典控制主线内部完成一次方案修正与交付判断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提交内容包括：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回收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O5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的对象、控制结构和首轮验证结论，说明原方案在新工况下最可能暴露的风险。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给出新工况或第二场景的硬约束，至少包含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项不可放宽约束和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项软目标。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给出一张迁移前后比较表，覆盖原工况、新工况、关键指标、约束是否满足和修正方向。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说明结构编码入口或固定结构修正入口，例如保留原结构、补充限幅/抗饱和、加入滤波或前馈，但不得引入模块5方法替代。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仿真代码、结果图和复现实验说明，验证迁移前后或高保真/扰动/噪声边界。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写出一段高保真、扰动或噪声验证边界说明：哪些证据足以支持交付，哪些证据只能说明“保留候选”。</w:t>
      </w:r>
    </w:p>
    <w:p>
      <w:pPr>
        <w:numPr>
          <w:ilvl w:val="0"/>
          <w:numId w:val="1021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AI 使用记录摘要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，说明 AI 参与了哪些整理、代码检查或文字润色工作，以及你如何核查关键判断。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提交约束：</w:t>
      </w:r>
    </w:p>
    <w:p>
      <w:pPr>
        <w:numPr>
          <w:ilvl w:val="0"/>
          <w:numId w:val="102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主体正文不超过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900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字。</w:t>
      </w:r>
    </w:p>
    <w:p>
      <w:pPr>
        <w:numPr>
          <w:ilvl w:val="0"/>
          <w:numId w:val="102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必须附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张迁移前后比较表。</w:t>
      </w:r>
    </w:p>
    <w:p>
      <w:pPr>
        <w:numPr>
          <w:ilvl w:val="0"/>
          <w:numId w:val="102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必须附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段高保真或扰动/噪声边界说明。</w:t>
      </w:r>
    </w:p>
    <w:p>
      <w:pPr>
        <w:numPr>
          <w:ilvl w:val="0"/>
          <w:numId w:val="102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必须附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仿真代码、结果图与简短复现实验说明。</w:t>
      </w:r>
    </w:p>
    <w:p>
      <w:pPr>
        <w:numPr>
          <w:ilvl w:val="0"/>
          <w:numId w:val="102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允许原方案在新工况下不满足全部指标，但必须说明修正入口和再次验证条件。</w:t>
      </w:r>
    </w:p>
    <w:p>
      <w:pPr>
        <w:numPr>
          <w:ilvl w:val="0"/>
          <w:numId w:val="1022"/>
        </w:numPr>
        <w:pStyle w:val="Compac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可引用带约束求解记录，但不得只报求解器输出，必须回到经典控制结构、指标证据和交付判断；不得把模块5方法作为本题解决方案。</w:t>
      </w:r>
    </w:p>
    <w:bookmarkEnd w:id="35"/>
    <w:bookmarkStart w:id="39" w:name="参考答案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以下示例沿用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O5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中“小型直流电机转速控制”的首轮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方案。学生可使用自己的连续对象，但必须保持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O5-O6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的对象和证据连续。</w:t>
      </w:r>
    </w:p>
    <w:p>
      <w:pPr>
        <w:pStyle w:val="BodyText"/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O5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中采用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0.8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0.35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首轮验证显示稳态误差明显下降，但超调和控制量峰值开始上升。现在迁移到负载惯量增大、扰动加重且执行器限幅更严格的工况。新硬约束为：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12</m:t>
        </m:r>
        <m:r>
          <m:rPr>
            <m:sty m:val="p"/>
          </m:rPr>
          <m:t>%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3.0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u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r>
          <m:t>3.5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；软目标为尽量缩短恢复时间并减少控制能量。（8分）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97"/>
        <w:gridCol w:w="1863"/>
        <w:gridCol w:w="1863"/>
        <w:gridCol w:w="1397"/>
        <w:gridCol w:w="1397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项目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O5 原工况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O6 新工况验证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判断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修正方向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超调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约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9%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约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15%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硬约束失败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降低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或加入抗饱和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调节时间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约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2.2s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约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3.4s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硬约束失败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降低积分累积并复核带宽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控制峰值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约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约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4.2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限幅失败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加限幅/抗饱和结构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稳态误差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明显下降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仍可接受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可保留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保留 PI 主结构</w:t>
            </w:r>
          </w:p>
        </w:tc>
      </w:tr>
    </w:tbl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因此原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结构不能直接交付，但不需要更换为模块5方法。修正入口为保持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PI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主结构，加入执行器限幅与抗饱和，并把参数方向改为降低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、适度保留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，例如试探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0.45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并在限幅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≤</m:t>
        </m:r>
        <m:r>
          <m:t>3.5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下重新验证。（8分）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示例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代码如下：</w:t>
      </w:r>
    </w:p>
    <w:p>
      <w:pPr>
        <w:pStyle w:val="SourceCode"/>
        <w:spacing w:line="240" w:lineRule="auto" w:before="0" w:after="80"/>
        <w:ind w:firstLine="480"/>
      </w:pP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pkg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load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control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s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=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tf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SpecialStringTok"/>
          <w:rFonts w:ascii="Times New Roman" w:hAnsi="Times New Roman" w:eastAsia="SimSun"/>
          <w:b w:val="0"/>
          <w:color w:val="000000"/>
          <w:sz w:val="24"/>
        </w:rPr>
        <w:t xml:space="preserve">'s'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G0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=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/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0.35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*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s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+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Gm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=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/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0.75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*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s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+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     </w:t>
      </w:r>
      <w:r>
        <w:rPr>
          <w:rStyle w:val="CommentTok"/>
          <w:rFonts w:ascii="Times New Roman" w:hAnsi="Times New Roman" w:eastAsia="SimSun"/>
          <w:b w:val="0"/>
          <w:color w:val="000000"/>
          <w:sz w:val="24"/>
        </w:rPr>
        <w:t xml:space="preserve">% 新工况：等效惯量增大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C0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=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1.2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+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0.8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/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s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         </w:t>
      </w:r>
      <w:r>
        <w:rPr>
          <w:rStyle w:val="CommentTok"/>
          <w:rFonts w:ascii="Times New Roman" w:hAnsi="Times New Roman" w:eastAsia="SimSun"/>
          <w:b w:val="0"/>
          <w:color w:val="000000"/>
          <w:sz w:val="24"/>
        </w:rPr>
        <w:t xml:space="preserve">% O5 首轮 PI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C1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=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1.1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+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0.45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/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s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        </w:t>
      </w:r>
      <w:r>
        <w:rPr>
          <w:rStyle w:val="CommentTok"/>
          <w:rFonts w:ascii="Times New Roman" w:hAnsi="Times New Roman" w:eastAsia="SimSun"/>
          <w:b w:val="0"/>
          <w:color w:val="000000"/>
          <w:sz w:val="24"/>
        </w:rPr>
        <w:t xml:space="preserve">% O6 修正入口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T0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=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feedback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C0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*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G0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Tm0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=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feedback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C0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*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Gm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Tm1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=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feedback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C1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*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Gm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=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0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: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0.01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:</w:t>
      </w:r>
      <w:r>
        <w:rPr>
          <w:rStyle w:val="FloatTok"/>
          <w:rFonts w:ascii="Times New Roman" w:hAnsi="Times New Roman" w:eastAsia="SimSun"/>
          <w:b w:val="0"/>
          <w:color w:val="000000"/>
          <w:sz w:val="24"/>
        </w:rPr>
        <w:t xml:space="preserve">10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figure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step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T0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Tm0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Tm1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grid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on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legend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SpecialStringTok"/>
          <w:rFonts w:ascii="Times New Roman" w:hAnsi="Times New Roman" w:eastAsia="SimSun"/>
          <w:b w:val="0"/>
          <w:color w:val="000000"/>
          <w:sz w:val="24"/>
        </w:rPr>
        <w:t xml:space="preserve">'O5 original'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SpecialStringTok"/>
          <w:rFonts w:ascii="Times New Roman" w:hAnsi="Times New Roman" w:eastAsia="SimSun"/>
          <w:b w:val="0"/>
          <w:color w:val="000000"/>
          <w:sz w:val="24"/>
        </w:rPr>
        <w:t xml:space="preserve">'O6 migrated baseline'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SpecialStringTok"/>
          <w:rFonts w:ascii="Times New Roman" w:hAnsi="Times New Roman" w:eastAsia="SimSun"/>
          <w:b w:val="0"/>
          <w:color w:val="000000"/>
          <w:sz w:val="24"/>
        </w:rPr>
        <w:t xml:space="preserve">'O6 revised candidate'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title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SpecialStringTok"/>
          <w:rFonts w:ascii="Times New Roman" w:hAnsi="Times New Roman" w:eastAsia="SimSun"/>
          <w:b w:val="0"/>
          <w:color w:val="000000"/>
          <w:sz w:val="24"/>
        </w:rPr>
        <w:t xml:space="preserve">'O6 migration validation'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Style w:val="VariableTok"/>
          <w:rFonts w:ascii="Times New Roman" w:hAnsi="Times New Roman" w:eastAsia="SimSun"/>
          <w:b w:val="0"/>
          <w:color w:val="000000"/>
          <w:sz w:val="24"/>
        </w:rPr>
        <w:t xml:space="preserve">print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(</w:t>
      </w:r>
      <w:r>
        <w:rPr>
          <w:rStyle w:val="SpecialStringTok"/>
          <w:rFonts w:ascii="Times New Roman" w:hAnsi="Times New Roman" w:eastAsia="SimSun"/>
          <w:b w:val="0"/>
          <w:color w:val="000000"/>
          <w:sz w:val="24"/>
        </w:rPr>
        <w:t xml:space="preserve">'-dpng'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,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SpecialStringTok"/>
          <w:rFonts w:ascii="Times New Roman" w:hAnsi="Times New Roman" w:eastAsia="SimSun"/>
          <w:b w:val="0"/>
          <w:color w:val="000000"/>
          <w:sz w:val="24"/>
        </w:rPr>
        <w:t xml:space="preserve">'O6-validation.png'</w:t>
      </w:r>
      <w:r>
        <w:rPr>
          <w:rStyle w:val="NormalTok"/>
          <w:rFonts w:ascii="Times New Roman" w:hAnsi="Times New Roman" w:eastAsia="SimSun"/>
          <w:b w:val="0"/>
          <w:color w:val="000000"/>
          <w:sz w:val="24"/>
        </w:rPr>
        <w:t xml:space="preserve">)</w:t>
      </w:r>
      <w:r>
        <w:rPr>
          <w:rStyle w:val="OperatorTok"/>
          <w:rFonts w:ascii="Times New Roman" w:hAnsi="Times New Roman" w:eastAsia="SimSun"/>
          <w:b w:val="0"/>
          <w:color w:val="000000"/>
          <w:sz w:val="24"/>
        </w:rPr>
        <w:t xml:space="preserve">;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3378388"/>
            <wp:effectExtent b="0" l="0" r="0" t="0"/>
            <wp:docPr descr="O6 迁移验证阶跃响应" title="" id="37" name="Picture"/>
            <a:graphic>
              <a:graphicData uri="http://schemas.openxmlformats.org/drawingml/2006/picture">
                <pic:pic>
                  <pic:nvPicPr>
                    <pic:cNvPr descr="assets/T6/O6-valid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O6 迁移验证阶跃响应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结果图应显示三条阶跃响应：原工况、迁移后未修正方案、迁移后修正候选。若修正候选仍未满足全部硬约束，只能保留为候选；若在扰动/噪声和限幅条件下同时满足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u</m:t>
                </m:r>
              </m:e>
            </m:d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，才可写为可交付。（8分）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高保真或扰动/噪声边界说明：本题不能只用简化模型的阶跃曲线作交付依据。交付证据至少应包含迁移后对象、负载扰动、执行器限幅和噪声条件下的同一组指标。若只有简化模型达标，而扰动或限幅下超调、调节时间、控制峰值任一硬约束失败，则结论应为“需修正”或“保留候选”。（8分）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AI 使用记录摘要示例：AI 参与了迁移前后比较表整理、Octave 代码语法检查和文字压缩；关键模型、参数、仿真运行、图像生成和交付判断由学生自行核查，特别核查了硬约束是否在迁移后仍成立。（8分）</w:t>
      </w:r>
    </w:p>
    <w:bookmarkEnd w:id="39"/>
    <w:bookmarkStart w:id="40" w:name="评分标准"/>
    <w:p>
      <w:pPr>
        <w:pStyle w:val="Heading3"/>
        <w:spacing w:line="240" w:lineRule="auto" w:before="0" w:after="80"/>
        <w:ind w:firstLine="0"/>
      </w:pPr>
      <w:r>
        <w:rPr>
          <w:rFonts w:ascii="Times New Roman" w:hAnsi="Times New Roman" w:eastAsia="SimHei"/>
          <w:b w:val="0"/>
          <w:color w:val="000000"/>
          <w:sz w:val="24"/>
        </w:rPr>
        <w:t xml:space="preserve">评分标准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步骤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分值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O5 证据回收与新约束表达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对象、结构和原验证结论连续，能明确不可放宽硬约束和软目标。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迁移前后比较与修正入口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比较表完整，修正方向仍在经典控制主线内部。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仿真代码、结果图与复现实验说明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附 MATLAB/Octave 代码、结果图说明和可复现实验条件。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高保真或扰动/噪声边界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能区分可交付、需修正和保留候选的证据门槛。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AI 使用记录摘要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righ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说明 AI 参与范围与学生核查责任。</w:t>
            </w:r>
          </w:p>
        </w:tc>
      </w:tr>
    </w:tbl>
    <w:bookmarkEnd w:id="40"/>
    <w:bookmarkEnd w:id="41"/>
    <w:bookmarkEnd w:id="42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SimSu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SimSu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 w:eastAsia="SimSu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SimSu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SimSu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SimSu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SimSu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image" Target="media/rId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2026-05-28T01:53:59Z</dcterms:created>
  <dcterms:modified xsi:type="dcterms:W3CDTF">2026-05-28T01:53:59Z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