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自动控制原理-第一章作业"/>
    <w:p>
      <w:pPr>
        <w:pStyle w:val="Heading1"/>
      </w:pPr>
      <w:r>
        <w:rPr>
          <w:rFonts w:ascii="Microsoft YaHei" w:hAnsi="Microsoft YaHei" w:eastAsia="Microsoft YaHei"/>
        </w:rPr>
        <w:t xml:space="preserve">自动控制原理 第一章作业</w:t>
      </w:r>
    </w:p>
    <w:bookmarkStart w:id="20" w:name="t1-1-开环与闭环控制对比分析"/>
    <w:p>
      <w:pPr>
        <w:pStyle w:val="Heading2"/>
      </w:pPr>
      <w:r>
        <w:rPr>
          <w:rFonts w:ascii="Microsoft YaHei" w:hAnsi="Microsoft YaHei" w:eastAsia="Microsoft YaHei"/>
        </w:rPr>
        <w:t xml:space="preserve">T1-1 开环与闭环控制对比分析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已知同一被控对象的名义模型取为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Microsoft YaHei" w:hAnsi="Microsoft YaHei" w:eastAsia="Microsoft YaHei"/>
        </w:rPr>
        <w:t xml:space="preserve">，控制器取为</w:t>
      </w:r>
      <w:r>
        <w:rPr>
          <w:rFonts w:ascii="Microsoft YaHei" w:hAnsi="Microsoft YaHei" w:eastAsia="Microsoft YaHei"/>
        </w:rP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2</m:t>
        </m:r>
      </m:oMath>
      <w:r>
        <w:rPr>
          <w:rFonts w:ascii="Microsoft YaHei" w:hAnsi="Microsoft YaHei" w:eastAsia="Microsoft YaHei"/>
        </w:rPr>
        <w:t xml:space="preserve">。现考虑以下两种接法：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开环控制：参考输入</w:t>
      </w:r>
      <w:r>
        <w:rPr>
          <w:rFonts w:ascii="Microsoft YaHei" w:hAnsi="Microsoft YaHei" w:eastAsia="Microsoft YaHei"/>
        </w:rPr>
        <w:t xml:space="preserve"> </w:t>
      </w:r>
      <m:oMath>
        <m:r>
          <m:t>r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先经过控制器</w:t>
      </w:r>
      <w:r>
        <w:rPr>
          <w:rFonts w:ascii="Microsoft YaHei" w:hAnsi="Microsoft YaHei" w:eastAsia="Microsoft YaHei"/>
        </w:rP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Microsoft YaHei" w:hAnsi="Microsoft YaHei" w:eastAsia="Microsoft YaHei"/>
        </w:rPr>
        <w:t xml:space="preserve">，再进入被控对象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Microsoft YaHei" w:hAnsi="Microsoft YaHei" w:eastAsia="Microsoft YaHei"/>
        </w:rPr>
        <w:t xml:space="preserve">，输出为</w:t>
      </w:r>
      <w:r>
        <w:rPr>
          <w:rFonts w:ascii="Microsoft YaHei" w:hAnsi="Microsoft YaHei" w:eastAsia="Microsoft YaHei"/>
        </w:rPr>
        <w:t xml:space="preserve"> </w:t>
      </w:r>
      <m:oMath>
        <m:r>
          <m:t>y</m:t>
        </m:r>
      </m:oMath>
      <w:r>
        <w:rPr>
          <w:rFonts w:ascii="Microsoft YaHei" w:hAnsi="Microsoft YaHei" w:eastAsia="Microsoft YaHei"/>
        </w:rPr>
        <w:t xml:space="preserve">，不引入反馈。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闭环控制：采用单位负反馈，误差信号</w:t>
      </w:r>
      <w:r>
        <w:rPr>
          <w:rFonts w:ascii="Microsoft YaHei" w:hAnsi="Microsoft YaHei" w:eastAsia="Microsoft YaHei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r>
          <m:t>y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先经过控制器</w:t>
      </w:r>
      <w:r>
        <w:rPr>
          <w:rFonts w:ascii="Microsoft YaHei" w:hAnsi="Microsoft YaHei" w:eastAsia="Microsoft YaHei"/>
        </w:rP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Microsoft YaHei" w:hAnsi="Microsoft YaHei" w:eastAsia="Microsoft YaHei"/>
        </w:rPr>
        <w:t xml:space="preserve">，再进入被控对象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Microsoft YaHei" w:hAnsi="Microsoft YaHei" w:eastAsia="Microsoft YaHei"/>
        </w:rPr>
        <w:t xml:space="preserve">，输出为</w:t>
      </w:r>
      <w:r>
        <w:rPr>
          <w:rFonts w:ascii="Microsoft YaHei" w:hAnsi="Microsoft YaHei" w:eastAsia="Microsoft YaHei"/>
        </w:rPr>
        <w:t xml:space="preserve"> </w:t>
      </w:r>
      <m:oMath>
        <m:r>
          <m:t>y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设输入为单位阶跃信号，回答下列问题：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从闭环极点或系统极点的角度，说明上述两种接法在稳定性上的差异，并给出理由。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若被控对象参数发生</w:t>
      </w:r>
      <w:r>
        <w:rPr>
          <w:rFonts w:ascii="Microsoft YaHei" w:hAnsi="Microsoft YaHei" w:eastAsia="Microsoft YaHei"/>
        </w:rP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偏移，即实际对象变为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>
          <w:rFonts w:ascii="Microsoft YaHei" w:hAnsi="Microsoft YaHei" w:eastAsia="Microsoft YaHei"/>
        </w:rPr>
        <w:t xml:space="preserve">，其中</w:t>
      </w:r>
      <w:r>
        <w:rPr>
          <w:rFonts w:ascii="Microsoft YaHei" w:hAnsi="Microsoft YaHei" w:eastAsia="Microsoft YaHei"/>
        </w:rPr>
        <w:t xml:space="preserve"> </w:t>
      </w:r>
      <m:oMath>
        <m:r>
          <m:t>a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可能为</w:t>
      </w:r>
      <w:r>
        <w:rPr>
          <w:rFonts w:ascii="Microsoft YaHei" w:hAnsi="Microsoft YaHei" w:eastAsia="Microsoft YaHei"/>
        </w:rPr>
        <w:t xml:space="preserve"> </w:t>
      </w:r>
      <m:oMath>
        <m:r>
          <m:t>0.9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或</w:t>
      </w:r>
      <w:r>
        <w:rPr>
          <w:rFonts w:ascii="Microsoft YaHei" w:hAnsi="Microsoft YaHei" w:eastAsia="Microsoft YaHei"/>
        </w:rPr>
        <w:t xml:space="preserve"> </w:t>
      </w:r>
      <m:oMath>
        <m:r>
          <m:t>1.1</m:t>
        </m:r>
      </m:oMath>
      <w:r>
        <w:rPr>
          <w:rFonts w:ascii="Microsoft YaHei" w:hAnsi="Microsoft YaHei" w:eastAsia="Microsoft YaHei"/>
        </w:rPr>
        <w:t xml:space="preserve">，讨论哪一种接法受影响更大，并说明原因。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画出两种系统在单位阶跃输入下的响应对比草图，并分别作定性说明（如是否发散、是否收敛、收敛快慢、输出变化趋势等）。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要求：可结合传递函数与极点位置进行分析，但不要求展开繁琐计算。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20"/>
    <w:bookmarkStart w:id="21" w:name="t1-2-极点位置与稳定性类型识别"/>
    <w:p>
      <w:pPr>
        <w:pStyle w:val="Heading2"/>
      </w:pPr>
      <w:r>
        <w:rPr>
          <w:rFonts w:ascii="Microsoft YaHei" w:hAnsi="Microsoft YaHei" w:eastAsia="Microsoft YaHei"/>
        </w:rPr>
        <w:t xml:space="preserve">T1-2 极点位置与稳定性类型识别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已知 5 个连续时间单位负反馈闭环系统的闭环极点配置如下（复平面关于实轴对称，以下用文字给出极点位置）：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A.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</m:oMath>
    </w:p>
    <w:p>
      <w:pPr>
        <w:pStyle w:val="BodyText"/>
      </w:pPr>
      <w:r>
        <w:rPr>
          <w:rFonts w:ascii="Microsoft YaHei" w:hAnsi="Microsoft YaHei" w:eastAsia="Microsoft YaHei"/>
        </w:rPr>
        <w:t xml:space="preserve">B.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>
          <m:t>j</m:t>
        </m:r>
        <m:r>
          <m:t>2</m:t>
        </m:r>
      </m:oMath>
    </w:p>
    <w:p>
      <w:pPr>
        <w:pStyle w:val="BodyText"/>
      </w:pPr>
      <w:r>
        <w:rPr>
          <w:rFonts w:ascii="Microsoft YaHei" w:hAnsi="Microsoft YaHei" w:eastAsia="Microsoft YaHei"/>
        </w:rPr>
        <w:t xml:space="preserve">C.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j</m:t>
        </m:r>
        <m:r>
          <m:t>2</m:t>
        </m:r>
      </m:oMath>
    </w:p>
    <w:p>
      <w:pPr>
        <w:pStyle w:val="BodyText"/>
      </w:pPr>
      <w:r>
        <w:rPr>
          <w:rFonts w:ascii="Microsoft YaHei" w:hAnsi="Microsoft YaHei" w:eastAsia="Microsoft YaHei"/>
        </w:rPr>
        <w:t xml:space="preserve">D.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w:r>
        <w:rPr>
          <w:rFonts w:ascii="Microsoft YaHei" w:hAnsi="Microsoft YaHei" w:eastAsia="Microsoft YaHei"/>
        </w:rPr>
        <w:t xml:space="preserve">E.</w:t>
      </w:r>
      <w:r>
        <w:rPr>
          <w:rFonts w:ascii="Microsoft YaHei" w:hAnsi="Microsoft YaHei" w:eastAsia="Microsoft YaHei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±</m:t>
        </m:r>
        <m:r>
          <m:t>j</m:t>
        </m:r>
        <m:r>
          <m:t>2</m:t>
        </m:r>
      </m:oMath>
    </w:p>
    <w:p>
      <w:pPr>
        <w:pStyle w:val="BodyText"/>
      </w:pPr>
      <w:r>
        <w:rPr>
          <w:rFonts w:ascii="Microsoft YaHei" w:hAnsi="Microsoft YaHei" w:eastAsia="Microsoft YaHei"/>
        </w:rPr>
        <w:t xml:space="preserve">为便于仅根据极点位置进行定性判断，统一作如下假设：各系统均为最小相位、无零极点对消、所有极点模态均可观测，且只要求画标准化单位阶跃响应的定性草图，不要求精确函数表达式与精确数值。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请回答：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判断 A-E 各配置对应的稳定类型（稳定 / 临界稳定 / 不稳定），并简述判断依据。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分别说明其单位阶跃响应草图应呈现的主要特征，可用简明文字代替作图，例如”单调收敛”</w:t>
      </w:r>
      <w:r>
        <w:rPr>
          <w:rFonts w:ascii="Microsoft YaHei" w:hAnsi="Microsoft YaHei" w:eastAsia="Microsoft YaHei"/>
        </w:rPr>
        <w:t xml:space="preserve">“</w:t>
      </w:r>
      <w:r>
        <w:rPr>
          <w:rFonts w:ascii="Microsoft YaHei" w:hAnsi="Microsoft YaHei" w:eastAsia="Microsoft YaHei"/>
        </w:rPr>
        <w:t xml:space="preserve">衰减振荡后收敛</w:t>
      </w:r>
      <w:r>
        <w:rPr>
          <w:rFonts w:ascii="Microsoft YaHei" w:hAnsi="Microsoft YaHei" w:eastAsia="Microsoft YaHei"/>
        </w:rPr>
        <w:t xml:space="preserve">”</w:t>
      </w:r>
      <w:r>
        <w:rPr>
          <w:rFonts w:ascii="Microsoft YaHei" w:hAnsi="Microsoft YaHei" w:eastAsia="Microsoft YaHei"/>
        </w:rPr>
        <w:t xml:space="preserve">“</w:t>
      </w:r>
      <w:r>
        <w:rPr>
          <w:rFonts w:ascii="Microsoft YaHei" w:hAnsi="Microsoft YaHei" w:eastAsia="Microsoft YaHei"/>
        </w:rPr>
        <w:t xml:space="preserve">等幅振荡不收敛</w:t>
      </w:r>
      <w:r>
        <w:rPr>
          <w:rFonts w:ascii="Microsoft YaHei" w:hAnsi="Microsoft YaHei" w:eastAsia="Microsoft YaHei"/>
        </w:rPr>
        <w:t xml:space="preserve">”</w:t>
      </w:r>
      <w:r>
        <w:rPr>
          <w:rFonts w:ascii="Microsoft YaHei" w:hAnsi="Microsoft YaHei" w:eastAsia="Microsoft YaHei"/>
        </w:rPr>
        <w:t xml:space="preserve">“</w:t>
      </w:r>
      <w:r>
        <w:rPr>
          <w:rFonts w:ascii="Microsoft YaHei" w:hAnsi="Microsoft YaHei" w:eastAsia="Microsoft YaHei"/>
        </w:rPr>
        <w:t xml:space="preserve">发散</w:t>
      </w:r>
      <w:r>
        <w:rPr>
          <w:rFonts w:ascii="Microsoft YaHei" w:hAnsi="Microsoft YaHei" w:eastAsia="Microsoft YaHei"/>
        </w:rPr>
        <w:t xml:space="preserve">”</w:t>
      </w:r>
      <w:r>
        <w:rPr>
          <w:rFonts w:ascii="Microsoft YaHei" w:hAnsi="Microsoft YaHei" w:eastAsia="Microsoft YaHei"/>
        </w:rPr>
        <w:t xml:space="preserve">等。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说明哪些配置在一般闭环控制工程中可用，并说明理由。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21"/>
    <w:bookmarkStart w:id="25" w:name="t1-3-从时域曲线反推系统类型"/>
    <w:p>
      <w:pPr>
        <w:pStyle w:val="Heading2"/>
      </w:pPr>
      <w:r>
        <w:rPr>
          <w:rFonts w:ascii="Microsoft YaHei" w:hAnsi="Microsoft YaHei" w:eastAsia="Microsoft YaHei"/>
        </w:rPr>
        <w:t xml:space="preserve">T1-3 从时域曲线反推系统类型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某四个连续时间系统在单位阶跃输入</w:t>
      </w:r>
      <w:r>
        <w:rPr>
          <w:rFonts w:ascii="Microsoft YaHei" w:hAnsi="Microsoft YaHei" w:eastAsia="Microsoft YaHei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作用下，测得四条归一化输出曲线 A、B、C、D，如图所示。</w:t>
      </w:r>
    </w:p>
    <w:p>
      <w:pPr>
        <w:pStyle w:val="CaptionedFigure"/>
      </w:pPr>
      <w:r>
        <w:rPr>
          <w:rFonts w:ascii="Microsoft YaHei" w:hAnsi="Microsoft YaHei" w:eastAsia="Microsoft YaHei"/>
        </w:rPr>
        <w:drawing>
          <wp:inline>
            <wp:extent cx="5334000" cy="2785533"/>
            <wp:effectExtent b="0" l="0" r="0" t="0"/>
            <wp:docPr descr="T1-3 四条单位阶跃响应曲线（A—D）" title="" id="23" name="Picture"/>
            <a:graphic>
              <a:graphicData uri="http://schemas.openxmlformats.org/drawingml/2006/picture">
                <pic:pic>
                  <pic:nvPicPr>
                    <pic:cNvPr descr="assets/T1/T1-3-curv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Microsoft YaHei" w:hAnsi="Microsoft YaHei" w:eastAsia="Microsoft YaHei"/>
        </w:rPr>
        <w:t xml:space="preserve">T1-3 四条单位阶跃响应曲线（A—D）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四条曲线的主要读图特征如下：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曲线 A</w:t>
      </w:r>
      <w:r>
        <w:rPr>
          <w:rFonts w:ascii="Microsoft YaHei" w:hAnsi="Microsoft YaHei" w:eastAsia="Microsoft YaHei"/>
        </w:rPr>
        <w:t xml:space="preserve">：输出从 0 开始单调上升，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 时约为 0.63，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 时约为 0.86，</w:t>
      </w:r>
      <m:oMath>
        <m:r>
          <m:t>t</m:t>
        </m:r>
        <m:r>
          <m:rPr>
            <m:sty m:val="p"/>
          </m:rPr>
          <m:t>=</m:t>
        </m:r>
        <m:r>
          <m:t>4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 时约为 0.98；全过程无超调、无振荡。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曲线 B</w:t>
      </w:r>
      <w:r>
        <w:rPr>
          <w:rFonts w:ascii="Microsoft YaHei" w:hAnsi="Microsoft YaHei" w:eastAsia="Microsoft YaHei"/>
        </w:rPr>
        <w:t xml:space="preserve">：输出先快速上升并越过 1，第一峰值约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1.25</m:t>
        </m:r>
      </m:oMath>
      <w:r>
        <w:rPr>
          <w:rFonts w:ascii="Microsoft YaHei" w:hAnsi="Microsoft YaHei" w:eastAsia="Microsoft YaHei"/>
        </w:rPr>
        <w:t xml:space="preserve">，随后振荡衰减；到第二个峰值时约为 1.06，最终稳定在 1 附近。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曲线 C</w:t>
      </w:r>
      <w:r>
        <w:rPr>
          <w:rFonts w:ascii="Microsoft YaHei" w:hAnsi="Microsoft YaHei" w:eastAsia="Microsoft YaHei"/>
        </w:rPr>
        <w:t xml:space="preserve">：输出越过 1 后，后续振荡幅值不减小反而持续增大；第一次峰值约为 2.2（远超 1），随后峰值进一步增大，长期振荡发散，无稳定稳态值。</w:t>
      </w:r>
    </w:p>
    <w:p>
      <w:pPr>
        <w:pStyle w:val="BodyText"/>
      </w:pPr>
      <w:r>
        <w:rPr>
          <w:bCs/>
          <w:rFonts w:ascii="Microsoft YaHei" w:hAnsi="Microsoft YaHei" w:eastAsia="Microsoft YaHei"/>
          <w:b/>
        </w:rPr>
        <w:t xml:space="preserve">曲线 D</w:t>
      </w:r>
      <w:r>
        <w:rPr>
          <w:rFonts w:ascii="Microsoft YaHei" w:hAnsi="Microsoft YaHei" w:eastAsia="Microsoft YaHei"/>
        </w:rPr>
        <w:t xml:space="preserve">：输出缓慢单调爬升，在约</w:t>
      </w:r>
      <w:r>
        <w:rPr>
          <w:rFonts w:ascii="Microsoft YaHei" w:hAnsi="Microsoft YaHei" w:eastAsia="Microsoft YaHei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9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 处出现一个极小的峰值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1.05</m:t>
        </m:r>
      </m:oMath>
      <w:r>
        <w:rPr>
          <w:rFonts w:ascii="Microsoft YaHei" w:hAnsi="Microsoft YaHei" w:eastAsia="Microsoft YaHei"/>
        </w:rPr>
        <w:t xml:space="preserve">，随后回落并稳定在 1 附近；从曲线外观看几乎像单调收敛，但确实存在极小超调。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请回答：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分别判断 A、B、C、D 四条曲线所对应系统的主导极点特征。至少说明：主导极点更像是实极点还是共轭复数极点；系统是稳定还是不稳定；若能判断阻尼特性，请给出阻尼比</w:t>
      </w:r>
      <w:r>
        <w:rPr>
          <w:rFonts w:ascii="Microsoft YaHei" w:hAnsi="Microsoft YaHei" w:eastAsia="Microsoft YaHei"/>
        </w:rPr>
        <w:t xml:space="preserve"> </w:t>
      </w:r>
      <m:oMath>
        <m:r>
          <m:t>ζ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的大致范围或符号特征。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对曲线 B、D，分别估算其超调量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  <m:r>
          <m:rPr>
            <m:sty m:val="p"/>
          </m:rPr>
          <m:t>%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与阻尼比</w:t>
      </w:r>
      <w:r>
        <w:rPr>
          <w:rFonts w:ascii="Microsoft YaHei" w:hAnsi="Microsoft YaHei" w:eastAsia="Microsoft YaHei"/>
        </w:rPr>
        <w:t xml:space="preserve"> </w:t>
      </w:r>
      <m:oMath>
        <m:r>
          <m:t>ζ</m:t>
        </m:r>
      </m:oMath>
      <w:r>
        <w:rPr>
          <w:rFonts w:ascii="Microsoft YaHei" w:hAnsi="Microsoft YaHei" w:eastAsia="Microsoft YaHei"/>
        </w:rPr>
        <w:t xml:space="preserve">。可使用二阶主导近似公式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  <m:r>
          <m:rPr>
            <m:sty m:val="p"/>
          </m:rPr>
          <m:t>%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m</m:t>
                    </m:r>
                    <m:r>
                      <m:t>a</m:t>
                    </m:r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∞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</m:e>
        </m:d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rPr>
          <w:rFonts w:ascii="Microsoft YaHei" w:hAnsi="Microsoft YaHei" w:eastAsia="Microsoft YaHei"/>
        </w:rPr>
        <w:t xml:space="preserve">，以及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ζ</m:t>
            </m:r>
            <m:r>
              <m:t>π</m:t>
            </m:r>
            <m:r>
              <m:rPr>
                <m:sty m:val="p"/>
              </m:rPr>
              <m:t>/</m:t>
            </m:r>
            <m:rad>
              <m:radPr>
                <m:degHide m:val="1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ζ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>
          <w:rFonts w:ascii="Microsoft YaHei" w:hAnsi="Microsoft YaHei" w:eastAsia="Microsoft YaHei"/>
        </w:rPr>
        <w:t xml:space="preserve">（其中</w:t>
      </w:r>
      <w:r>
        <w:rPr>
          <w:rFonts w:ascii="Microsoft YaHei" w:hAnsi="Microsoft YaHei" w:eastAsia="Microsoft YaHei"/>
        </w:rPr>
        <w:t xml:space="preserve"> </w:t>
      </w:r>
      <m:oMath>
        <m:r>
          <m:t>σ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取小数而非百分数）。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说明你用哪些”可直接从时域曲线读出”的特征来区分这四条曲线。至少写出 4 条，并说明这些特征分别支持了哪些判断。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说明：本题重在从响应形状逆向判断系统特性，不要求反求精确传递函数。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25"/>
    <w:bookmarkStart w:id="28" w:name="t1-4-工程场景反馈控制判断"/>
    <w:p>
      <w:pPr>
        <w:pStyle w:val="Heading2"/>
      </w:pPr>
      <w:r>
        <w:rPr>
          <w:rFonts w:ascii="Microsoft YaHei" w:hAnsi="Microsoft YaHei" w:eastAsia="Microsoft YaHei"/>
        </w:rPr>
        <w:t xml:space="preserve">T1-4 工程场景反馈控制判断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请阅读以下两个工程控制场景，针对每个场景回答三个问题：（1）该场景的主要干扰来源和不确定性有哪些？（2）仅采用开环控制是否足够？请给出工程理由。（3）如果引入反馈控制，传感器应该测量什么物理量？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Start w:id="26" w:name="场景a家用洗衣机定时脱水程序"/>
    <w:p>
      <w:pPr>
        <w:pStyle w:val="Heading3"/>
      </w:pPr>
      <w:r>
        <w:rPr>
          <w:rFonts w:ascii="Microsoft YaHei" w:hAnsi="Microsoft YaHei" w:eastAsia="Microsoft YaHei"/>
        </w:rPr>
        <w:t xml:space="preserve">场景A：家用洗衣机定时脱水程序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某型号家用全自动洗衣机执行脱水程序时，采用定时控制方式：设定脱水时间为5分钟，电机以固定转速（1200rpm）运转，到达设定时间后自动停止。</w:t>
      </w:r>
    </w:p>
    <w:bookmarkEnd w:id="26"/>
    <w:bookmarkStart w:id="27" w:name="场景b无人机悬停高度保持"/>
    <w:p>
      <w:pPr>
        <w:pStyle w:val="Heading3"/>
      </w:pPr>
      <w:r>
        <w:rPr>
          <w:rFonts w:ascii="Microsoft YaHei" w:hAnsi="Microsoft YaHei" w:eastAsia="Microsoft YaHei"/>
        </w:rPr>
        <w:t xml:space="preserve">场景B：无人机悬停高度保持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某四旋翼无人机执行定点悬停任务，要求在离地10米高度保持位置，持续10分钟。无人机通过调节四个电机的转速来控制升力，从而维持高度。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请分别对场景A和场景B进行分析，按要求回答上述三个子问题。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 w:eastAsia="Microsoft YaHei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Microsoft YaHei" w:hAnsi="Microsoft YaHei" w:eastAsia="Microsoft YaHei"/>
    </w:rPr>
  </w:style>
  <w:style w:customStyle="1" w:styleId="FirstParagraph" w:type="paragraph">
    <w:name w:val="First Paragraph"/>
    <w:basedOn w:val="BodyText"/>
    <w:next w:val="BodyText"/>
    <w:qFormat/>
    <w:rPr>
      <w:rFonts w:ascii="Microsoft YaHei" w:hAnsi="Microsoft YaHei" w:eastAsia="Microsoft Ya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icrosoft YaHei" w:hAnsi="Microsoft YaHei" w:eastAsia="Microsoft Ya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Microsoft YaHei" w:hAnsi="Microsoft YaHei" w:eastAsia="Microsoft Ya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Microsoft YaHei" w:hAnsi="Microsoft YaHei" w:eastAsia="Microsoft Ya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Microsoft YaHei" w:hAnsi="Microsoft YaHei" w:eastAsia="Microsoft Ya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Microsoft YaHei" w:hAnsi="Microsoft YaHei" w:eastAsia="Microsoft Ya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Microsoft YaHei" w:hAnsi="Microsoft YaHei" w:eastAsia="Microsoft Ya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Microsoft YaHei" w:hAnsi="Microsoft YaHei" w:eastAsia="Microsoft Ya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Microsoft YaHei" w:hAnsi="Microsoft YaHei" w:eastAsia="Microsoft Ya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Microsoft YaHei" w:hAnsi="Microsoft YaHei" w:eastAsia="Microsoft Ya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icrosoft YaHei" w:hAnsi="Microsoft YaHei" w:eastAsia="Microsoft Ya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Microsoft YaHei" w:hAnsi="Microsoft YaHei" w:eastAsia="Microsoft YaHei"/>
    </w:rPr>
  </w:style>
  <w:style w:default="1" w:styleId="DefaultParagraphFont" w:type="character">
    <w:name w:val="Default Paragraph Font"/>
    <w:semiHidden/>
    <w:unhideWhenUsed/>
    <w:rPr>
      <w:rFonts w:ascii="Microsoft YaHei" w:hAnsi="Microsoft YaHei" w:eastAsia="Microsoft YaHei"/>
    </w:rPr>
  </w:style>
  <w:style w:default="1" w:styleId="Table" w:type="table">
    <w:name w:val="Table"/>
    <w:basedOn w:val="TableNormal"/>
    <w:semiHidden/>
    <w:unhideWhenUsed/>
    <w:qFormat/>
    <w:rPr>
      <w:rFonts w:ascii="Microsoft YaHei" w:hAnsi="Microsoft YaHei" w:eastAsia="Microsoft Ya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icrosoft YaHei" w:hAnsi="Microsoft YaHei" w:eastAsia="Microsoft YaHei"/>
      <w:b/>
    </w:rPr>
  </w:style>
  <w:style w:customStyle="1" w:styleId="Definition" w:type="paragraph">
    <w:name w:val="Definition"/>
    <w:basedOn w:val="Normal"/>
    <w:rPr>
      <w:rFonts w:ascii="Microsoft YaHei" w:hAnsi="Microsoft YaHei" w:eastAsia="Microsoft Ya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icrosoft YaHei" w:hAnsi="Microsoft YaHei" w:eastAsia="Microsoft YaHei"/>
      <w:i/>
    </w:rPr>
  </w:style>
  <w:style w:customStyle="1" w:styleId="TableCaption" w:type="paragraph">
    <w:name w:val="Table Caption"/>
    <w:basedOn w:val="Caption"/>
    <w:pPr>
      <w:keepNext/>
    </w:pPr>
    <w:rPr>
      <w:rFonts w:ascii="Microsoft YaHei" w:hAnsi="Microsoft YaHei" w:eastAsia="Microsoft YaHei"/>
    </w:rPr>
  </w:style>
  <w:style w:customStyle="1" w:styleId="ImageCaption" w:type="paragraph">
    <w:name w:val="Image Caption"/>
    <w:basedOn w:val="Caption"/>
    <w:rPr>
      <w:rFonts w:ascii="Microsoft YaHei" w:hAnsi="Microsoft YaHei" w:eastAsia="Microsoft YaHei"/>
    </w:rPr>
  </w:style>
  <w:style w:customStyle="1" w:styleId="Figure" w:type="paragraph">
    <w:name w:val="Figure"/>
    <w:basedOn w:val="Normal"/>
    <w:rPr>
      <w:rFonts w:ascii="Microsoft YaHei" w:hAnsi="Microsoft YaHei" w:eastAsia="Microsoft YaHei"/>
    </w:rPr>
  </w:style>
  <w:style w:customStyle="1" w:styleId="CaptionedFigure" w:type="paragraph">
    <w:name w:val="Captioned Figure"/>
    <w:basedOn w:val="Figure"/>
    <w:pPr>
      <w:keepNext/>
    </w:pPr>
    <w:rPr>
      <w:rFonts w:ascii="Microsoft YaHei" w:hAnsi="Microsoft YaHei" w:eastAsia="Microsoft YaHei"/>
    </w:rPr>
  </w:style>
  <w:style w:customStyle="1" w:styleId="BodyTextChar" w:type="character">
    <w:name w:val="Body Text Char"/>
    <w:basedOn w:val="DefaultParagraphFont"/>
    <w:link w:val="BodyText"/>
    <w:rPr>
      <w:rFonts w:ascii="Microsoft YaHei" w:hAnsi="Microsoft YaHei" w:eastAsia="Microsoft YaHei"/>
    </w:rPr>
  </w:style>
  <w:style w:customStyle="1" w:styleId="VerbatimChar" w:type="character">
    <w:name w:val="Verbatim Char"/>
    <w:basedOn w:val="BodyTextChar"/>
    <w:rPr>
      <w:rFonts w:ascii="Microsoft YaHei" w:hAnsi="Microsoft YaHei" w:eastAsia="Microsoft YaHei"/>
      <w:sz w:val="22"/>
    </w:rPr>
  </w:style>
  <w:style w:customStyle="1" w:styleId="SectionNumber" w:type="character">
    <w:name w:val="Section Number"/>
    <w:basedOn w:val="BodyTextChar"/>
    <w:rPr>
      <w:rFonts w:ascii="Microsoft YaHei" w:hAnsi="Microsoft YaHei" w:eastAsia="Microsoft YaHei"/>
    </w:rPr>
  </w:style>
  <w:style w:styleId="FootnoteReference" w:type="character">
    <w:name w:val="Footnote Reference"/>
    <w:basedOn w:val="BodyTextChar"/>
    <w:rPr>
      <w:rFonts w:ascii="Microsoft YaHei" w:hAnsi="Microsoft YaHei" w:eastAsia="Microsoft YaHei"/>
      <w:vertAlign w:val="superscript"/>
    </w:rPr>
  </w:style>
  <w:style w:styleId="Hyperlink" w:type="character">
    <w:name w:val="Hyperlink"/>
    <w:basedOn w:val="BodyTextChar"/>
    <w:rPr>
      <w:rFonts w:ascii="Microsoft YaHei" w:hAnsi="Microsoft YaHei" w:eastAsia="Microsoft Ya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Microsoft YaHei" w:hAnsi="Microsoft YaHei" w:eastAsia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icrosoft YaHei" w:hAnsi="Microsoft YaHei" w:eastAsia="Microsoft YaHei"/>
    </w:rPr>
  </w:style>
  <w:style w:type="character" w:customStyle="1" w:styleId="KeywordTok">
    <w:name w:val="KeywordTok"/>
    <w:basedOn w:val="VerbatimChar"/>
    <w:rPr>
      <w:color w:val="007020"/>
      <w:rFonts w:ascii="Microsoft YaHei" w:hAnsi="Microsoft YaHei" w:eastAsia="Microsoft YaHei"/>
      <w:b/>
    </w:rPr>
  </w:style>
  <w:style w:type="character" w:customStyle="1" w:styleId="DataTypeTok">
    <w:name w:val="DataTypeTok"/>
    <w:basedOn w:val="VerbatimChar"/>
    <w:rPr>
      <w:rFonts w:ascii="Microsoft YaHei" w:hAnsi="Microsoft YaHei" w:eastAsia="Microsoft YaHei"/>
      <w:color w:val="902000"/>
    </w:rPr>
  </w:style>
  <w:style w:type="character" w:customStyle="1" w:styleId="DecValTok">
    <w:name w:val="DecValTok"/>
    <w:basedOn w:val="VerbatimChar"/>
    <w:rPr>
      <w:rFonts w:ascii="Microsoft YaHei" w:hAnsi="Microsoft YaHei" w:eastAsia="Microsoft YaHei"/>
      <w:color w:val="40a070"/>
    </w:rPr>
  </w:style>
  <w:style w:type="character" w:customStyle="1" w:styleId="BaseNTok">
    <w:name w:val="BaseNTok"/>
    <w:basedOn w:val="VerbatimChar"/>
    <w:rPr>
      <w:rFonts w:ascii="Microsoft YaHei" w:hAnsi="Microsoft YaHei" w:eastAsia="Microsoft YaHei"/>
      <w:color w:val="40a070"/>
    </w:rPr>
  </w:style>
  <w:style w:type="character" w:customStyle="1" w:styleId="FloatTok">
    <w:name w:val="FloatTok"/>
    <w:basedOn w:val="VerbatimChar"/>
    <w:rPr>
      <w:rFonts w:ascii="Microsoft YaHei" w:hAnsi="Microsoft YaHei" w:eastAsia="Microsoft YaHei"/>
      <w:color w:val="40a070"/>
    </w:rPr>
  </w:style>
  <w:style w:type="character" w:customStyle="1" w:styleId="ConstantTok">
    <w:name w:val="ConstantTok"/>
    <w:basedOn w:val="VerbatimChar"/>
    <w:rPr>
      <w:rFonts w:ascii="Microsoft YaHei" w:hAnsi="Microsoft YaHei" w:eastAsia="Microsoft YaHei"/>
      <w:color w:val="880000"/>
    </w:rPr>
  </w:style>
  <w:style w:type="character" w:customStyle="1" w:styleId="CharTok">
    <w:name w:val="CharTok"/>
    <w:basedOn w:val="VerbatimChar"/>
    <w:rPr>
      <w:rFonts w:ascii="Microsoft YaHei" w:hAnsi="Microsoft YaHei" w:eastAsia="Microsoft YaHei"/>
      <w:color w:val="4070a0"/>
    </w:rPr>
  </w:style>
  <w:style w:type="character" w:customStyle="1" w:styleId="SpecialCharTok">
    <w:name w:val="SpecialCharTok"/>
    <w:basedOn w:val="VerbatimChar"/>
    <w:rPr>
      <w:rFonts w:ascii="Microsoft YaHei" w:hAnsi="Microsoft YaHei" w:eastAsia="Microsoft YaHei"/>
      <w:color w:val="4070a0"/>
    </w:rPr>
  </w:style>
  <w:style w:type="character" w:customStyle="1" w:styleId="StringTok">
    <w:name w:val="StringTok"/>
    <w:basedOn w:val="VerbatimChar"/>
    <w:rPr>
      <w:rFonts w:ascii="Microsoft YaHei" w:hAnsi="Microsoft YaHei" w:eastAsia="Microsoft YaHei"/>
      <w:color w:val="4070a0"/>
    </w:rPr>
  </w:style>
  <w:style w:type="character" w:customStyle="1" w:styleId="VerbatimStringTok">
    <w:name w:val="VerbatimStringTok"/>
    <w:basedOn w:val="VerbatimChar"/>
    <w:rPr>
      <w:rFonts w:ascii="Microsoft YaHei" w:hAnsi="Microsoft YaHei" w:eastAsia="Microsoft YaHei"/>
      <w:color w:val="4070a0"/>
    </w:rPr>
  </w:style>
  <w:style w:type="character" w:customStyle="1" w:styleId="SpecialStringTok">
    <w:name w:val="SpecialStringTok"/>
    <w:basedOn w:val="VerbatimChar"/>
    <w:rPr>
      <w:rFonts w:ascii="Microsoft YaHei" w:hAnsi="Microsoft YaHei" w:eastAsia="Microsoft YaHei"/>
      <w:color w:val="bb6688"/>
    </w:rPr>
  </w:style>
  <w:style w:type="character" w:customStyle="1" w:styleId="ImportTok">
    <w:name w:val="ImportTok"/>
    <w:basedOn w:val="VerbatimChar"/>
    <w:rPr>
      <w:color w:val="008000"/>
      <w:rFonts w:ascii="Microsoft YaHei" w:hAnsi="Microsoft YaHei" w:eastAsia="Microsoft YaHei"/>
      <w:b/>
    </w:rPr>
  </w:style>
  <w:style w:type="character" w:customStyle="1" w:styleId="CommentTok">
    <w:name w:val="CommentTok"/>
    <w:basedOn w:val="VerbatimChar"/>
    <w:rPr>
      <w:color w:val="60a0b0"/>
      <w:rFonts w:ascii="Microsoft YaHei" w:hAnsi="Microsoft YaHei" w:eastAsia="Microsoft YaHei"/>
      <w:i/>
    </w:rPr>
  </w:style>
  <w:style w:type="character" w:customStyle="1" w:styleId="DocumentationTok">
    <w:name w:val="DocumentationTok"/>
    <w:basedOn w:val="VerbatimChar"/>
    <w:rPr>
      <w:color w:val="ba2121"/>
      <w:rFonts w:ascii="Microsoft YaHei" w:hAnsi="Microsoft YaHei" w:eastAsia="Microsoft YaHei"/>
      <w:i/>
    </w:rPr>
  </w:style>
  <w:style w:type="character" w:customStyle="1" w:styleId="AnnotationTok">
    <w:name w:val="Annotation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CommentVarTok">
    <w:name w:val="CommentVar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OtherTok">
    <w:name w:val="OtherTok"/>
    <w:basedOn w:val="VerbatimChar"/>
    <w:rPr>
      <w:rFonts w:ascii="Microsoft YaHei" w:hAnsi="Microsoft YaHei" w:eastAsia="Microsoft YaHei"/>
      <w:color w:val="007020"/>
    </w:rPr>
  </w:style>
  <w:style w:type="character" w:customStyle="1" w:styleId="FunctionTok">
    <w:name w:val="FunctionTok"/>
    <w:basedOn w:val="VerbatimChar"/>
    <w:rPr>
      <w:rFonts w:ascii="Microsoft YaHei" w:hAnsi="Microsoft YaHei" w:eastAsia="Microsoft YaHei"/>
      <w:color w:val="06287e"/>
    </w:rPr>
  </w:style>
  <w:style w:type="character" w:customStyle="1" w:styleId="VariableTok">
    <w:name w:val="VariableTok"/>
    <w:basedOn w:val="VerbatimChar"/>
    <w:rPr>
      <w:rFonts w:ascii="Microsoft YaHei" w:hAnsi="Microsoft YaHei" w:eastAsia="Microsoft Ya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Microsoft YaHei" w:hAnsi="Microsoft YaHei" w:eastAsia="Microsoft YaHei"/>
      <w:b/>
    </w:rPr>
  </w:style>
  <w:style w:type="character" w:customStyle="1" w:styleId="OperatorTok">
    <w:name w:val="OperatorTok"/>
    <w:basedOn w:val="VerbatimChar"/>
    <w:rPr>
      <w:rFonts w:ascii="Microsoft YaHei" w:hAnsi="Microsoft YaHei" w:eastAsia="Microsoft YaHei"/>
      <w:color w:val="666666"/>
    </w:rPr>
  </w:style>
  <w:style w:type="character" w:customStyle="1" w:styleId="BuiltInTok">
    <w:name w:val="BuiltInTok"/>
    <w:basedOn w:val="VerbatimChar"/>
    <w:rPr>
      <w:rFonts w:ascii="Microsoft YaHei" w:hAnsi="Microsoft YaHei" w:eastAsia="Microsoft YaHei"/>
      <w:color w:val="008000"/>
    </w:rPr>
  </w:style>
  <w:style w:type="character" w:customStyle="1" w:styleId="ExtensionTok">
    <w:name w:val="ExtensionTok"/>
    <w:basedOn w:val="VerbatimChar"/>
    <w:rPr>
      <w:rFonts w:ascii="Microsoft YaHei" w:hAnsi="Microsoft YaHei" w:eastAsia="Microsoft YaHei"/>
    </w:rPr>
  </w:style>
  <w:style w:type="character" w:customStyle="1" w:styleId="PreprocessorTok">
    <w:name w:val="PreprocessorTok"/>
    <w:basedOn w:val="VerbatimChar"/>
    <w:rPr>
      <w:rFonts w:ascii="Microsoft YaHei" w:hAnsi="Microsoft YaHei" w:eastAsia="Microsoft YaHei"/>
      <w:color w:val="bc7a00"/>
    </w:rPr>
  </w:style>
  <w:style w:type="character" w:customStyle="1" w:styleId="AttributeTok">
    <w:name w:val="AttributeTok"/>
    <w:basedOn w:val="VerbatimChar"/>
    <w:rPr>
      <w:rFonts w:ascii="Microsoft YaHei" w:hAnsi="Microsoft YaHei" w:eastAsia="Microsoft YaHei"/>
      <w:color w:val="7d9029"/>
    </w:rPr>
  </w:style>
  <w:style w:type="character" w:customStyle="1" w:styleId="RegionMarkerTok">
    <w:name w:val="RegionMarkerTok"/>
    <w:basedOn w:val="VerbatimChar"/>
    <w:rPr>
      <w:rFonts w:ascii="Microsoft YaHei" w:hAnsi="Microsoft YaHei" w:eastAsia="Microsoft YaHei"/>
    </w:rPr>
  </w:style>
  <w:style w:type="character" w:customStyle="1" w:styleId="InformationTok">
    <w:name w:val="Information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WarningTok">
    <w:name w:val="Warning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AlertTok">
    <w:name w:val="AlertTok"/>
    <w:basedOn w:val="VerbatimChar"/>
    <w:rPr>
      <w:color w:val="ff0000"/>
      <w:rFonts w:ascii="Microsoft YaHei" w:hAnsi="Microsoft YaHei" w:eastAsia="Microsoft YaHei"/>
      <w:b/>
    </w:rPr>
  </w:style>
  <w:style w:type="character" w:customStyle="1" w:styleId="ErrorTok">
    <w:name w:val="ErrorTok"/>
    <w:basedOn w:val="VerbatimChar"/>
    <w:rPr>
      <w:color w:val="ff0000"/>
      <w:rFonts w:ascii="Microsoft YaHei" w:hAnsi="Microsoft YaHei" w:eastAsia="Microsoft YaHei"/>
      <w:b/>
    </w:rPr>
  </w:style>
  <w:style w:type="character" w:customStyle="1" w:styleId="NormalTok">
    <w:name w:val="NormalTok"/>
    <w:basedOn w:val="VerbatimChar"/>
    <w:rPr>
      <w:rFonts w:ascii="Microsoft YaHei" w:hAnsi="Microsoft YaHei" w:eastAsia="Microsoft Ya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2026-05-28T01:25:42Z</dcterms:created>
  <dcterms:modified xsi:type="dcterms:W3CDTF">2026-05-28T01:25:42Z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