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自动控制原理-作业5传统校正技术与初始控制方案"/>
    <w:p>
      <w:pPr>
        <w:pStyle w:val="Heading1"/>
      </w:pPr>
      <w:r>
        <w:rPr>
          <w:rFonts w:ascii="Microsoft YaHei" w:hAnsi="Microsoft YaHei" w:eastAsia="Microsoft YaHei"/>
        </w:rPr>
        <w:t xml:space="preserve">自动控制原理 作业5：传统校正技术与初始控制方案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本次作业包含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道闭题与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道开放题，总分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100分</w:t>
      </w:r>
      <w:r>
        <w:rPr>
          <w:rFonts w:ascii="Microsoft YaHei" w:hAnsi="Microsoft YaHei" w:eastAsia="Microsoft YaHei"/>
        </w:rPr>
        <w:t xml:space="preserve">。</w:t>
      </w:r>
    </w:p>
    <w:bookmarkStart w:id="20" w:name="t5-1-由性能要求反推首轮参数起点20分"/>
    <w:p>
      <w:pPr>
        <w:pStyle w:val="Heading2"/>
      </w:pPr>
      <w:r>
        <w:rPr>
          <w:rFonts w:ascii="Microsoft YaHei" w:hAnsi="Microsoft YaHei" w:eastAsia="Microsoft YaHei"/>
        </w:rPr>
        <w:t xml:space="preserve">T5-1 由性能要求反推首轮参数起点（20分）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某单位过程模型为</w:t>
      </w:r>
      <w:r>
        <w:rPr>
          <w:rFonts w:ascii="Microsoft YaHei" w:hAnsi="Microsoft YaHei" w:eastAsia="Microsoft YaHei"/>
        </w:rP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["/>
            <m:endChr m:val="]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</m:d>
      </m:oMath>
      <w:r>
        <w:rPr>
          <w:rFonts w:ascii="Microsoft YaHei" w:hAnsi="Microsoft YaHei" w:eastAsia="Microsoft YaHei"/>
        </w:rPr>
        <w:t xml:space="preserve">，单位反馈下需选择一条首轮超前校正起点参数，使系统同时满足：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10</m:t>
        </m:r>
        <m:r>
          <m:rPr>
            <m:sty m:val="p"/>
          </m:rPr>
          <m:t>%</m:t>
        </m:r>
      </m:oMath>
      <w:r>
        <w:rPr>
          <w:rFonts w:ascii="Microsoft YaHei" w:hAnsi="Microsoft YaHei" w:eastAsia="Microsoft YaHei"/>
        </w:rPr>
        <w:t xml:space="preserve">、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2</m:t>
        </m:r>
        <m:r>
          <m:t> </m:t>
        </m:r>
        <m:r>
          <m:rPr>
            <m:sty m:val="p"/>
          </m:rPr>
          <m:t>s</m:t>
        </m:r>
      </m:oMath>
      <w:r>
        <w:rPr>
          <w:rFonts w:ascii="Microsoft YaHei" w:hAnsi="Microsoft YaHei" w:eastAsia="Microsoft YaHei"/>
        </w:rPr>
        <w:t xml:space="preserve">（按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2%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判据）、闭环目标相位裕度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ϕ</m:t>
            </m:r>
          </m:e>
          <m:sub>
            <m:r>
              <m:t>m</m:t>
            </m:r>
          </m:sub>
        </m:sSub>
        <m:r>
          <m:rPr>
            <m:sty m:val="p"/>
          </m:rPr>
          <m:t>≥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Microsoft YaHei" w:hAnsi="Microsoft YaHei" w:eastAsia="Microsoft YaHei"/>
        </w:rPr>
        <w:t xml:space="preserve">。作业要求仅给出“首轮参数起点”。为避免起点选择歧义，本题固定首轮交叉频率取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请按以下步骤计算并给出起点：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先由超调与调节时间要求反推</w:t>
      </w:r>
      <w:r>
        <w:rPr>
          <w:rFonts w:ascii="Microsoft YaHei" w:hAnsi="Microsoft YaHei" w:eastAsia="Microsoft YaHei"/>
        </w:rPr>
        <w:t xml:space="preserve"> </w:t>
      </w:r>
      <m:oMath>
        <m:r>
          <m:t>ζ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下限。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在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下计算该模型的幅值与相位。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根据目标相位裕度确定需补偿的额外相位。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由超前校正第一型参数形式</w:t>
      </w:r>
      <w:r>
        <w:rPr>
          <w:rFonts w:ascii="Microsoft YaHei" w:hAnsi="Microsoft YaHei" w:eastAsia="Microsoft YaHei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  <m:r>
              <m:t>T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α</m:t>
            </m:r>
            <m:r>
              <m:t>s</m:t>
            </m:r>
            <m:r>
              <m:t>T</m:t>
            </m:r>
          </m:den>
        </m:f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给出首轮参数起点</w:t>
      </w:r>
      <w:r>
        <w:rPr>
          <w:rFonts w:ascii="Microsoft YaHei" w:hAnsi="Microsoft YaHei" w:eastAsia="Microsoft YaHei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c</m:t>
                </m:r>
              </m:sub>
            </m:sSub>
          </m:e>
        </m:d>
      </m:oMath>
      <w:r>
        <w:rPr>
          <w:rFonts w:ascii="Microsoft YaHei" w:hAnsi="Microsoft YaHei" w:eastAsia="Microsoft YaHei"/>
        </w:rPr>
        <w:t xml:space="preserve">，并说明该结果只是首轮验证起点。</w:t>
      </w:r>
    </w:p>
    <w:bookmarkEnd w:id="20"/>
    <w:bookmarkStart w:id="21" w:name="t5-2-从证据判断到滞后校正整定20分"/>
    <w:p>
      <w:pPr>
        <w:pStyle w:val="Heading2"/>
      </w:pPr>
      <w:r>
        <w:rPr>
          <w:rFonts w:ascii="Microsoft YaHei" w:hAnsi="Microsoft YaHei" w:eastAsia="Microsoft YaHei"/>
        </w:rPr>
        <w:t xml:space="preserve">T5-2 从证据判断到滞后校正整定（20分）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某单位负反馈控制系统的未校正开环传递函数为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0.1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0.05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已知未校正系统的频域证据为：幅值交叉频率约为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  <m:r>
              <m:t>0</m:t>
            </m:r>
          </m:sub>
        </m:sSub>
        <m:r>
          <m:rPr>
            <m:sty m:val="p"/>
          </m:rPr>
          <m:t>=</m:t>
        </m:r>
        <m:r>
          <m:t>3.6</m:t>
        </m:r>
        <m:r>
          <m:t> 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Microsoft YaHei" w:hAnsi="Microsoft YaHei" w:eastAsia="Microsoft YaHei"/>
        </w:rPr>
        <w:t xml:space="preserve">，相位裕度约为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Microsoft YaHei" w:hAnsi="Microsoft YaHei" w:eastAsia="Microsoft YaHei"/>
        </w:rPr>
        <w:t xml:space="preserve">。稳态证据为：系统对单位斜坡输入的稳态误差偏大。设计要求为：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≤</m:t>
          </m:r>
          <m:r>
            <m:t>0.05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≥</m:t>
          </m:r>
          <m:sSup>
            <m:e>
              <m:r>
                <m:t>50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同时希望主要改善低频稳态精度，不要求明显提高交叉频率。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请完成以下任务：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计算未校正系统的速度误差系数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与单位斜坡输入稳态误差。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根据给出的稳态误差、低频增益和相位裕度证据，说明为什么本题应采用滞后校正。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采用滞后校正网络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r>
            <m:t>β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/</m:t>
              </m:r>
              <m:sSub>
                <m:e>
                  <m:r>
                    <m:t>ω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/</m:t>
              </m:r>
              <m:sSub>
                <m:e>
                  <m:r>
                    <m:t>ω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β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完成参数整定。可取滞后网络零点位于未校正交叉频率的十分之一附近，即</w:t>
      </w:r>
      <w:r>
        <w:rPr>
          <w:rFonts w:ascii="Microsoft YaHei" w:hAnsi="Microsoft YaHei" w:eastAsia="Microsoft YaHei"/>
        </w:rPr>
        <w:t xml:space="preserve"> </w:t>
      </w:r>
      <m:oMath>
        <m:sSub>
          <m:e>
            <m:r>
              <m:t>ω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c</m:t>
            </m:r>
            <m:r>
              <m:t>0</m:t>
            </m:r>
          </m:sub>
        </m:sSub>
        <m:r>
          <m:rPr>
            <m:sty m:val="p"/>
          </m:rPr>
          <m:t>/</m:t>
        </m:r>
        <m:r>
          <m:t>10</m:t>
        </m:r>
      </m:oMath>
      <w:r>
        <w:rPr>
          <w:rFonts w:ascii="Microsoft YaHei" w:hAnsi="Microsoft YaHei" w:eastAsia="Microsoft YaHei"/>
        </w:rP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写出校正器</w:t>
      </w:r>
      <w:r>
        <w:rPr>
          <w:rFonts w:ascii="Microsoft YaHei" w:hAnsi="Microsoft YaHei" w:eastAsia="Microsoft YaHei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rPr>
          <w:rFonts w:ascii="Microsoft YaHei" w:hAnsi="Microsoft YaHei" w:eastAsia="Microsoft YaHei"/>
        </w:rPr>
        <w:t xml:space="preserve">，估计校正后的速度误差系数、单位斜坡稳态误差、交叉频率和相位裕度，并说明整定结果如何改善原证据中的问题。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本题不要求仿真验证。</w:t>
      </w:r>
    </w:p>
    <w:bookmarkEnd w:id="21"/>
    <w:bookmarkStart w:id="25" w:name="t5-3-给定对象下的复合控制方案选择20分"/>
    <w:p>
      <w:pPr>
        <w:pStyle w:val="Heading2"/>
      </w:pPr>
      <w:r>
        <w:rPr>
          <w:rFonts w:ascii="Microsoft YaHei" w:hAnsi="Microsoft YaHei" w:eastAsia="Microsoft YaHei"/>
        </w:rPr>
        <w:t xml:space="preserve">T5-3 给定对象下的复合控制方案选择（20分）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薄膜涂布生产线的收卷前牵引辊需要保持稳定线速度。牵引辊由直流伺服电机驱动。为便于表达扰动作用位置，工程上将对象分为执行机构与负载结构两部分：驱动电压指令先经过执行机构形成牵引作用，牵引作用再与负载扰动共同进入负载结构，最终影响辊筒速度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1.8</m:t>
              </m:r>
            </m:num>
            <m:den>
              <m:r>
                <m:t>0.08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负载结构可近似为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0.18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0.04</m:t>
              </m:r>
              <m:r>
                <m:t>s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Microsoft YaHei" w:hAnsi="Microsoft YaHei" w:eastAsia="Microsoft YaHei"/>
        </w:rPr>
        <w:t xml:space="preserve">其中</w:t>
      </w:r>
      <w:r>
        <w:rPr>
          <w:rFonts w:ascii="Microsoft YaHei" w:hAnsi="Microsoft YaHei" w:eastAsia="Microsoft YaHei"/>
        </w:rPr>
        <w:t xml:space="preserve"> </w:t>
      </w:r>
      <m:oMath>
        <m:r>
          <m:t>u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为驱动电压指令，</w:t>
      </w:r>
      <m:oMath>
        <m:r>
          <m:t>ω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为辊筒角速度。负载扰动</w:t>
      </w:r>
      <w:r>
        <w:rPr>
          <w:rFonts w:ascii="Microsoft YaHei" w:hAnsi="Microsoft YaHei" w:eastAsia="Microsoft YaHei"/>
        </w:rPr>
        <w:t xml:space="preserve"> </w:t>
      </w:r>
      <m:oMath>
        <m:r>
          <m:t>d</m:t>
        </m:r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主要来自膜卷半径变化、材料张力波动和接头通过时的瞬时阻力，可在负载结构前直接与牵引作用共同影响速度。题面对象、扰动作用位置和待选择复合控制结构的关系如图所示。</w:t>
      </w:r>
    </w:p>
    <w:p>
      <w:pPr>
        <w:pStyle w:val="CaptionedFigure"/>
      </w:pPr>
      <w:r>
        <w:rPr>
          <w:rFonts w:ascii="Microsoft YaHei" w:hAnsi="Microsoft YaHei" w:eastAsia="Microsoft YaHei"/>
        </w:rPr>
        <w:drawing>
          <wp:inline>
            <wp:extent cx="5334000" cy="1431771"/>
            <wp:effectExtent b="0" l="0" r="0" t="0"/>
            <wp:docPr descr="T5-3 牵引辊复合控制对象结构图" title="" id="23" name="Picture"/>
            <a:graphic>
              <a:graphicData uri="http://schemas.openxmlformats.org/drawingml/2006/picture">
                <pic:pic>
                  <pic:nvPicPr>
                    <pic:cNvPr descr="assets/T5/T5-3-stem-plant-contex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T5-3 牵引辊复合控制对象结构图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生产要求中，速度给定</w:t>
      </w:r>
      <w:r>
        <w:rPr>
          <w:rFonts w:ascii="Microsoft YaHei" w:hAnsi="Microsoft YaHei" w:eastAsia="Microsoft YaHei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常出现小幅阶跃调整和缓慢斜坡升速；扰动</w:t>
      </w:r>
      <w:r>
        <w:rPr>
          <w:rFonts w:ascii="Microsoft YaHei" w:hAnsi="Microsoft YaHei" w:eastAsia="Microsoft YaHei"/>
        </w:rP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以低频缓慢变化为主，偶尔出现短时突变。现场已有单一速度负反馈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PI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控制，但仍观察到以下问题：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给定速度变化时，辊筒速度明显滞后，接近目标值前有轻微超调。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负载突变后速度下跌，恢复时间较长。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张力波动时速度曲线出现低频摆动。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若控制作用变化过快，执行器容易出现电压限幅和机械冲击。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请在不改变被控对象的前提下，选择一种你认为合理的经典复合控制方案。可选手段包括但不限于：速度反馈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PI/PID</w:t>
      </w:r>
      <w:r>
        <w:rPr>
          <w:rFonts w:ascii="Microsoft YaHei" w:hAnsi="Microsoft YaHei" w:eastAsia="Microsoft YaHei"/>
        </w:rPr>
        <w:t xml:space="preserve">、给定前馈、扰动前馈、串级控制、测速滤波、超前或滞后校正、陷波环节、延迟补偿等。你不需要从清单中全部选用，也可以组合其中若干项。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请完成：</w:t>
      </w:r>
    </w:p>
    <w:p>
      <w:pPr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写出你选择的复合控制结构，并用文字或框图说明信号连接关系。</w:t>
      </w:r>
    </w:p>
    <w:p>
      <w:pPr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说明各组成部分的作用，包括至少一个反馈环节和至少一个额外补偿或辅助环节。</w:t>
      </w:r>
    </w:p>
    <w:p>
      <w:pPr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指出该方案预期改善的至少两个指标或现象，并说明原因。</w:t>
      </w:r>
    </w:p>
    <w:p>
      <w:pPr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说明该方案可能带来的副作用或实施时需要关注的验证点。</w:t>
      </w:r>
    </w:p>
    <w:p>
      <w:pPr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说明为什么你的方案适合本对象的输入信号或扰动特征。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本题答案不唯一。只要方案针对题中对象和现象，属于经典控制范畴，结构自洽，并能说明改善理由，即可按评分标准给分。本题不要求仿真验证。</w:t>
      </w:r>
    </w:p>
    <w:bookmarkEnd w:id="25"/>
    <w:bookmarkStart w:id="26" w:name="o5-传统校正初始控制方案40分"/>
    <w:p>
      <w:pPr>
        <w:pStyle w:val="Heading2"/>
      </w:pPr>
      <w:r>
        <w:rPr>
          <w:rFonts w:ascii="Microsoft YaHei" w:hAnsi="Microsoft YaHei" w:eastAsia="Microsoft YaHei"/>
        </w:rPr>
        <w:t xml:space="preserve">O5 传统校正初始控制方案（40分）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请沿用你在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O4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中已经保留的首选候选结构与放弃理由，不得更换对象，也不得推翻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O3-O4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的主线证据。围绕同一对象，完成一次基于传统校正技术的“初始控制方案”提交。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请完成以下内容：</w:t>
      </w:r>
    </w:p>
    <w:p>
      <w:pPr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回收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O4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的候选结构排序：写清你最终保留哪一个结构作为首轮方案，为什么暂时放弃其他结构。</w:t>
      </w:r>
    </w:p>
    <w:p>
      <w:pPr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写出本次任务的性能要求、验收边界和可接受的首轮偏差。</w:t>
      </w:r>
    </w:p>
    <w:p>
      <w:pPr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完成一次结构选型计算：至少给出一个关键指标的计算过程，例如超前补偿相位、滞后低频增益提升、PI 参数起点或 PID 主参数方向。</w:t>
      </w:r>
    </w:p>
    <w:p>
      <w:pPr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写出所选基础结构的表达式、关键参数及参数方向，并用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MATLAB/Octave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完成基础结构的首轮仿真验证。</w:t>
      </w:r>
    </w:p>
    <w:p>
      <w:pPr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在基础结构上选择一个经典复合结构，例如给定滤波、扰动前馈、速度前馈、限幅与抗饱和、滞后补偿或超前补偿的组合；说明每个附加环节回应的项目背景证据。</w:t>
      </w:r>
    </w:p>
    <w:p>
      <w:pPr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为复合结构建立项目背景中的输入信号或扰动模型，不得只使用单位阶跃；例如斜坡给定、周期给定、负载阶跃、周期扰动或测量噪声。</w:t>
      </w:r>
    </w:p>
    <w:p>
      <w:pPr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MATLAB/Octave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完成复合结构仿真验证，提交代码、结果图和一张仿真验证记录表。</w:t>
      </w:r>
    </w:p>
    <w:p>
      <w:pPr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根据验证结果写出下一轮调参问题清单：列出最需要优先处理的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个问题及对应证据。</w:t>
      </w:r>
    </w:p>
    <w:p>
      <w:pPr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AI 使用记录摘要</w:t>
      </w:r>
      <w:r>
        <w:rPr>
          <w:rFonts w:ascii="Microsoft YaHei" w:hAnsi="Microsoft YaHei" w:eastAsia="Microsoft YaHei"/>
        </w:rPr>
        <w:t xml:space="preserve">，写明 AI 参与了哪些整理、仿真代码检查或文字润色工作，以及你如何核查关键判断。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提交要求：</w:t>
      </w:r>
    </w:p>
    <w:p>
      <w:pPr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主体正文不超过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900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字。</w:t>
      </w:r>
    </w:p>
    <w:p>
      <w:pPr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必须附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张方案结构图或等价结构表达，图中应区分基础结构与复合附加环节。</w:t>
      </w:r>
    </w:p>
    <w:p>
      <w:pPr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必须附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段结构选型计算。</w:t>
      </w:r>
    </w:p>
    <w:p>
      <w:pPr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必须附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张基础结构与复合结构的仿真验证记录表。</w:t>
      </w:r>
    </w:p>
    <w:p>
      <w:pPr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必须附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张下一轮调参问题清单。</w:t>
      </w:r>
    </w:p>
    <w:p>
      <w:pPr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必须附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MATLAB/Octave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仿真代码、结果图与简短复现实验说明；复合结构验证必须包含项目背景中的输入信号或扰动模型。</w:t>
      </w:r>
    </w:p>
    <w:p>
      <w:pPr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允许首轮方案不满足全部指标，但必须说明证据指向的下一轮调参方向。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Microsoft YaHei" w:hAnsi="Microsoft YaHei" w:eastAsia="Microsoft YaHei"/>
    </w:rPr>
  </w:style>
  <w:style w:customStyle="1" w:styleId="FirstParagraph" w:type="paragraph">
    <w:name w:val="First Paragraph"/>
    <w:basedOn w:val="BodyText"/>
    <w:next w:val="BodyText"/>
    <w:qFormat/>
    <w:rPr>
      <w:rFonts w:ascii="Microsoft YaHei" w:hAnsi="Microsoft YaHei" w:eastAsia="Microsoft Ya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icrosoft YaHei" w:hAnsi="Microsoft YaHei" w:eastAsia="Microsoft Ya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icrosoft YaHei" w:hAnsi="Microsoft YaHei" w:eastAsia="Microsoft Ya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Microsoft YaHei" w:hAnsi="Microsoft YaHei" w:eastAsia="Microsoft Ya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icrosoft YaHei" w:hAnsi="Microsoft YaHei" w:eastAsia="Microsoft Ya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icrosoft YaHei" w:hAnsi="Microsoft YaHei" w:eastAsia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Microsoft YaHei" w:hAnsi="Microsoft YaHei" w:eastAsia="Microsoft Ya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Microsoft YaHei" w:hAnsi="Microsoft YaHei" w:eastAsia="Microsoft Ya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icrosoft YaHei" w:hAnsi="Microsoft YaHei" w:eastAsia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icrosoft YaHei" w:hAnsi="Microsoft YaHei" w:eastAsia="Microsoft YaHei"/>
    </w:rPr>
  </w:style>
  <w:style w:default="1" w:styleId="DefaultParagraphFont" w:type="character">
    <w:name w:val="Default Paragraph Font"/>
    <w:semiHidden/>
    <w:unhideWhenUsed/>
    <w:rPr>
      <w:rFonts w:ascii="Microsoft YaHei" w:hAnsi="Microsoft YaHei" w:eastAsia="Microsoft YaHei"/>
    </w:rPr>
  </w:style>
  <w:style w:default="1" w:styleId="Table" w:type="table">
    <w:name w:val="Table"/>
    <w:basedOn w:val="TableNormal"/>
    <w:semiHidden/>
    <w:unhideWhenUsed/>
    <w:qFormat/>
    <w:rPr>
      <w:rFonts w:ascii="Microsoft YaHei" w:hAnsi="Microsoft YaHei" w:eastAsia="Microsoft Ya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icrosoft YaHei" w:hAnsi="Microsoft YaHei" w:eastAsia="Microsoft YaHei"/>
      <w:b/>
    </w:rPr>
  </w:style>
  <w:style w:customStyle="1" w:styleId="Definition" w:type="paragraph">
    <w:name w:val="Definition"/>
    <w:basedOn w:val="Normal"/>
    <w:rPr>
      <w:rFonts w:ascii="Microsoft YaHei" w:hAnsi="Microsoft YaHei" w:eastAsia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icrosoft YaHei" w:hAnsi="Microsoft YaHei" w:eastAsia="Microsoft YaHei"/>
      <w:i/>
    </w:rPr>
  </w:style>
  <w:style w:customStyle="1" w:styleId="TableCaption" w:type="paragraph">
    <w:name w:val="Table Caption"/>
    <w:basedOn w:val="Caption"/>
    <w:pPr>
      <w:keepNext/>
    </w:pPr>
    <w:rPr>
      <w:rFonts w:ascii="Microsoft YaHei" w:hAnsi="Microsoft YaHei" w:eastAsia="Microsoft YaHei"/>
    </w:rPr>
  </w:style>
  <w:style w:customStyle="1" w:styleId="ImageCaption" w:type="paragraph">
    <w:name w:val="Image Caption"/>
    <w:basedOn w:val="Caption"/>
    <w:rPr>
      <w:rFonts w:ascii="Microsoft YaHei" w:hAnsi="Microsoft YaHei" w:eastAsia="Microsoft YaHei"/>
    </w:rPr>
  </w:style>
  <w:style w:customStyle="1" w:styleId="Figure" w:type="paragraph">
    <w:name w:val="Figure"/>
    <w:basedOn w:val="Normal"/>
    <w:rPr>
      <w:rFonts w:ascii="Microsoft YaHei" w:hAnsi="Microsoft YaHei" w:eastAsia="Microsoft YaHei"/>
    </w:rPr>
  </w:style>
  <w:style w:customStyle="1" w:styleId="CaptionedFigure" w:type="paragraph">
    <w:name w:val="Captioned Figure"/>
    <w:basedOn w:val="Figure"/>
    <w:pPr>
      <w:keepNext/>
    </w:pPr>
    <w:rPr>
      <w:rFonts w:ascii="Microsoft YaHei" w:hAnsi="Microsoft YaHei" w:eastAsia="Microsoft YaHei"/>
    </w:rPr>
  </w:style>
  <w:style w:customStyle="1" w:styleId="BodyTextChar" w:type="character">
    <w:name w:val="Body Text Char"/>
    <w:basedOn w:val="DefaultParagraphFont"/>
    <w:link w:val="BodyText"/>
    <w:rPr>
      <w:rFonts w:ascii="Microsoft YaHei" w:hAnsi="Microsoft YaHei" w:eastAsia="Microsoft YaHei"/>
    </w:rPr>
  </w:style>
  <w:style w:customStyle="1" w:styleId="VerbatimChar" w:type="character">
    <w:name w:val="Verbatim Char"/>
    <w:basedOn w:val="BodyTextChar"/>
    <w:rPr>
      <w:rFonts w:ascii="Microsoft YaHei" w:hAnsi="Microsoft YaHei" w:eastAsia="Microsoft YaHei"/>
      <w:sz w:val="22"/>
    </w:rPr>
  </w:style>
  <w:style w:customStyle="1" w:styleId="SectionNumber" w:type="character">
    <w:name w:val="Section Number"/>
    <w:basedOn w:val="BodyTextChar"/>
    <w:rPr>
      <w:rFonts w:ascii="Microsoft YaHei" w:hAnsi="Microsoft YaHei" w:eastAsia="Microsoft YaHei"/>
    </w:rPr>
  </w:style>
  <w:style w:styleId="FootnoteReference" w:type="character">
    <w:name w:val="Footnote Reference"/>
    <w:basedOn w:val="BodyTextChar"/>
    <w:rPr>
      <w:rFonts w:ascii="Microsoft YaHei" w:hAnsi="Microsoft YaHei" w:eastAsia="Microsoft YaHei"/>
      <w:vertAlign w:val="superscript"/>
    </w:rPr>
  </w:style>
  <w:style w:styleId="Hyperlink" w:type="character">
    <w:name w:val="Hyperlink"/>
    <w:basedOn w:val="BodyTextChar"/>
    <w:rPr>
      <w:rFonts w:ascii="Microsoft YaHei" w:hAnsi="Microsoft YaHei" w:eastAsia="Microsoft Ya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Microsoft YaHei" w:hAnsi="Microsoft YaHe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icrosoft YaHei" w:hAnsi="Microsoft YaHei" w:eastAsia="Microsoft YaHei"/>
    </w:rPr>
  </w:style>
  <w:style w:type="character" w:customStyle="1" w:styleId="KeywordTok">
    <w:name w:val="Keyword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DataTypeTok">
    <w:name w:val="DataTypeTok"/>
    <w:basedOn w:val="VerbatimChar"/>
    <w:rPr>
      <w:rFonts w:ascii="Microsoft YaHei" w:hAnsi="Microsoft YaHei" w:eastAsia="Microsoft YaHei"/>
      <w:color w:val="902000"/>
    </w:rPr>
  </w:style>
  <w:style w:type="character" w:customStyle="1" w:styleId="DecValTok">
    <w:name w:val="DecValTok"/>
    <w:basedOn w:val="VerbatimChar"/>
    <w:rPr>
      <w:rFonts w:ascii="Microsoft YaHei" w:hAnsi="Microsoft YaHei" w:eastAsia="Microsoft YaHei"/>
      <w:color w:val="40a070"/>
    </w:rPr>
  </w:style>
  <w:style w:type="character" w:customStyle="1" w:styleId="BaseNTok">
    <w:name w:val="BaseNTok"/>
    <w:basedOn w:val="VerbatimChar"/>
    <w:rPr>
      <w:rFonts w:ascii="Microsoft YaHei" w:hAnsi="Microsoft YaHei" w:eastAsia="Microsoft YaHei"/>
      <w:color w:val="40a070"/>
    </w:rPr>
  </w:style>
  <w:style w:type="character" w:customStyle="1" w:styleId="FloatTok">
    <w:name w:val="FloatTok"/>
    <w:basedOn w:val="VerbatimChar"/>
    <w:rPr>
      <w:rFonts w:ascii="Microsoft YaHei" w:hAnsi="Microsoft YaHei" w:eastAsia="Microsoft YaHei"/>
      <w:color w:val="40a070"/>
    </w:rPr>
  </w:style>
  <w:style w:type="character" w:customStyle="1" w:styleId="ConstantTok">
    <w:name w:val="ConstantTok"/>
    <w:basedOn w:val="VerbatimChar"/>
    <w:rPr>
      <w:rFonts w:ascii="Microsoft YaHei" w:hAnsi="Microsoft YaHei" w:eastAsia="Microsoft YaHei"/>
      <w:color w:val="880000"/>
    </w:rPr>
  </w:style>
  <w:style w:type="character" w:customStyle="1" w:styleId="CharTok">
    <w:name w:val="Char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CharTok">
    <w:name w:val="SpecialCharTok"/>
    <w:basedOn w:val="VerbatimChar"/>
    <w:rPr>
      <w:rFonts w:ascii="Microsoft YaHei" w:hAnsi="Microsoft YaHei" w:eastAsia="Microsoft YaHei"/>
      <w:color w:val="4070a0"/>
    </w:rPr>
  </w:style>
  <w:style w:type="character" w:customStyle="1" w:styleId="StringTok">
    <w:name w:val="StringTok"/>
    <w:basedOn w:val="VerbatimChar"/>
    <w:rPr>
      <w:rFonts w:ascii="Microsoft YaHei" w:hAnsi="Microsoft YaHei" w:eastAsia="Microsoft YaHei"/>
      <w:color w:val="4070a0"/>
    </w:rPr>
  </w:style>
  <w:style w:type="character" w:customStyle="1" w:styleId="VerbatimStringTok">
    <w:name w:val="VerbatimString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StringTok">
    <w:name w:val="SpecialStringTok"/>
    <w:basedOn w:val="VerbatimChar"/>
    <w:rPr>
      <w:rFonts w:ascii="Microsoft YaHei" w:hAnsi="Microsoft YaHei" w:eastAsia="Microsoft YaHei"/>
      <w:color w:val="bb6688"/>
    </w:rPr>
  </w:style>
  <w:style w:type="character" w:customStyle="1" w:styleId="ImportTok">
    <w:name w:val="ImportTok"/>
    <w:basedOn w:val="VerbatimChar"/>
    <w:rPr>
      <w:color w:val="008000"/>
      <w:rFonts w:ascii="Microsoft YaHei" w:hAnsi="Microsoft YaHei" w:eastAsia="Microsoft YaHei"/>
      <w:b/>
    </w:rPr>
  </w:style>
  <w:style w:type="character" w:customStyle="1" w:styleId="CommentTok">
    <w:name w:val="CommentTok"/>
    <w:basedOn w:val="VerbatimChar"/>
    <w:rPr>
      <w:color w:val="60a0b0"/>
      <w:rFonts w:ascii="Microsoft YaHei" w:hAnsi="Microsoft YaHei" w:eastAsia="Microsoft YaHei"/>
      <w:i/>
    </w:rPr>
  </w:style>
  <w:style w:type="character" w:customStyle="1" w:styleId="DocumentationTok">
    <w:name w:val="DocumentationTok"/>
    <w:basedOn w:val="VerbatimChar"/>
    <w:rPr>
      <w:color w:val="ba2121"/>
      <w:rFonts w:ascii="Microsoft YaHei" w:hAnsi="Microsoft YaHei" w:eastAsia="Microsoft YaHei"/>
      <w:i/>
    </w:rPr>
  </w:style>
  <w:style w:type="character" w:customStyle="1" w:styleId="AnnotationTok">
    <w:name w:val="Annot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CommentVarTok">
    <w:name w:val="CommentVar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OtherTok">
    <w:name w:val="OtherTok"/>
    <w:basedOn w:val="VerbatimChar"/>
    <w:rPr>
      <w:rFonts w:ascii="Microsoft YaHei" w:hAnsi="Microsoft YaHei" w:eastAsia="Microsoft YaHei"/>
      <w:color w:val="007020"/>
    </w:rPr>
  </w:style>
  <w:style w:type="character" w:customStyle="1" w:styleId="FunctionTok">
    <w:name w:val="FunctionTok"/>
    <w:basedOn w:val="VerbatimChar"/>
    <w:rPr>
      <w:rFonts w:ascii="Microsoft YaHei" w:hAnsi="Microsoft YaHei" w:eastAsia="Microsoft YaHei"/>
      <w:color w:val="06287e"/>
    </w:rPr>
  </w:style>
  <w:style w:type="character" w:customStyle="1" w:styleId="VariableTok">
    <w:name w:val="VariableTok"/>
    <w:basedOn w:val="VerbatimChar"/>
    <w:rPr>
      <w:rFonts w:ascii="Microsoft YaHei" w:hAnsi="Microsoft YaHei" w:eastAsia="Microsoft Ya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OperatorTok">
    <w:name w:val="OperatorTok"/>
    <w:basedOn w:val="VerbatimChar"/>
    <w:rPr>
      <w:rFonts w:ascii="Microsoft YaHei" w:hAnsi="Microsoft YaHei" w:eastAsia="Microsoft YaHei"/>
      <w:color w:val="666666"/>
    </w:rPr>
  </w:style>
  <w:style w:type="character" w:customStyle="1" w:styleId="BuiltInTok">
    <w:name w:val="BuiltInTok"/>
    <w:basedOn w:val="VerbatimChar"/>
    <w:rPr>
      <w:rFonts w:ascii="Microsoft YaHei" w:hAnsi="Microsoft YaHei" w:eastAsia="Microsoft YaHei"/>
      <w:color w:val="008000"/>
    </w:rPr>
  </w:style>
  <w:style w:type="character" w:customStyle="1" w:styleId="ExtensionTok">
    <w:name w:val="ExtensionTok"/>
    <w:basedOn w:val="VerbatimChar"/>
    <w:rPr>
      <w:rFonts w:ascii="Microsoft YaHei" w:hAnsi="Microsoft YaHei" w:eastAsia="Microsoft YaHei"/>
    </w:rPr>
  </w:style>
  <w:style w:type="character" w:customStyle="1" w:styleId="PreprocessorTok">
    <w:name w:val="PreprocessorTok"/>
    <w:basedOn w:val="VerbatimChar"/>
    <w:rPr>
      <w:rFonts w:ascii="Microsoft YaHei" w:hAnsi="Microsoft YaHei" w:eastAsia="Microsoft YaHei"/>
      <w:color w:val="bc7a00"/>
    </w:rPr>
  </w:style>
  <w:style w:type="character" w:customStyle="1" w:styleId="AttributeTok">
    <w:name w:val="AttributeTok"/>
    <w:basedOn w:val="VerbatimChar"/>
    <w:rPr>
      <w:rFonts w:ascii="Microsoft YaHei" w:hAnsi="Microsoft YaHei" w:eastAsia="Microsoft YaHei"/>
      <w:color w:val="7d9029"/>
    </w:rPr>
  </w:style>
  <w:style w:type="character" w:customStyle="1" w:styleId="RegionMarkerTok">
    <w:name w:val="RegionMarkerTok"/>
    <w:basedOn w:val="VerbatimChar"/>
    <w:rPr>
      <w:rFonts w:ascii="Microsoft YaHei" w:hAnsi="Microsoft YaHei" w:eastAsia="Microsoft YaHei"/>
    </w:rPr>
  </w:style>
  <w:style w:type="character" w:customStyle="1" w:styleId="InformationTok">
    <w:name w:val="Inform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WarningTok">
    <w:name w:val="Warning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AlertTok">
    <w:name w:val="Alert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ErrorTok">
    <w:name w:val="Error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NormalTok">
    <w:name w:val="NormalTok"/>
    <w:basedOn w:val="VerbatimChar"/>
    <w:rPr>
      <w:rFonts w:ascii="Microsoft YaHei" w:hAnsi="Microsoft YaHei" w:eastAsia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2026-05-28T01:25:44Z</dcterms:created>
  <dcterms:modified xsi:type="dcterms:W3CDTF">2026-05-28T01:25:44Z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