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自动控制原理-作业7线性主干边界与方法迁移判断"/>
    <w:p>
      <w:pPr>
        <w:pStyle w:val="Heading1"/>
      </w:pPr>
      <w:r>
        <w:rPr>
          <w:rFonts w:ascii="Microsoft YaHei" w:hAnsi="Microsoft YaHei" w:eastAsia="Microsoft YaHei"/>
        </w:rPr>
        <w:t xml:space="preserve">自动控制原理 作业7：线性主干边界与方法迁移判断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本次作业包含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道闭题与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道开放题，总分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100分</w:t>
      </w:r>
      <w:r>
        <w:rPr>
          <w:rFonts w:ascii="Microsoft YaHei" w:hAnsi="Microsoft YaHei" w:eastAsia="Microsoft YaHei"/>
        </w:rPr>
        <w:t xml:space="preserve">。</w:t>
      </w:r>
    </w:p>
    <w:bookmarkStart w:id="20" w:name="t7-1-线性主干边界与方法进入条件25分"/>
    <w:p>
      <w:pPr>
        <w:pStyle w:val="Heading2"/>
      </w:pPr>
      <w:r>
        <w:rPr>
          <w:rFonts w:ascii="Microsoft YaHei" w:hAnsi="Microsoft YaHei" w:eastAsia="Microsoft YaHei"/>
        </w:rPr>
        <w:t xml:space="preserve">T7-1 线性主干边界与方法进入条件（25分）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实验室面对同一类“伺服定位控制”任务：被控对象均为电机-负载系统，目标是在给定位置指令下实现稳定、快速、可验证的跟踪，并满足安全约束。工程组已有一套基于线性化模型的经典控制流程：建模、稳定性分析、时域/频域指标校核、参数整定与实验验证。现在出现以下四类证据：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场景A：小范围运行时，阶跃响应、频域裕度和扰动恢复均与线性模型预测基本一致；扩大到额定工作区后，指标仍满足任务要求。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场景B：接近行程边界时，执行器饱和明显，出现限幅后的恢复变慢；小范围线性指标仍好，但大范围响应与线性预测偏离。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场景C：对象结构复杂、负载变化频繁，精确机理建模代价高；历史运行数据覆盖了主要工况，但部分极端工况样本很少。</w:t>
      </w:r>
    </w:p>
    <w:p>
      <w:pPr>
        <w:numPr>
          <w:ilvl w:val="0"/>
          <w:numId w:val="1001"/>
        </w:numPr>
        <w:pStyle w:val="Compact"/>
      </w:pPr>
      <w:r>
        <w:rPr>
          <w:rFonts w:ascii="Microsoft YaHei" w:hAnsi="Microsoft YaHei" w:eastAsia="Microsoft YaHei"/>
        </w:rPr>
        <w:t xml:space="preserve">场景D：任务目标不是固定跟踪一个给定轨迹，而是在多种工况下自主选择动作以兼顾速度、能耗和安全；显式写出控制律十分困难，且试错有安全成本。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请回答以下问题：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判断线性主干在四个场景中分别应继续作为主方法、作为基线方法，还是已经暴露边界，并说明依据。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对场景B、C、D分别说明更合适的迁移方向：非线性边界分析、数据驱动方法、策略学习路线，或仍回到线性主干；要求写出进入条件和主要验证责任。</w:t>
      </w:r>
    </w:p>
    <w:p>
      <w:pPr>
        <w:numPr>
          <w:ilvl w:val="0"/>
          <w:numId w:val="1002"/>
        </w:numPr>
        <w:pStyle w:val="Compact"/>
      </w:pPr>
      <w:r>
        <w:rPr>
          <w:rFonts w:ascii="Microsoft YaHei" w:hAnsi="Microsoft YaHei" w:eastAsia="Microsoft YaHei"/>
        </w:rPr>
        <w:t xml:space="preserve">说明为什么“有数据就应该上学习方法”和“线性主干失效等于经典控制无价值”这两种说法都不成立。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约束：本题只考方法边界识别，不要求推导描述函数、相平面、MPC、RL或数据驱动算法。回答必须围绕对象边界、任务约束、验证证据和方法进入条件展开。</w:t>
      </w:r>
    </w:p>
    <w:bookmarkEnd w:id="20"/>
    <w:bookmarkStart w:id="21" w:name="t7-2-同题下的方法迁移与路线选择25分"/>
    <w:p>
      <w:pPr>
        <w:pStyle w:val="Heading2"/>
      </w:pPr>
      <w:r>
        <w:rPr>
          <w:rFonts w:ascii="Microsoft YaHei" w:hAnsi="Microsoft YaHei" w:eastAsia="Microsoft YaHei"/>
        </w:rPr>
        <w:t xml:space="preserve">T7-2 同题下的方法迁移与路线选择（25分）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某教学实验平台需要完成一个“单输入单输出执行机构的位置跟踪”任务。已知被控对象在小范围工作点附近近似线性，已有阶跃响应、扰动恢复和稳态误差记录；当前要求是在不改变硬件和安全联锁的前提下，把跟踪误差、扰动恢复时间和调试工作量控制在可解释、可验收的范围内。平台还会持续积累运行数据，但目前数据只覆盖常见给定信号和中等负载，极端负载与传感器异常样本较少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只能在下列三条路线中选择和比较，不得新增外部路线：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A. 经典控制路线：以线性模型、频域/时域指标和补偿器整定为主，必要时做小范围参数修正。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B. 数据驱动路线：利用已采集数据修正模型、识别边界或辅助整定，但仍保留显式控制结构和验收指标。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C. 策略学习路线：在仿真或受限环境中学习控制策略，用于显式控制律难以预设、工况组合复杂的场景。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请完成结构化设计判断：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给出你的首选路线，并说明它与当前任务条件的匹配关系。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比较 A、B、C 三条路线的主要收益和主要风险。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从可解释性、验证代价和工程责任角度说明你的判断。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给出从首选路线向更高级路线迁移的条件，以及“不应升级”的条件。</w:t>
      </w:r>
    </w:p>
    <w:p>
      <w:pPr>
        <w:numPr>
          <w:ilvl w:val="0"/>
          <w:numId w:val="1003"/>
        </w:numPr>
        <w:pStyle w:val="Compact"/>
      </w:pPr>
      <w:r>
        <w:rPr>
          <w:rFonts w:ascii="Microsoft YaHei" w:hAnsi="Microsoft YaHei" w:eastAsia="Microsoft YaHei"/>
        </w:rPr>
        <w:t xml:space="preserve">明确说明本题中哪些外部路线、算法推导或实现内容不应展开。</w:t>
      </w:r>
    </w:p>
    <w:bookmarkEnd w:id="21"/>
    <w:bookmarkStart w:id="22" w:name="o7-最终完整控制方案50分"/>
    <w:p>
      <w:pPr>
        <w:pStyle w:val="Heading2"/>
      </w:pPr>
      <w:r>
        <w:rPr>
          <w:rFonts w:ascii="Microsoft YaHei" w:hAnsi="Microsoft YaHei" w:eastAsia="Microsoft YaHei"/>
        </w:rPr>
        <w:t xml:space="preserve">O7 最终完整控制方案（50分）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请沿用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的同一自选控制对象，提交一份最终完整控制方案。不得更换对象，不得另起一套与前六次无关的新方案；若前序作业中曾调整参数或模型，应说明调整发生在哪一次以及理由。</w:t>
      </w:r>
    </w:p>
    <w:p>
      <w:pPr>
        <w:pStyle w:val="BodyText"/>
      </w:pPr>
      <w:r>
        <w:rPr>
          <w:rFonts w:ascii="Microsoft YaHei" w:hAnsi="Microsoft YaHei" w:eastAsia="Microsoft YaHei"/>
        </w:rPr>
        <w:t xml:space="preserve">提交内容：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主体正文不超过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1200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字，必须覆盖问题定义、基线模型、机理诊断、结构比较、初始方案、优化与迁移、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最终方案、当前方案边界、进一步升级路径。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提交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2-3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张总览图/表，例如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O1-O6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继承链表、最终控制结构总览图、关键证据矩阵。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提交最终核心仿真结果图，至少比较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O5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原基线方案、迁移后未修正方案、</w:t>
      </w:r>
      <w:r>
        <w:rPr>
          <w:rStyle w:val="VerbatimChar"/>
          <w:rFonts w:ascii="Microsoft YaHei" w:hAnsi="Microsoft YaHei" w:eastAsia="Microsoft YaHei"/>
        </w:rPr>
        <w:t xml:space="preserve">O7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最终修正版方案，并提交可运行的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MATLAB/Octave</w:t>
      </w:r>
      <w:r>
        <w:rPr>
          <w:rFonts w:ascii="Microsoft YaHei" w:hAnsi="Microsoft YaHei" w:eastAsia="Microsoft YaHei"/>
        </w:rPr>
        <w:t xml:space="preserve"> </w:t>
      </w:r>
      <w:r>
        <w:rPr>
          <w:rFonts w:ascii="Microsoft YaHei" w:hAnsi="Microsoft YaHei" w:eastAsia="Microsoft YaHei"/>
        </w:rPr>
        <w:t xml:space="preserve">代码。</w:t>
      </w:r>
    </w:p>
    <w:p>
      <w:pPr>
        <w:numPr>
          <w:ilvl w:val="0"/>
          <w:numId w:val="1004"/>
        </w:numPr>
        <w:pStyle w:val="Compact"/>
      </w:pPr>
      <w:r>
        <w:rPr>
          <w:rFonts w:ascii="Microsoft YaHei" w:hAnsi="Microsoft YaHei" w:eastAsia="Microsoft YaHei"/>
        </w:rPr>
        <w:t xml:space="preserve">提交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AI 使用记录摘要</w:t>
      </w:r>
      <w:r>
        <w:rPr>
          <w:rFonts w:ascii="Microsoft YaHei" w:hAnsi="Microsoft YaHei" w:eastAsia="Microsoft YaHei"/>
        </w:rPr>
        <w:t xml:space="preserve">，说明 AI 用于哪些环节、人工核查了哪些结论、哪些内容由本人最终负责。</w:t>
      </w:r>
    </w:p>
    <w:p>
      <w:pPr>
        <w:pStyle w:val="FirstParagraph"/>
      </w:pPr>
      <w:r>
        <w:rPr>
          <w:rFonts w:ascii="Microsoft YaHei" w:hAnsi="Microsoft YaHei" w:eastAsia="Microsoft YaHei"/>
        </w:rPr>
        <w:t xml:space="preserve">允许讨论</w:t>
      </w:r>
      <w:r>
        <w:rPr>
          <w:rFonts w:ascii="Microsoft YaHei" w:hAnsi="Microsoft YaHei" w:eastAsia="Microsoft YaHei"/>
        </w:rPr>
        <w:t xml:space="preserve"> </w:t>
      </w:r>
      <w:r>
        <w:rPr>
          <w:rStyle w:val="VerbatimChar"/>
          <w:rFonts w:ascii="Microsoft YaHei" w:hAnsi="Microsoft YaHei" w:eastAsia="Microsoft YaHei"/>
        </w:rPr>
        <w:t xml:space="preserve">MPC</w:t>
      </w:r>
      <w:r>
        <w:rPr>
          <w:rFonts w:ascii="Microsoft YaHei" w:hAnsi="Microsoft YaHei" w:eastAsia="Microsoft YaHei"/>
        </w:rPr>
        <w:t xml:space="preserve">、数据驱动控制或强化学习作为未来升级方向，但只能说明进入条件、预期收益、风险和验证责任；不得把这些方法写成已实现算法，不得提交训练流程或调参竞赛式内容。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Microsoft YaHei" w:hAnsi="Microsoft YaHei" w:eastAsia="Microsoft YaHei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Microsoft YaHei" w:hAnsi="Microsoft YaHei" w:eastAsia="Microsoft YaHei"/>
    </w:rPr>
  </w:style>
  <w:style w:customStyle="1" w:styleId="FirstParagraph" w:type="paragraph">
    <w:name w:val="First Paragraph"/>
    <w:basedOn w:val="BodyText"/>
    <w:next w:val="BodyText"/>
    <w:qFormat/>
    <w:rPr>
      <w:rFonts w:ascii="Microsoft YaHei" w:hAnsi="Microsoft YaHei" w:eastAsia="Microsoft YaHe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Microsoft YaHei" w:hAnsi="Microsoft YaHei" w:eastAsia="Microsoft YaHe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Microsoft YaHei" w:hAnsi="Microsoft YaHei" w:eastAsia="Microsoft YaHe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Microsoft YaHei" w:hAnsi="Microsoft YaHei" w:eastAsia="Microsoft YaHe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Microsoft YaHei" w:hAnsi="Microsoft YaHei" w:eastAsia="Microsoft YaHe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Microsoft YaHei" w:hAnsi="Microsoft YaHei" w:eastAsia="Microsoft YaHe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Microsoft YaHei" w:hAnsi="Microsoft YaHei" w:eastAsia="Microsoft YaHe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Microsoft YaHei" w:hAnsi="Microsoft YaHei" w:eastAsia="Microsoft YaHe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Microsoft YaHei" w:hAnsi="Microsoft YaHei" w:eastAsia="Microsoft YaHe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Microsoft YaHei" w:hAnsi="Microsoft YaHei" w:eastAsia="Microsoft YaHe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Microsoft YaHei" w:hAnsi="Microsoft YaHei" w:eastAsia="Microsoft YaHe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Microsoft YaHei" w:hAnsi="Microsoft YaHei" w:eastAsia="Microsoft YaHe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Microsoft YaHei" w:hAnsi="Microsoft YaHei" w:eastAsia="Microsoft YaHei"/>
    </w:rPr>
  </w:style>
  <w:style w:default="1" w:styleId="DefaultParagraphFont" w:type="character">
    <w:name w:val="Default Paragraph Font"/>
    <w:semiHidden/>
    <w:unhideWhenUsed/>
    <w:rPr>
      <w:rFonts w:ascii="Microsoft YaHei" w:hAnsi="Microsoft YaHei" w:eastAsia="Microsoft YaHei"/>
    </w:rPr>
  </w:style>
  <w:style w:default="1" w:styleId="Table" w:type="table">
    <w:name w:val="Table"/>
    <w:basedOn w:val="TableNormal"/>
    <w:semiHidden/>
    <w:unhideWhenUsed/>
    <w:qFormat/>
    <w:rPr>
      <w:rFonts w:ascii="Microsoft YaHei" w:hAnsi="Microsoft YaHei" w:eastAsia="Microsoft YaHe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Microsoft YaHei" w:hAnsi="Microsoft YaHei" w:eastAsia="Microsoft YaHei"/>
      <w:b/>
    </w:rPr>
  </w:style>
  <w:style w:customStyle="1" w:styleId="Definition" w:type="paragraph">
    <w:name w:val="Definition"/>
    <w:basedOn w:val="Normal"/>
    <w:rPr>
      <w:rFonts w:ascii="Microsoft YaHei" w:hAnsi="Microsoft YaHei" w:eastAsia="Microsoft YaHe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Microsoft YaHei" w:hAnsi="Microsoft YaHei" w:eastAsia="Microsoft YaHei"/>
      <w:i/>
    </w:rPr>
  </w:style>
  <w:style w:customStyle="1" w:styleId="TableCaption" w:type="paragraph">
    <w:name w:val="Table Caption"/>
    <w:basedOn w:val="Caption"/>
    <w:pPr>
      <w:keepNext/>
    </w:pPr>
    <w:rPr>
      <w:rFonts w:ascii="Microsoft YaHei" w:hAnsi="Microsoft YaHei" w:eastAsia="Microsoft YaHei"/>
    </w:rPr>
  </w:style>
  <w:style w:customStyle="1" w:styleId="ImageCaption" w:type="paragraph">
    <w:name w:val="Image Caption"/>
    <w:basedOn w:val="Caption"/>
    <w:rPr>
      <w:rFonts w:ascii="Microsoft YaHei" w:hAnsi="Microsoft YaHei" w:eastAsia="Microsoft YaHei"/>
    </w:rPr>
  </w:style>
  <w:style w:customStyle="1" w:styleId="Figure" w:type="paragraph">
    <w:name w:val="Figure"/>
    <w:basedOn w:val="Normal"/>
    <w:rPr>
      <w:rFonts w:ascii="Microsoft YaHei" w:hAnsi="Microsoft YaHei" w:eastAsia="Microsoft YaHei"/>
    </w:rPr>
  </w:style>
  <w:style w:customStyle="1" w:styleId="CaptionedFigure" w:type="paragraph">
    <w:name w:val="Captioned Figure"/>
    <w:basedOn w:val="Figure"/>
    <w:pPr>
      <w:keepNext/>
    </w:pPr>
    <w:rPr>
      <w:rFonts w:ascii="Microsoft YaHei" w:hAnsi="Microsoft YaHei" w:eastAsia="Microsoft YaHei"/>
    </w:rPr>
  </w:style>
  <w:style w:customStyle="1" w:styleId="BodyTextChar" w:type="character">
    <w:name w:val="Body Text Char"/>
    <w:basedOn w:val="DefaultParagraphFont"/>
    <w:link w:val="BodyText"/>
    <w:rPr>
      <w:rFonts w:ascii="Microsoft YaHei" w:hAnsi="Microsoft YaHei" w:eastAsia="Microsoft YaHei"/>
    </w:rPr>
  </w:style>
  <w:style w:customStyle="1" w:styleId="VerbatimChar" w:type="character">
    <w:name w:val="Verbatim Char"/>
    <w:basedOn w:val="BodyTextChar"/>
    <w:rPr>
      <w:rFonts w:ascii="Microsoft YaHei" w:hAnsi="Microsoft YaHei" w:eastAsia="Microsoft YaHei"/>
      <w:sz w:val="22"/>
    </w:rPr>
  </w:style>
  <w:style w:customStyle="1" w:styleId="SectionNumber" w:type="character">
    <w:name w:val="Section Number"/>
    <w:basedOn w:val="BodyTextChar"/>
    <w:rPr>
      <w:rFonts w:ascii="Microsoft YaHei" w:hAnsi="Microsoft YaHei" w:eastAsia="Microsoft YaHei"/>
    </w:rPr>
  </w:style>
  <w:style w:styleId="FootnoteReference" w:type="character">
    <w:name w:val="Footnote Reference"/>
    <w:basedOn w:val="BodyTextChar"/>
    <w:rPr>
      <w:rFonts w:ascii="Microsoft YaHei" w:hAnsi="Microsoft YaHei" w:eastAsia="Microsoft YaHei"/>
      <w:vertAlign w:val="superscript"/>
    </w:rPr>
  </w:style>
  <w:style w:styleId="Hyperlink" w:type="character">
    <w:name w:val="Hyperlink"/>
    <w:basedOn w:val="BodyTextChar"/>
    <w:rPr>
      <w:rFonts w:ascii="Microsoft YaHei" w:hAnsi="Microsoft YaHei" w:eastAsia="Microsoft YaHe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Microsoft YaHei" w:hAnsi="Microsoft YaHe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Microsoft YaHei" w:hAnsi="Microsoft YaHei" w:eastAsia="Microsoft YaHei"/>
    </w:rPr>
  </w:style>
  <w:style w:type="character" w:customStyle="1" w:styleId="KeywordTok">
    <w:name w:val="Keyword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DataTypeTok">
    <w:name w:val="DataTypeTok"/>
    <w:basedOn w:val="VerbatimChar"/>
    <w:rPr>
      <w:rFonts w:ascii="Microsoft YaHei" w:hAnsi="Microsoft YaHei" w:eastAsia="Microsoft YaHei"/>
      <w:color w:val="902000"/>
    </w:rPr>
  </w:style>
  <w:style w:type="character" w:customStyle="1" w:styleId="DecValTok">
    <w:name w:val="DecValTok"/>
    <w:basedOn w:val="VerbatimChar"/>
    <w:rPr>
      <w:rFonts w:ascii="Microsoft YaHei" w:hAnsi="Microsoft YaHei" w:eastAsia="Microsoft YaHei"/>
      <w:color w:val="40a070"/>
    </w:rPr>
  </w:style>
  <w:style w:type="character" w:customStyle="1" w:styleId="BaseNTok">
    <w:name w:val="BaseNTok"/>
    <w:basedOn w:val="VerbatimChar"/>
    <w:rPr>
      <w:rFonts w:ascii="Microsoft YaHei" w:hAnsi="Microsoft YaHei" w:eastAsia="Microsoft YaHei"/>
      <w:color w:val="40a070"/>
    </w:rPr>
  </w:style>
  <w:style w:type="character" w:customStyle="1" w:styleId="FloatTok">
    <w:name w:val="FloatTok"/>
    <w:basedOn w:val="VerbatimChar"/>
    <w:rPr>
      <w:rFonts w:ascii="Microsoft YaHei" w:hAnsi="Microsoft YaHei" w:eastAsia="Microsoft YaHei"/>
      <w:color w:val="40a070"/>
    </w:rPr>
  </w:style>
  <w:style w:type="character" w:customStyle="1" w:styleId="ConstantTok">
    <w:name w:val="ConstantTok"/>
    <w:basedOn w:val="VerbatimChar"/>
    <w:rPr>
      <w:rFonts w:ascii="Microsoft YaHei" w:hAnsi="Microsoft YaHei" w:eastAsia="Microsoft YaHei"/>
      <w:color w:val="880000"/>
    </w:rPr>
  </w:style>
  <w:style w:type="character" w:customStyle="1" w:styleId="CharTok">
    <w:name w:val="Char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CharTok">
    <w:name w:val="SpecialCharTok"/>
    <w:basedOn w:val="VerbatimChar"/>
    <w:rPr>
      <w:rFonts w:ascii="Microsoft YaHei" w:hAnsi="Microsoft YaHei" w:eastAsia="Microsoft YaHei"/>
      <w:color w:val="4070a0"/>
    </w:rPr>
  </w:style>
  <w:style w:type="character" w:customStyle="1" w:styleId="StringTok">
    <w:name w:val="StringTok"/>
    <w:basedOn w:val="VerbatimChar"/>
    <w:rPr>
      <w:rFonts w:ascii="Microsoft YaHei" w:hAnsi="Microsoft YaHei" w:eastAsia="Microsoft YaHei"/>
      <w:color w:val="4070a0"/>
    </w:rPr>
  </w:style>
  <w:style w:type="character" w:customStyle="1" w:styleId="VerbatimStringTok">
    <w:name w:val="VerbatimStringTok"/>
    <w:basedOn w:val="VerbatimChar"/>
    <w:rPr>
      <w:rFonts w:ascii="Microsoft YaHei" w:hAnsi="Microsoft YaHei" w:eastAsia="Microsoft YaHei"/>
      <w:color w:val="4070a0"/>
    </w:rPr>
  </w:style>
  <w:style w:type="character" w:customStyle="1" w:styleId="SpecialStringTok">
    <w:name w:val="SpecialStringTok"/>
    <w:basedOn w:val="VerbatimChar"/>
    <w:rPr>
      <w:rFonts w:ascii="Microsoft YaHei" w:hAnsi="Microsoft YaHei" w:eastAsia="Microsoft YaHei"/>
      <w:color w:val="bb6688"/>
    </w:rPr>
  </w:style>
  <w:style w:type="character" w:customStyle="1" w:styleId="ImportTok">
    <w:name w:val="ImportTok"/>
    <w:basedOn w:val="VerbatimChar"/>
    <w:rPr>
      <w:color w:val="008000"/>
      <w:rFonts w:ascii="Microsoft YaHei" w:hAnsi="Microsoft YaHei" w:eastAsia="Microsoft YaHei"/>
      <w:b/>
    </w:rPr>
  </w:style>
  <w:style w:type="character" w:customStyle="1" w:styleId="CommentTok">
    <w:name w:val="CommentTok"/>
    <w:basedOn w:val="VerbatimChar"/>
    <w:rPr>
      <w:color w:val="60a0b0"/>
      <w:rFonts w:ascii="Microsoft YaHei" w:hAnsi="Microsoft YaHei" w:eastAsia="Microsoft YaHei"/>
      <w:i/>
    </w:rPr>
  </w:style>
  <w:style w:type="character" w:customStyle="1" w:styleId="DocumentationTok">
    <w:name w:val="DocumentationTok"/>
    <w:basedOn w:val="VerbatimChar"/>
    <w:rPr>
      <w:color w:val="ba2121"/>
      <w:rFonts w:ascii="Microsoft YaHei" w:hAnsi="Microsoft YaHei" w:eastAsia="Microsoft YaHei"/>
      <w:i/>
    </w:rPr>
  </w:style>
  <w:style w:type="character" w:customStyle="1" w:styleId="AnnotationTok">
    <w:name w:val="Annot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CommentVarTok">
    <w:name w:val="CommentVar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OtherTok">
    <w:name w:val="OtherTok"/>
    <w:basedOn w:val="VerbatimChar"/>
    <w:rPr>
      <w:rFonts w:ascii="Microsoft YaHei" w:hAnsi="Microsoft YaHei" w:eastAsia="Microsoft YaHei"/>
      <w:color w:val="007020"/>
    </w:rPr>
  </w:style>
  <w:style w:type="character" w:customStyle="1" w:styleId="FunctionTok">
    <w:name w:val="FunctionTok"/>
    <w:basedOn w:val="VerbatimChar"/>
    <w:rPr>
      <w:rFonts w:ascii="Microsoft YaHei" w:hAnsi="Microsoft YaHei" w:eastAsia="Microsoft YaHei"/>
      <w:color w:val="06287e"/>
    </w:rPr>
  </w:style>
  <w:style w:type="character" w:customStyle="1" w:styleId="VariableTok">
    <w:name w:val="VariableTok"/>
    <w:basedOn w:val="VerbatimChar"/>
    <w:rPr>
      <w:rFonts w:ascii="Microsoft YaHei" w:hAnsi="Microsoft YaHei" w:eastAsia="Microsoft YaHei"/>
      <w:color w:val="19177c"/>
    </w:rPr>
  </w:style>
  <w:style w:type="character" w:customStyle="1" w:styleId="ControlFlowTok">
    <w:name w:val="ControlFlowTok"/>
    <w:basedOn w:val="VerbatimChar"/>
    <w:rPr>
      <w:color w:val="007020"/>
      <w:rFonts w:ascii="Microsoft YaHei" w:hAnsi="Microsoft YaHei" w:eastAsia="Microsoft YaHei"/>
      <w:b/>
    </w:rPr>
  </w:style>
  <w:style w:type="character" w:customStyle="1" w:styleId="OperatorTok">
    <w:name w:val="OperatorTok"/>
    <w:basedOn w:val="VerbatimChar"/>
    <w:rPr>
      <w:rFonts w:ascii="Microsoft YaHei" w:hAnsi="Microsoft YaHei" w:eastAsia="Microsoft YaHei"/>
      <w:color w:val="666666"/>
    </w:rPr>
  </w:style>
  <w:style w:type="character" w:customStyle="1" w:styleId="BuiltInTok">
    <w:name w:val="BuiltInTok"/>
    <w:basedOn w:val="VerbatimChar"/>
    <w:rPr>
      <w:rFonts w:ascii="Microsoft YaHei" w:hAnsi="Microsoft YaHei" w:eastAsia="Microsoft YaHei"/>
      <w:color w:val="008000"/>
    </w:rPr>
  </w:style>
  <w:style w:type="character" w:customStyle="1" w:styleId="ExtensionTok">
    <w:name w:val="ExtensionTok"/>
    <w:basedOn w:val="VerbatimChar"/>
    <w:rPr>
      <w:rFonts w:ascii="Microsoft YaHei" w:hAnsi="Microsoft YaHei" w:eastAsia="Microsoft YaHei"/>
    </w:rPr>
  </w:style>
  <w:style w:type="character" w:customStyle="1" w:styleId="PreprocessorTok">
    <w:name w:val="PreprocessorTok"/>
    <w:basedOn w:val="VerbatimChar"/>
    <w:rPr>
      <w:rFonts w:ascii="Microsoft YaHei" w:hAnsi="Microsoft YaHei" w:eastAsia="Microsoft YaHei"/>
      <w:color w:val="bc7a00"/>
    </w:rPr>
  </w:style>
  <w:style w:type="character" w:customStyle="1" w:styleId="AttributeTok">
    <w:name w:val="AttributeTok"/>
    <w:basedOn w:val="VerbatimChar"/>
    <w:rPr>
      <w:rFonts w:ascii="Microsoft YaHei" w:hAnsi="Microsoft YaHei" w:eastAsia="Microsoft YaHei"/>
      <w:color w:val="7d9029"/>
    </w:rPr>
  </w:style>
  <w:style w:type="character" w:customStyle="1" w:styleId="RegionMarkerTok">
    <w:name w:val="RegionMarkerTok"/>
    <w:basedOn w:val="VerbatimChar"/>
    <w:rPr>
      <w:rFonts w:ascii="Microsoft YaHei" w:hAnsi="Microsoft YaHei" w:eastAsia="Microsoft YaHei"/>
    </w:rPr>
  </w:style>
  <w:style w:type="character" w:customStyle="1" w:styleId="InformationTok">
    <w:name w:val="Information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WarningTok">
    <w:name w:val="WarningTok"/>
    <w:basedOn w:val="VerbatimChar"/>
    <w:rPr>
      <w:color w:val="60a0b0"/>
      <w:rFonts w:ascii="Microsoft YaHei" w:hAnsi="Microsoft YaHei" w:eastAsia="Microsoft YaHei"/>
      <w:b/>
      <w:i/>
    </w:rPr>
  </w:style>
  <w:style w:type="character" w:customStyle="1" w:styleId="AlertTok">
    <w:name w:val="Alert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ErrorTok">
    <w:name w:val="ErrorTok"/>
    <w:basedOn w:val="VerbatimChar"/>
    <w:rPr>
      <w:color w:val="ff0000"/>
      <w:rFonts w:ascii="Microsoft YaHei" w:hAnsi="Microsoft YaHei" w:eastAsia="Microsoft YaHei"/>
      <w:b/>
    </w:rPr>
  </w:style>
  <w:style w:type="character" w:customStyle="1" w:styleId="NormalTok">
    <w:name w:val="NormalTok"/>
    <w:basedOn w:val="VerbatimChar"/>
    <w:rPr>
      <w:rFonts w:ascii="Microsoft YaHei" w:hAnsi="Microsoft YaHei" w:eastAsia="Microsoft YaHe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2026-05-28T01:25:44Z</dcterms:created>
  <dcterms:modified xsi:type="dcterms:W3CDTF">2026-05-28T01:25:44Z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