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兰勇斌</w:t>
      </w:r>
      <w:r>
        <w:drawing>
          <wp:anchor distT="0" distB="0" distL="100000" distR="0" simplePos="0" relativeHeight="1" behindDoc="0" locked="0" layoutInCell="1" allowOverlap="1">
            <wp:simplePos x="0" y="0"/>
            <wp:positionH relativeFrom="column">
              <wp:posOffset>5212080</wp:posOffset>
            </wp:positionH>
            <wp:positionV relativeFrom="paragraph">
              <wp:posOffset>0</wp:posOffset>
            </wp:positionV>
            <wp:extent cx="1024128" cy="1024128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portrai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102412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ubtitle"/>
        <w:ind w:right="1843"/>
      </w:pPr>
      <w:r>
        <w:t>AI 自动化应用专家</w:t>
      </w:r>
    </w:p>
    <w:p>
      <w:pPr>
        <w:ind w:right="1843"/>
      </w:pPr>
      <w:r>
        <w:t>电商内容增长 · 企业流程协同 · 业务知识复用</w:t>
      </w:r>
    </w:p>
    <w:p>
      <w:pPr>
        <w:ind w:right="1843"/>
      </w:pPr>
      <w:r>
        <w:t>18758273307  |  yongbinlan@outlook.com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83"/>
        <w:gridCol w:w="2381"/>
      </w:tblGrid>
      <w:tr>
        <w:tc>
          <w:tcPr>
            <w:tcW w:type="dxa" w:w="7483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80" w:line="377" w:lineRule="exact"/>
            </w:pPr>
            <w:r>
              <w:rPr>
                <w:rFonts w:ascii="Microsoft YaHei" w:hAnsi="Microsoft YaHei"/>
                <w:b/>
                <w:color w:val="26463E"/>
                <w:sz w:val="26"/>
              </w:rPr>
              <w:t>个人网站与项目作品集</w:t>
            </w:r>
          </w:p>
          <w:p>
            <w:pPr>
              <w:spacing w:after="100"/>
            </w:pPr>
            <w:hyperlink r:id="rId10">
              <w:r>
                <w:rPr>
                  <w:color w:val="245C58"/>
                  <w:sz w:val="23"/>
                  <w:u w:val="single"/>
                  <w:b/>
                </w:rPr>
                <w:t>https://yongbinlan.github.io/</w:t>
              </w:r>
            </w:hyperlink>
          </w:p>
          <w:p>
            <w:pPr>
              <w:spacing w:line="261" w:lineRule="exact" w:after="80"/>
            </w:pPr>
            <w:r>
              <w:rPr>
                <w:rFonts w:ascii="Microsoft YaHei" w:hAnsi="Microsoft YaHei"/>
                <w:b w:val="0"/>
                <w:color w:val="26463E"/>
                <w:sz w:val="18"/>
              </w:rPr>
              <w:t>四大业务域 · 13套系统 · 视频案例与方法流程</w:t>
            </w:r>
          </w:p>
          <w:p>
            <w:pPr>
              <w:spacing w:line="246" w:lineRule="exact" w:after="80"/>
            </w:pPr>
            <w:r>
              <w:rPr>
                <w:rFonts w:ascii="Microsoft YaHei" w:hAnsi="Microsoft YaHei"/>
                <w:b w:val="0"/>
                <w:color w:val="596666"/>
                <w:sz w:val="17"/>
              </w:rPr>
              <w:t>点击网址或右侧缩略图，直接查看项目。</w:t>
            </w:r>
          </w:p>
        </w:tc>
        <w:tc>
          <w:tcPr>
            <w:tcW w:type="dxa" w:w="2381"/>
            <w:vAlign w:val="center"/>
            <w:shd w:fill="EEF3ED"/>
            <w:tcMar>
              <w:top w:w="95" w:type="dxa"/>
              <w:bottom w:w="95" w:type="dxa"/>
              <w:left w:w="130" w:type="dxa"/>
              <w:right w:w="130" w:type="dxa"/>
            </w:tcMar>
          </w:tcPr>
          <w:p>
            <w:pPr>
              <w:spacing w:after="0" w:line="240" w:lineRule="auto"/>
            </w:pPr>
            <w:r>
              <w:drawing>
                <wp:inline xmlns:a="http://schemas.openxmlformats.org/drawingml/2006/main" xmlns:pic="http://schemas.openxmlformats.org/drawingml/2006/picture">
                  <wp:extent cx="1224000" cy="1328833"/>
                  <wp:docPr id="2" name="Picture 2" descr="兰勇斌个人网站真实首屏预览，点击访问项目作品集">
                    <a:hlinkClick r:id="rId10"/>
                  </wp:docPr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ebsite-thumbnail.png">
                            <a:hlinkClick r:id="rId10"/>
                          </pic:cNvPr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4000" cy="132883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line="260" w:lineRule="exact"/>
      </w:pPr>
      <w:r>
        <w:rPr>
          <w:color w:val="596666"/>
          <w:sz w:val="18"/>
        </w:rPr>
        <w:t>斌哥 AI 实战  |  职业方向：AI 应用与自动化解决方案</w:t>
      </w:r>
    </w:p>
    <w:p>
      <w:pPr>
        <w:pStyle w:val="Heading1"/>
      </w:pPr>
      <w:r>
        <w:t>专业定位</w:t>
      </w:r>
    </w:p>
    <w:p>
      <w:r>
        <w:t>拥有内容增长、用户运营与企业流程实践，面向电商、跨境电商和传统企业，把人工工作拆成可执行的 SOP，再结合 AI、知识检索和业务工具完成方案与交付。主导内容工厂、业务流程替代等实践，将来源、版本、人工审核与产物验证纳入流程。</w:t>
      </w:r>
    </w:p>
    <w:p>
      <w:pPr>
        <w:spacing w:line="260" w:lineRule="exact"/>
      </w:pPr>
      <w:r>
        <w:rPr>
          <w:color w:val="596666"/>
          <w:sz w:val="18"/>
        </w:rPr>
        <w:t>经历：AIGC 工作室 2023.08—至今  /  群核科技 2022.03—2023.07  /  丁香园 2018.04—2022.03</w:t>
      </w:r>
    </w:p>
    <w:p>
      <w:pPr>
        <w:pStyle w:val="Heading1"/>
      </w:pPr>
      <w:r>
        <w:t>AIGC 工作室</w:t>
      </w:r>
    </w:p>
    <w:p>
      <w:pPr>
        <w:spacing w:line="260" w:lineRule="exact"/>
      </w:pPr>
      <w:r>
        <w:rPr>
          <w:color w:val="596666"/>
          <w:sz w:val="18"/>
        </w:rPr>
        <w:t>创始人兼首席 AI 策略师  |  2023.08—至今</w:t>
      </w:r>
    </w:p>
    <w:p>
      <w:r>
        <w:t>负责需求诊断、SOP 与知识结构设计、工具选型、AI 协作开发及交付验收；本人主导业务与方案，代码实现结合 Codex 辅助开发。</w:t>
      </w:r>
    </w:p>
    <w:p>
      <w:pPr>
        <w:pStyle w:val="Heading2"/>
      </w:pPr>
      <w:r>
        <w:t>01  站内营销内容生产工厂与 RAG 知识复用</w:t>
      </w:r>
    </w:p>
    <w:p>
      <w:pPr>
        <w:spacing w:line="260" w:lineRule="exact"/>
      </w:pPr>
      <w:r>
        <w:rPr>
          <w:color w:val="596666"/>
          <w:sz w:val="18"/>
        </w:rPr>
        <w:t>内容与营销增长域  |  全域内容生产与分发系统  |  已有方法与本地知识产物</w:t>
      </w:r>
    </w:p>
    <w:p>
      <w:r>
        <w:rPr>
          <w:b/>
        </w:rPr>
        <w:t xml:space="preserve">业务问题  </w:t>
      </w:r>
      <w:r>
        <w:t>参考视频难以复用，商品策划反复从头开始，经验散落在文档和对话中。</w:t>
      </w:r>
    </w:p>
    <w:p>
      <w:r>
        <w:rPr>
          <w:b/>
        </w:rPr>
        <w:t xml:space="preserve">实现方式  </w:t>
      </w:r>
      <w:r>
        <w:t>建立“采集—分析—拆解—沉淀—复用—反馈”闭环。参考视频驱动模仿与衍生创作，商品资料驱动内容策划；共用案例、框架、组件和类目模板，覆盖学习新选题、限定替换、原片拍摄与商品策划四类入口。</w:t>
      </w:r>
    </w:p>
    <w:p>
      <w:r>
        <w:rPr>
          <w:b/>
        </w:rPr>
        <w:t xml:space="preserve">工程与验证  </w:t>
      </w:r>
      <w:r>
        <w:t>通过 Python 入口组织任务、检索和采用记录；知识卡保留来源与版本，检索返回匹配依据及适用条件，生成时以当前商品事实约束内容。已有框架、类目模板完成查询及来源展开验证；持续批产与营销效果仍按实际任务评估。</w:t>
      </w:r>
    </w:p>
    <w:p>
      <w:hyperlink r:id="rId11">
        <w:r>
          <w:rPr>
            <w:color w:val="245C58"/>
            <w:sz w:val="18"/>
          </w:rPr>
          <w:t>查看内容工厂方法与案例</w:t>
        </w:r>
      </w:hyperlink>
    </w:p>
    <w:p>
      <w:pPr>
        <w:pStyle w:val="Heading2"/>
      </w:pPr>
      <w:r>
        <w:t>02  企业流程资产迁移与工具替代实践</w:t>
      </w:r>
    </w:p>
    <w:p>
      <w:pPr>
        <w:spacing w:line="260" w:lineRule="exact"/>
      </w:pPr>
      <w:r>
        <w:rPr>
          <w:color w:val="596666"/>
          <w:sz w:val="18"/>
        </w:rPr>
        <w:t>商品与供应链运营域  |  商品全生命周期与采购协同  |  在线镜像及替代案例</w:t>
      </w:r>
    </w:p>
    <w:p>
      <w:r>
        <w:t>功倍到期了，我花了一个晚上复刻了一个。围绕流程保留需求，拆解项目、看板、阶段、卡片与表单，用 AI 协作开发保留可查询、可对照的业务结构。</w:t>
      </w:r>
    </w:p>
    <w:p>
      <w:r>
        <w:rPr>
          <w:b/>
        </w:rPr>
        <w:t xml:space="preserve">交付与验证  </w:t>
      </w:r>
      <w:r>
        <w:t>新版网页支持项目浏览、任务检索、状态筛选、节点详情与手机端查看，已完成本地及公开页面交互检查；另整理企微多维表替代案例。镜像为数据快照；多维表需身份权限，表内规则与实时审批能力未纳入本次验证。</w:t>
      </w:r>
    </w:p>
    <w:p>
      <w:hyperlink r:id="rId12">
        <w:r>
          <w:rPr>
            <w:color w:val="245C58"/>
            <w:sz w:val="18"/>
          </w:rPr>
          <w:t>体验最新镜像与多维表替代案例</w:t>
        </w:r>
      </w:hyperlink>
    </w:p>
    <w:p>
      <w:pPr>
        <w:pStyle w:val="Heading1"/>
        <w:pageBreakBefore/>
        <w:spacing w:before="0"/>
      </w:pPr>
      <w:r>
        <w:t>AIGC 工作室的业务应用与交付</w:t>
      </w:r>
    </w:p>
    <w:p>
      <w:pPr>
        <w:pStyle w:val="Heading2"/>
      </w:pPr>
      <w:r>
        <w:t>03  多品牌营销素材工作流</w:t>
      </w:r>
    </w:p>
    <w:p>
      <w:pPr>
        <w:spacing w:line="260" w:lineRule="exact"/>
      </w:pPr>
      <w:r>
        <w:rPr>
          <w:color w:val="596666"/>
          <w:sz w:val="18"/>
        </w:rPr>
        <w:t>内容与营销增长域  |  品牌与平台适配  |  方案编排及内容作品</w:t>
      </w:r>
    </w:p>
    <w:p>
      <w:r>
        <w:t>将商品事实、品牌风格和平台规则分离配置，串联卖点、脚本、生成任务与审核。组织采集去重、失败处理和交付记录，支持不同品牌复用同一流程。</w:t>
      </w:r>
    </w:p>
    <w:p>
      <w:r>
        <w:rPr>
          <w:b/>
        </w:rPr>
        <w:t xml:space="preserve">交付与验证  </w:t>
      </w:r>
      <w:r>
        <w:t>已有 3 品牌 × 3 平台共 9 组方案编排复测记录；商品套图样例包含 5 张主图、6 张详情图。车载垃圾袋场景替换、纸巾袋宿舍场景视频已展示；方案复测与成片交付分开记录。</w:t>
      </w:r>
    </w:p>
    <w:p>
      <w:hyperlink r:id="rId13">
        <w:r>
          <w:rPr>
            <w:color w:val="245C58"/>
            <w:sz w:val="18"/>
          </w:rPr>
          <w:t>查看案例与产物</w:t>
        </w:r>
      </w:hyperlink>
    </w:p>
    <w:p>
      <w:pPr>
        <w:pStyle w:val="Heading2"/>
      </w:pPr>
      <w:r>
        <w:t>04  AI 工业化内容生产线</w:t>
      </w:r>
    </w:p>
    <w:p>
      <w:pPr>
        <w:spacing w:line="260" w:lineRule="exact"/>
      </w:pPr>
      <w:r>
        <w:rPr>
          <w:color w:val="596666"/>
          <w:sz w:val="18"/>
        </w:rPr>
        <w:t>内容与营销增长域  |  中小企业内容需求  |  历史商业实践</w:t>
      </w:r>
    </w:p>
    <w:p>
      <w:r>
        <w:t>负责从需求到内容交付的 SOP，整合关键词分析、内容拆解、Prompt 库、图像视频生成、剪辑与人工校准，沉淀行业提示词和生产模板。</w:t>
      </w:r>
    </w:p>
    <w:p>
      <w:r>
        <w:rPr>
          <w:b/>
        </w:rPr>
        <w:t xml:space="preserve">历史成果  </w:t>
      </w:r>
      <w:r>
        <w:t>历史项目形成单人日均短视频 30+ 条、多语言图文 200+ 篇的生产能力，并积累提示词、制作模板和人工校准经验，为后续内容工厂建设提供业务基础。</w:t>
      </w:r>
    </w:p>
    <w:p>
      <w:pPr>
        <w:pStyle w:val="Heading2"/>
      </w:pPr>
      <w:r>
        <w:t>05  跨境商品视觉与带货内容</w:t>
      </w:r>
    </w:p>
    <w:p>
      <w:pPr>
        <w:spacing w:line="260" w:lineRule="exact"/>
      </w:pPr>
      <w:r>
        <w:rPr>
          <w:color w:val="596666"/>
          <w:sz w:val="18"/>
        </w:rPr>
        <w:t>商品与供应链运营域及内容与营销增长域  |  Amazon 与 TikTok Shop</w:t>
      </w:r>
    </w:p>
    <w:p>
      <w:r>
        <w:t>围绕商品卖点、品牌视觉与海外市场组织主图、A+ 场景图和多语言脚本；将选题、生成、配音、混剪和素材测试纳入生产流程。</w:t>
      </w:r>
    </w:p>
    <w:p>
      <w:r>
        <w:rPr>
          <w:b/>
        </w:rPr>
        <w:t xml:space="preserve">历史成果  </w:t>
      </w:r>
      <w:r>
        <w:t>单 SKU 视觉交付由 5 天缩短至 4 小时、单账号周均带货视频 50+ 条；合作卖家单月 GMV 从 12 万至 67 万为项目整体结果，本人负责内容策略与工具链。</w:t>
      </w:r>
    </w:p>
    <w:p>
      <w:pPr>
        <w:pStyle w:val="Heading2"/>
      </w:pPr>
      <w:r>
        <w:t>06  售后归因与客服质检</w:t>
      </w:r>
    </w:p>
    <w:p>
      <w:pPr>
        <w:spacing w:line="260" w:lineRule="exact"/>
      </w:pPr>
      <w:r>
        <w:rPr>
          <w:color w:val="596666"/>
          <w:sz w:val="18"/>
        </w:rPr>
        <w:t>交易与客户服务域及经营决策与组织效能域  |  已有分析报告</w:t>
      </w:r>
    </w:p>
    <w:p>
      <w:r>
        <w:t>按店铺、商品和问题类型整理售后反馈；将客服质检拆为问题明细、严重性、判断理由和建议回复，保留人工复核，支持定位具体服务问题。</w:t>
      </w:r>
    </w:p>
    <w:p>
      <w:r>
        <w:rPr>
          <w:b/>
        </w:rPr>
        <w:t xml:space="preserve">交付与验证  </w:t>
      </w:r>
      <w:r>
        <w:t>形成售后汇总、店铺关联、商品归因和客服质检报告，用于改进讨论与培训。现阶段为分析产物；实时数据接入、自动派单与处理闭环属于后续建设。</w:t>
      </w:r>
    </w:p>
    <w:p>
      <w:hyperlink r:id="rId14">
        <w:r>
          <w:rPr>
            <w:color w:val="245C58"/>
            <w:sz w:val="18"/>
          </w:rPr>
          <w:t>查看案例与产物</w:t>
        </w:r>
      </w:hyperlink>
    </w:p>
    <w:p>
      <w:pPr>
        <w:pStyle w:val="Heading1"/>
      </w:pPr>
      <w:r>
        <w:t>四大业务域与系统地图</w:t>
      </w:r>
    </w:p>
    <w:p>
      <w:pPr>
        <w:spacing w:line="260" w:lineRule="exact"/>
      </w:pPr>
      <w:r>
        <w:rPr>
          <w:color w:val="596666"/>
          <w:sz w:val="18"/>
        </w:rPr>
        <w:t>覆盖 13 类系统、42 个子模块的方案地图；上述案例支撑已实践部分，其余按规划推进。</w:t>
      </w:r>
    </w:p>
    <w:p>
      <w:pPr>
        <w:spacing w:line="280" w:lineRule="exact" w:after="80"/>
      </w:pPr>
      <w:r>
        <w:rPr>
          <w:b/>
          <w:sz w:val="19"/>
        </w:rPr>
        <w:t xml:space="preserve">商品与供应链运营  </w:t>
      </w:r>
      <w:r>
        <w:rPr>
          <w:sz w:val="19"/>
        </w:rPr>
        <w:t>商品全生命周期运营 / 库存与采购协同 / 物流运费管控</w:t>
      </w:r>
    </w:p>
    <w:p>
      <w:pPr>
        <w:spacing w:line="280" w:lineRule="exact" w:after="80"/>
      </w:pPr>
      <w:r>
        <w:rPr>
          <w:b/>
          <w:sz w:val="19"/>
        </w:rPr>
        <w:t xml:space="preserve">内容与营销增长  </w:t>
      </w:r>
      <w:r>
        <w:rPr>
          <w:sz w:val="19"/>
        </w:rPr>
        <w:t>全域内容生产与分发 / 直播全链路运营 / 全域广告投放优化 / 达人与 KOL 合作管理</w:t>
      </w:r>
    </w:p>
    <w:p>
      <w:pPr>
        <w:spacing w:line="280" w:lineRule="exact" w:after="80"/>
      </w:pPr>
      <w:r>
        <w:rPr>
          <w:b/>
          <w:sz w:val="19"/>
        </w:rPr>
        <w:t xml:space="preserve">交易与客户服务  </w:t>
      </w:r>
      <w:r>
        <w:rPr>
          <w:sz w:val="19"/>
        </w:rPr>
        <w:t>询盘与订单履约 / 全渠道售后工单 / 财务对账与单据核验</w:t>
      </w:r>
    </w:p>
    <w:p>
      <w:pPr>
        <w:spacing w:line="280" w:lineRule="exact" w:after="80"/>
      </w:pPr>
      <w:r>
        <w:rPr>
          <w:b/>
          <w:sz w:val="19"/>
        </w:rPr>
        <w:t xml:space="preserve">经营决策与组织效能  </w:t>
      </w:r>
      <w:r>
        <w:rPr>
          <w:sz w:val="19"/>
        </w:rPr>
        <w:t>经营分析与异常预警 / 客户运营与私域增长 / 服务质量与合规管控</w:t>
      </w:r>
    </w:p>
    <w:p>
      <w:hyperlink r:id="rId15">
        <w:r>
          <w:rPr>
            <w:color w:val="245C58"/>
            <w:sz w:val="18"/>
          </w:rPr>
          <w:t>查看四大业务域与系统明细</w:t>
        </w:r>
      </w:hyperlink>
    </w:p>
    <w:p>
      <w:pPr>
        <w:pStyle w:val="Heading1"/>
        <w:pageBreakBefore/>
        <w:spacing w:before="0"/>
      </w:pPr>
      <w:r>
        <w:t>业务增长经历与专业能力</w:t>
      </w:r>
    </w:p>
    <w:p>
      <w:pPr>
        <w:pStyle w:val="Heading1"/>
      </w:pPr>
      <w:r>
        <w:t>群核科技</w:t>
      </w:r>
    </w:p>
    <w:p>
      <w:pPr>
        <w:spacing w:line="260" w:lineRule="exact"/>
      </w:pPr>
      <w:r>
        <w:rPr>
          <w:color w:val="596666"/>
          <w:sz w:val="18"/>
        </w:rPr>
        <w:t>增长运营专家  |  2022.03—2023.07</w:t>
      </w:r>
    </w:p>
    <w:p>
      <w:r>
        <w:t>负责 PLG 增长与用户生命周期运营，围绕获客、转化、留存建立数据监控与复盘机制。</w:t>
      </w:r>
    </w:p>
    <w:p>
      <w:pPr>
        <w:pStyle w:val="Heading2"/>
      </w:pPr>
      <w:r>
        <w:t>PLG 会员增长与转化路径优化</w:t>
      </w:r>
    </w:p>
    <w:p>
      <w:r>
        <w:t>以生命周期拆解会员转化路径，结合数据监控识别机会并制定运营动作。参与推动个人会员 GMV 从 5,000 万提升至近 1 亿；本人贡献集中在增长运营、路径优化与业务复盘。</w:t>
      </w:r>
    </w:p>
    <w:p>
      <w:pPr>
        <w:pStyle w:val="Heading2"/>
      </w:pPr>
      <w:r>
        <w:t>全渠道流量矩阵与用户留存</w:t>
      </w:r>
    </w:p>
    <w:p>
      <w:r>
        <w:t>搭建全渠道流量矩阵，结合 SEO、内容增长、Cohort 分析与 RFM 分层优化获客和留存。项目自然流量占比由 12% 至 67%，用户周留存率由 37% 至 56%。</w:t>
      </w:r>
    </w:p>
    <w:p>
      <w:pPr>
        <w:spacing w:line="260" w:lineRule="exact" w:after="100"/>
      </w:pPr>
      <w:r>
        <w:rPr>
          <w:color w:val="596666"/>
          <w:sz w:val="18"/>
        </w:rPr>
        <w:t>能力延续：用户分层、指标拆解与复盘经验，支撑客户运营及经营分析系统的业务设计。</w:t>
      </w:r>
    </w:p>
    <w:p>
      <w:pPr>
        <w:pStyle w:val="Heading1"/>
      </w:pPr>
      <w:r>
        <w:t>丁香园</w:t>
      </w:r>
    </w:p>
    <w:p>
      <w:pPr>
        <w:spacing w:line="260" w:lineRule="exact"/>
      </w:pPr>
      <w:r>
        <w:rPr>
          <w:color w:val="596666"/>
          <w:sz w:val="18"/>
        </w:rPr>
        <w:t>用户增长专家  |  2018.04—2022.03</w:t>
      </w:r>
    </w:p>
    <w:p>
      <w:r>
        <w:t>负责丁香医生新媒体内容与用户增长，统筹内容策划、专业审核、多平台适配和数据复盘。</w:t>
      </w:r>
    </w:p>
    <w:p>
      <w:pPr>
        <w:pStyle w:val="Heading2"/>
      </w:pPr>
      <w:r>
        <w:t>内容矩阵与多端复用</w:t>
      </w:r>
    </w:p>
    <w:p>
      <w:r>
        <w:t>将专业医学知识转化为大众图文与视频，建立一次生产、多端适配的协作流程。参与打造全网 5,000 万+ 粉丝内容矩阵；项目单篇最高阅读量 1,000 万+。</w:t>
      </w:r>
    </w:p>
    <w:p>
      <w:pPr>
        <w:pStyle w:val="Heading2"/>
      </w:pPr>
      <w:r>
        <w:t>热点响应与专业审核机制</w:t>
      </w:r>
    </w:p>
    <w:p>
      <w:r>
        <w:t>建立“热点监测—专家审核—快速发布”的 24 小时响应机制，组织专业校核并结合反馈调整选题。疫情期间多篇辟谣内容单条传播量 500 万+，形成跨团队内容协作与质量控制经验。</w:t>
      </w:r>
    </w:p>
    <w:p>
      <w:pPr>
        <w:spacing w:line="260" w:lineRule="exact" w:after="100"/>
      </w:pPr>
      <w:r>
        <w:rPr>
          <w:color w:val="596666"/>
          <w:sz w:val="18"/>
        </w:rPr>
        <w:t>能力延续：专业知识转化、审核节点和多端适配，支撑内容工厂的方法设计与交付质量控制。</w:t>
      </w:r>
    </w:p>
    <w:p>
      <w:pPr>
        <w:pStyle w:val="Heading1"/>
      </w:pPr>
      <w:r>
        <w:t>应用能力与交付方法</w:t>
      </w:r>
    </w:p>
    <w:p>
      <w:r>
        <w:rPr>
          <w:b/>
        </w:rPr>
        <w:t xml:space="preserve">业务设计  </w:t>
      </w:r>
      <w:r>
        <w:t>需求访谈、流程诊断、SOP 与字段拆解、指标复盘；按成本、维护方式和协作环境选择实现路径。</w:t>
      </w:r>
    </w:p>
    <w:p>
      <w:r>
        <w:rPr>
          <w:b/>
        </w:rPr>
        <w:t xml:space="preserve">AI 与知识  </w:t>
      </w:r>
      <w:r>
        <w:t>Prompt 工程、Agent / Skill 任务组织、RAG 检索增强上下文；来源引用、版本记录、商品事实约束与人工审核。</w:t>
      </w:r>
    </w:p>
    <w:p>
      <w:r>
        <w:rPr>
          <w:b/>
        </w:rPr>
        <w:t xml:space="preserve">实现工具  </w:t>
      </w:r>
      <w:r>
        <w:t>Python 用于任务入口与数据处理；Playwright 用于浏览器操作及界面验证；FFmpeg 用于视频处理。FastAPI / SQLAlchemy / Celery 有本地原型实践。</w:t>
      </w:r>
    </w:p>
    <w:p>
      <w:r>
        <w:rPr>
          <w:b/>
        </w:rPr>
        <w:t xml:space="preserve">交付习惯  </w:t>
      </w:r>
      <w:r>
        <w:t>明确验收条件 → 拆解输入与异常分支 → 形成可体验产物 → 检查运行与展示 → 保留版本及反馈。</w:t>
      </w:r>
    </w:p>
    <w:p>
      <w:pPr>
        <w:pStyle w:val="Heading1"/>
      </w:pPr>
      <w:r>
        <w:t>教育背景</w:t>
      </w:r>
    </w:p>
    <w:p>
      <w:r>
        <w:t>浙江工商大学  |  电子信息工程  |  本科  |  2011—2015</w:t>
      </w:r>
    </w:p>
    <w:p>
      <w:hyperlink r:id="rId10">
        <w:r>
          <w:rPr>
            <w:color w:val="245C58"/>
            <w:sz w:val="18"/>
          </w:rPr>
          <w:t>项目演示与案例详情  yongbinlan.github.io</w:t>
        </w:r>
      </w:hyperlink>
    </w:p>
    <w:p>
      <w:pPr>
        <w:spacing w:line="260" w:lineRule="exact" w:after="100"/>
      </w:pPr>
      <w:r>
        <w:rPr>
          <w:color w:val="596666"/>
          <w:sz w:val="18"/>
        </w:rPr>
        <w:t>历史业绩沿用本人原履历记录，团队成果按参与范围表述；近期项目以产物与验证记录说明阶段。</w:t>
      </w:r>
    </w:p>
    <w:sectPr w:rsidR="00FC693F" w:rsidRPr="0006063C" w:rsidSect="00034616">
      <w:footerReference w:type="default" r:id="rId16"/>
      <w:pgSz w:w="11906" w:h="16838"/>
      <w:pgMar w:top="907" w:right="1020" w:bottom="964" w:left="1020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751" w:val="right"/>
      </w:tabs>
    </w:pPr>
    <w:r>
      <w:rPr>
        <w:color w:val="596666"/>
        <w:sz w:val="16"/>
      </w:rPr>
      <w:t>兰勇斌  ·  AI 自动化应用专家</w:t>
    </w:r>
    <w:r>
      <w:rPr>
        <w:color w:val="596666"/>
        <w:sz w:val="16"/>
      </w:rPr>
      <w:tab/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08" w:lineRule="exact" w:after="80"/>
    </w:pPr>
    <w:rPr>
      <w:rFonts w:ascii="Microsoft YaHei" w:hAnsi="Microsoft YaHei" w:eastAsia="Microsoft YaHei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40" w:after="120" w:line="378" w:lineRule="exact"/>
      <w:outlineLvl w:val="0"/>
    </w:pPr>
    <w:rPr>
      <w:rFonts w:ascii="Microsoft YaHei" w:hAnsi="Microsoft YaHei" w:eastAsia="Microsoft YaHei"/>
      <w:b/>
      <w:bCs/>
      <w:i w:val="0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80" w:line="310" w:lineRule="exact"/>
      <w:outlineLvl w:val="1"/>
    </w:pPr>
    <w:rPr>
      <w:rFonts w:ascii="Microsoft YaHei" w:hAnsi="Microsoft YaHei" w:eastAsia="Microsoft YaHei"/>
      <w:b/>
      <w:bCs/>
      <w:i w:val="0"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60" w:line="729" w:lineRule="exact" w:before="0"/>
      <w:contextualSpacing/>
    </w:pPr>
    <w:rPr>
      <w:rFonts w:ascii="Microsoft YaHei" w:hAnsi="Microsoft YaHei" w:eastAsia="Microsoft YaHei"/>
      <w:b/>
      <w:i w:val="0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line="432" w:lineRule="exact" w:after="100" w:before="0"/>
    </w:pPr>
    <w:rPr>
      <w:rFonts w:ascii="Microsoft YaHei" w:hAnsi="Microsoft YaHei" w:eastAsia="Microsoft YaHei"/>
      <w:b/>
      <w:i w:val="0"/>
      <w:iCs/>
      <w:color w:val="000000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/>
        <w:b/>
        <w:bCs/>
      </w:rPr>
    </w:tblStylePr>
    <w:tblStylePr w:type="lastCol">
      <w:rPr>
        <w:rFonts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hyperlink" Target="https://yongbinlan.github.io/" TargetMode="External"/><Relationship Id="rId11" Type="http://schemas.openxmlformats.org/officeDocument/2006/relationships/hyperlink" Target="https://yongbinlan.github.io/#factory-methodology" TargetMode="External"/><Relationship Id="rId12" Type="http://schemas.openxmlformats.org/officeDocument/2006/relationships/hyperlink" Target="https://yongbinlan.github.io/?v=58#case-gongbei" TargetMode="External"/><Relationship Id="rId13" Type="http://schemas.openxmlformats.org/officeDocument/2006/relationships/hyperlink" Target="https://yongbinlan.github.io/#screening-room" TargetMode="External"/><Relationship Id="rId14" Type="http://schemas.openxmlformats.org/officeDocument/2006/relationships/hyperlink" Target="https://yongbinlan.github.io/#system-s13" TargetMode="External"/><Relationship Id="rId15" Type="http://schemas.openxmlformats.org/officeDocument/2006/relationships/hyperlink" Target="https://yongbinlan.github.io/#system-overview" TargetMode="External"/><Relationship Id="rId16" Type="http://schemas.openxmlformats.org/officeDocument/2006/relationships/footer" Target="footer1.xml"/><Relationship Id="rId1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兰勇斌 AI自动化应用专家 完整履历</dc:title>
  <dc:subject>四大业务域与代表自动化案例</dc:subject>
  <dc:creator>兰勇斌</dc:creator>
  <cp:keywords/>
  <dc:description>V6 2026-10-09 website thumbnail and prominent link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