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蓝晟硕</w:t>
      </w:r>
      <w:r>
        <w:drawing>
          <wp:anchor distT="0" distB="0" distL="100000" distR="0" simplePos="0" relativeHeight="1" behindDoc="0" locked="0" layoutInCell="1" allowOverlap="1">
            <wp:simplePos x="0" y="0"/>
            <wp:positionH relativeFrom="column">
              <wp:posOffset>5212080</wp:posOffset>
            </wp:positionH>
            <wp:positionV relativeFrom="paragraph">
              <wp:posOffset>0</wp:posOffset>
            </wp:positionV>
            <wp:extent cx="1024128" cy="1024128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rai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241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ubtitle"/>
        <w:ind w:right="1843"/>
      </w:pPr>
      <w:r>
        <w:t>AI 自动化应用专家</w:t>
      </w:r>
    </w:p>
    <w:p>
      <w:pPr>
        <w:ind w:right="1843"/>
      </w:pPr>
      <w:r>
        <w:t xml:space="preserve">电商与跨境业务 · 自动化流程架构 · 可控交付与知识复用</w:t>
      </w:r>
    </w:p>
    <w:p>
      <w:pPr>
        <w:ind w:right="1843"/>
      </w:pPr>
      <w:r>
        <w:t>18758273307  |  yongbinlan@outlook.com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3"/>
        <w:gridCol w:w="2381"/>
      </w:tblGrid>
      <w:tr>
        <w:tc>
          <w:tcPr>
            <w:tcW w:type="dxa" w:w="7483"/>
            <w:vAlign w:val="center"/>
            <w:shd w:fill="EEF3E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80" w:line="377" w:lineRule="exact"/>
            </w:pPr>
            <w:r>
              <w:rPr>
                <w:rFonts w:ascii="Microsoft YaHei" w:hAnsi="Microsoft YaHei"/>
                <w:b/>
                <w:color w:val="26463E"/>
                <w:sz w:val="26"/>
              </w:rPr>
              <w:t>个人网站与项目作品集</w:t>
            </w:r>
          </w:p>
          <w:p>
            <w:pPr>
              <w:spacing w:after="100"/>
            </w:pPr>
            <w:hyperlink r:id="rId10">
              <w:r>
                <w:rPr>
                  <w:color w:val="245C58"/>
                  <w:sz w:val="23"/>
                  <w:u w:val="single"/>
                  <w:b/>
                </w:rPr>
                <w:t>https://yongbinlan.github.io/</w:t>
              </w:r>
            </w:hyperlink>
          </w:p>
          <w:p>
            <w:pPr>
              <w:spacing w:line="261" w:lineRule="exact" w:after="80"/>
            </w:pPr>
            <w:r>
              <w:rPr>
                <w:rFonts w:ascii="Microsoft YaHei" w:hAnsi="Microsoft YaHei"/>
                <w:b w:val="0"/>
                <w:color w:val="26463E"/>
                <w:sz w:val="18"/>
              </w:rPr>
              <w:t xml:space="preserve">四大业务域 · 13 类系统地图 · 案例与方法</w:t>
            </w:r>
          </w:p>
          <w:p>
            <w:pPr>
              <w:spacing w:line="246" w:lineRule="exact" w:after="80"/>
            </w:pPr>
            <w:r>
              <w:rPr>
                <w:rFonts w:ascii="Microsoft YaHei" w:hAnsi="Microsoft YaHei"/>
                <w:b w:val="0"/>
                <w:color w:val="596666"/>
                <w:sz w:val="17"/>
              </w:rPr>
              <w:t xml:space="preserve">GitHub：https://github.com/yongbinlan</w:t>
            </w:r>
          </w:p>
        </w:tc>
        <w:tc>
          <w:tcPr>
            <w:tcW w:type="dxa" w:w="2381"/>
            <w:vAlign w:val="center"/>
            <w:shd w:fill="EEF3E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224000" cy="1328833"/>
                  <wp:docPr id="2" name="Picture 2" descr="蓝晟硕个人网站真实首屏预览，点击访问项目作品集">
                    <a:hlinkClick r:id="rId10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site-thumbnail.png">
                            <a:hlinkClick r:id="rId10"/>
                          </pic:cNvPr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3288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60" w:lineRule="exact"/>
      </w:pPr>
      <w:r>
        <w:t xml:space="preserve">斌哥 AI 实战  |  职业方向：AI 应用工程与业务流程自动化</w:t>
      </w:r>
    </w:p>
    <w:p>
      <w:pPr>
        <w:pStyle w:val="Heading1"/>
        <w:pageBreakBefore w:val="0"/>
      </w:pPr>
      <w:r>
        <w:t>专业定位</w:t>
      </w:r>
    </w:p>
    <w:p>
      <w:r>
        <w:t xml:space="preserve">深耕电商与跨境内容生产，兼顾企业流程迁移与运营分析。主导需求诊断、SOP 拆解、应用架构、AI 协作开发和交付验收；将任务字段、业务规则、知识版本与审核节点连成可复用流程，以交付一致性、可追溯性和业务指标验证自动化价值。</w:t>
      </w:r>
    </w:p>
    <w:p>
      <w:pPr>
        <w:pStyle w:val="Heading1"/>
        <w:pageBreakBefore w:val="0"/>
      </w:pPr>
      <w:r>
        <w:t>AIGC 工作室</w:t>
      </w:r>
    </w:p>
    <w:p>
      <w:pPr>
        <w:spacing w:line="260" w:lineRule="exact" w:after="80"/>
      </w:pPr>
      <w:r>
        <w:rPr>
          <w:color w:val="63736E"/>
          <w:sz w:val="19"/>
        </w:rPr>
        <w:t>创始人兼首席 AI 策略师  |  2023.08—至今</w:t>
      </w:r>
    </w:p>
    <w:p>
      <w:r>
        <w:t xml:space="preserve">负责业务问题到应用交付的整体方案：识别重复劳动与流程断点，设计任务与知识架构、工具选型和验收口径；以 Codex 协作编码、Python 任务入口及浏览器验收交付。</w:t>
      </w:r>
    </w:p>
    <w:p>
      <w:pPr>
        <w:pStyle w:val="Heading2"/>
        <w:pageBreakBefore w:val="0"/>
      </w:pPr>
      <w:r>
        <w:t xml:space="preserve">01  站内营销内容工厂与 RAG 复用架构</w:t>
      </w:r>
    </w:p>
    <w:p>
      <w:pPr>
        <w:spacing w:line="260" w:lineRule="exact" w:after="80"/>
      </w:pPr>
      <w:r>
        <w:rPr>
          <w:color w:val="63736E"/>
          <w:sz w:val="19"/>
        </w:rPr>
        <w:t xml:space="preserve">内容与营销增长域  |  任务入口、检索复用与版本约束已验证</w:t>
      </w:r>
    </w:p>
    <w:p>
      <w:r>
        <w:rPr>
          <w:b/>
        </w:rPr>
        <w:t xml:space="preserve">业务建模  </w:t>
      </w:r>
      <w:r>
        <w:t xml:space="preserve">围绕重复策划、视频经验难复用和旧知识误用，设计“参考视频模仿与衍生创作”“商品驱动策划”双轨流程，共用商品事实、案例组件、类目模板与验收依据。</w:t>
      </w:r>
    </w:p>
    <w:p>
      <w:r>
        <w:rPr>
          <w:b/>
        </w:rPr>
        <w:t xml:space="preserve">架构与控制  </w:t>
      </w:r>
      <w:r>
        <w:t xml:space="preserve">以 Python 工厂入口组织任务及 Skill 调用计划；按业务域、场景、用途检索，带入来源、适用条件和版本组装上下文。将知识版本与脚本落点绑定，证据更新或旧版失效时阻止继续复用。</w:t>
      </w:r>
    </w:p>
    <w:p>
      <w:r>
        <w:rPr>
          <w:b/>
        </w:rPr>
        <w:t xml:space="preserve">交付与复用  </w:t>
      </w:r>
      <w:r>
        <w:t xml:space="preserve">已形成案例、组件、类目模板及版本化知识卡，完成真实 query/get 展开与相关回归。本人主导业务建模与方法体系；以模块和任务验收推进扩展，批量稳定性与营销效果按实际任务复验。</w:t>
      </w:r>
    </w:p>
    <w:p>
      <w:pPr>
        <w:pStyle w:val="Heading2"/>
        <w:pageBreakBefore w:val="0"/>
      </w:pPr>
      <w:r>
        <w:t xml:space="preserve">02  企业流程资产迁移与替代方案交付</w:t>
      </w:r>
    </w:p>
    <w:p>
      <w:pPr>
        <w:spacing w:line="260" w:lineRule="exact" w:after="80"/>
      </w:pPr>
      <w:r>
        <w:rPr>
          <w:color w:val="63736E"/>
          <w:sz w:val="19"/>
        </w:rPr>
        <w:t xml:space="preserve">商品与供应链运营域  |  可查询的流程镜像已发布</w:t>
      </w:r>
    </w:p>
    <w:p>
      <w:r>
        <w:rPr>
          <w:b/>
        </w:rPr>
        <w:t xml:space="preserve">流程资产保留  </w:t>
      </w:r>
      <w:r>
        <w:t xml:space="preserve">围绕功倍订阅到期后的资产留存，拆解项目、看板、阶段、卡片与表单关系，主导交付可查询的静态镜像，整理企微多维表替代路线，保留业务对象与查询方式。</w:t>
      </w:r>
    </w:p>
    <w:p>
      <w:r>
        <w:rPr>
          <w:b/>
        </w:rPr>
        <w:t xml:space="preserve">交付与验证  </w:t>
      </w:r>
      <w:r>
        <w:t xml:space="preserve">网页支持项目浏览、任务检索、状态筛选与节点详情，完成电脑及手机端交互验收并发布；交付范围为数据快照，内部表规则、实时数据与审批在授权环境另验。</w:t>
      </w:r>
    </w:p>
    <w:p>
      <w:pPr>
        <w:pStyle w:val="Heading1"/>
        <w:pageBreakBefore w:val="1"/>
      </w:pPr>
      <w:r>
        <w:t xml:space="preserve">可复用的内容生产与交付流程</w:t>
      </w:r>
    </w:p>
    <w:p>
      <w:pPr>
        <w:pStyle w:val="Heading2"/>
        <w:pageBreakBefore w:val="0"/>
      </w:pPr>
      <w:r>
        <w:t xml:space="preserve">03  咖啡垫商品驱动视频策划与生成</w:t>
      </w:r>
    </w:p>
    <w:p>
      <w:pPr>
        <w:spacing w:line="260" w:lineRule="exact" w:after="80"/>
        <w:keepNext w:val="1"/>
      </w:pPr>
      <w:r>
        <w:rPr>
          <w:color w:val="63736E"/>
          <w:sz w:val="19"/>
        </w:rPr>
        <w:t xml:space="preserve">内容与营销增长域  |  商品分析、完整设计稿与 AI 样片</w:t>
      </w:r>
    </w:p>
    <w:p>
      <w:r>
        <w:rPr>
          <w:b/>
        </w:rPr>
        <w:t xml:space="preserve">业务转化  </w:t>
      </w:r>
      <w:r>
        <w:t xml:space="preserve">串联商品分析、卖点提炼、人群痛点、热门文案与分镜设计，建立“痛点—卖点—口播—演示—镜头”的对应关系，明确各步输入、产物及核对依据。</w:t>
      </w:r>
    </w:p>
    <w:p>
      <w:r>
        <w:rPr>
          <w:b/>
        </w:rPr>
        <w:t xml:space="preserve">质量约束  </w:t>
      </w:r>
      <w:r>
        <w:t xml:space="preserve">按正背面参考限定同一商品，将尺寸纹理、人物、场景和动作连续性列入多模态提示词；七组镜头细化为 17 段口播与动作，保留演示、对比及逐镜核对依据。</w:t>
      </w:r>
    </w:p>
    <w:p>
      <w:r>
        <w:rPr>
          <w:b/>
        </w:rPr>
        <w:t xml:space="preserve">交付与迭代  </w:t>
      </w:r>
      <w:r>
        <w:t xml:space="preserve">交付商品分析、七组完整设计稿及 30 秒 9:16 AI 样片，策划稿与视频分版迭代；当前为内容样例，逐镜一致性、商品性能与发布效果按实测验收。</w:t>
      </w:r>
    </w:p>
    <w:p>
      <w:pPr>
        <w:pStyle w:val="Heading2"/>
        <w:pageBreakBefore w:val="0"/>
      </w:pPr>
      <w:r>
        <w:t xml:space="preserve">04  多品牌营销素材的参数化复用</w:t>
      </w:r>
    </w:p>
    <w:p>
      <w:pPr>
        <w:spacing w:line="260" w:lineRule="exact" w:after="80"/>
      </w:pPr>
      <w:r>
        <w:rPr>
          <w:color w:val="63736E"/>
          <w:sz w:val="19"/>
        </w:rPr>
        <w:t xml:space="preserve">内容与营销增长域  |  参数化方案编排与内容作品</w:t>
      </w:r>
    </w:p>
    <w:p>
      <w:r>
        <w:t xml:space="preserve">将商品事实、品牌风格和平台要求分离配置，用共享 SOP 编排卖点、脚本、生成、审核与交付；本人负责任务字段、Prompt 和验收设计。完成 3 品牌 × 3 平台共 9 组方案编排复测，生成与交付分开记录，支持跨品牌复用。</w:t>
      </w:r>
    </w:p>
    <w:p>
      <w:r>
        <w:rPr>
          <w:b/>
        </w:rPr>
        <w:t xml:space="preserve">代表产物  </w:t>
      </w:r>
      <w:r>
        <w:t>商品套图样例包含 5 张主图、6 张详情图；车载垃圾袋场景替换、纸巾袋宿舍场景视频已展示。</w:t>
      </w:r>
    </w:p>
    <w:p>
      <w:pPr>
        <w:pStyle w:val="Heading2"/>
        <w:pageBreakBefore w:val="0"/>
      </w:pPr>
      <w:r>
        <w:t>在研项目  代码视频工作流</w:t>
      </w:r>
    </w:p>
    <w:p>
      <w:r>
        <w:t xml:space="preserve">已整理任务初始化、知识读取与输入校验入口；原创 Remotion / SVG 帧测试覆盖横竖两种比例及重复取帧一致性。当前为技术储备与候选制作方法，完整影片、音画同步和编辑器衔接仍在验证中。</w:t>
      </w:r>
    </w:p>
    <w:p>
      <w:pPr>
        <w:pStyle w:val="Heading1"/>
        <w:pageBreakBefore w:val="0"/>
      </w:pPr>
      <w:r>
        <w:t xml:space="preserve">商业交付与运营流程</w:t>
      </w:r>
    </w:p>
    <w:p>
      <w:pPr>
        <w:pStyle w:val="Heading2"/>
        <w:pageBreakBefore w:val="0"/>
      </w:pPr>
      <w:r>
        <w:t xml:space="preserve">05  AI 内容生产线与作业标准化</w:t>
      </w:r>
    </w:p>
    <w:p>
      <w:pPr>
        <w:spacing w:line="260" w:lineRule="exact" w:after="80"/>
      </w:pPr>
      <w:r>
        <w:rPr>
          <w:color w:val="63736E"/>
          <w:sz w:val="19"/>
        </w:rPr>
        <w:t>内容与营销增长域  |  历史商业实践</w:t>
      </w:r>
    </w:p>
    <w:p>
      <w:r>
        <w:rPr>
          <w:b/>
        </w:rPr>
        <w:t xml:space="preserve">流程与产能  </w:t>
      </w:r>
      <w:r>
        <w:t xml:space="preserve">历史项目形成单人日均短视频 30+ 条、多语言图文 200+ 篇的产能。负责串联关键词分析、内容拆解、Prompt 库、图像与视频生成、剪辑及人工校准，沉淀行业提示词与制作模板，作为当前内容工厂的业务基础。</w:t>
      </w:r>
    </w:p>
    <w:p>
      <w:pPr>
        <w:pStyle w:val="Heading2"/>
        <w:pageBreakBefore w:val="0"/>
      </w:pPr>
      <w:r>
        <w:t xml:space="preserve">06  跨境电商素材交付与效率优化</w:t>
      </w:r>
    </w:p>
    <w:p>
      <w:pPr>
        <w:spacing w:line="260" w:lineRule="exact" w:after="80"/>
      </w:pPr>
      <w:r>
        <w:rPr>
          <w:color w:val="63736E"/>
          <w:sz w:val="19"/>
        </w:rPr>
        <w:t>商品与供应链运营域及内容与营销增长域  |  Amazon 与 TikTok Shop</w:t>
      </w:r>
    </w:p>
    <w:p>
      <w:r>
        <w:t xml:space="preserve">围绕商品卖点与海外市场，组织主图、A+ 场景图、多语言脚本、配音混剪和素材测试；本人负责内容策略与工具链设计，沉淀可复用的制作及交付流程。</w:t>
      </w:r>
    </w:p>
    <w:p>
      <w:r>
        <w:rPr>
          <w:b/>
        </w:rPr>
        <w:t xml:space="preserve">历史成果  </w:t>
      </w:r>
      <w:r>
        <w:t>历史项目单 SKU 视觉交付由 5 天缩短至 4 小时，单账号周均带货视频 50+ 条；合作卖家单月 GMV 从 12 万至 67 万为项目整体结果。</w:t>
      </w:r>
    </w:p>
    <w:p>
      <w:pPr>
        <w:pStyle w:val="Heading2"/>
        <w:pageBreakBefore w:val="0"/>
      </w:pPr>
      <w:r>
        <w:t xml:space="preserve">07  售后问题归因与客服质检流程</w:t>
      </w:r>
    </w:p>
    <w:p>
      <w:pPr>
        <w:spacing w:line="260" w:lineRule="exact" w:after="80"/>
      </w:pPr>
      <w:r>
        <w:rPr>
          <w:color w:val="63736E"/>
          <w:sz w:val="19"/>
        </w:rPr>
        <w:t xml:space="preserve">交易与客户服务域及经营决策与组织效能域  |  分析报告已交付</w:t>
      </w:r>
    </w:p>
    <w:p>
      <w:r>
        <w:t xml:space="preserve">按店铺、商品、问题类型整理售后反馈，输出问题明细、严重性、判断理由和回复建议；保留人工复核，支持追溯、定位与培训。已交付售后汇总、店铺关联、商品归因及质检报告；实时接入、自动派单与处理闭环处于规划阶段。</w:t>
      </w:r>
    </w:p>
    <w:p>
      <w:pPr>
        <w:pStyle w:val="Heading1"/>
        <w:pageBreakBefore w:val="0"/>
      </w:pPr>
      <w:r>
        <w:t xml:space="preserve">四大业务域与系统规划</w:t>
      </w:r>
    </w:p>
    <w:p>
      <w:pPr>
        <w:spacing w:line="260" w:lineRule="exact" w:after="80"/>
        <w:keepNext w:val="1"/>
      </w:pPr>
      <w:r>
        <w:rPr>
          <w:color w:val="63736E"/>
          <w:sz w:val="19"/>
        </w:rPr>
        <w:t xml:space="preserve">沿业务价值链梳理四大域、13 类系统与 42 个规划子模块；以已交付案例标明实践范围，按业务优先级分阶段扩展。</w:t>
      </w:r>
    </w:p>
    <w:p>
      <w:pPr>
        <w:keepNext w:val="1"/>
      </w:pPr>
      <w:r>
        <w:rPr>
          <w:b/>
        </w:rPr>
        <w:t xml:space="preserve">商品与供应链运营  </w:t>
      </w:r>
      <w:r>
        <w:t>商品全生命周期运营 / 库存与采购协同 / 物流运费管控</w:t>
      </w:r>
    </w:p>
    <w:p>
      <w:pPr>
        <w:keepNext w:val="1"/>
      </w:pPr>
      <w:r>
        <w:rPr>
          <w:b/>
        </w:rPr>
        <w:t xml:space="preserve">内容与营销增长  </w:t>
      </w:r>
      <w:r>
        <w:t>全域内容生产与分发 / 直播全链路运营 / 全域广告投放优化 / 达人与 KOL 合作管理</w:t>
      </w:r>
    </w:p>
    <w:p>
      <w:pPr>
        <w:keepNext w:val="1"/>
      </w:pPr>
      <w:r>
        <w:rPr>
          <w:b/>
        </w:rPr>
        <w:t xml:space="preserve">交易与客户服务  </w:t>
      </w:r>
      <w:r>
        <w:t>询盘与订单履约 / 全渠道售后工单 / 财务对账与单据核验</w:t>
      </w:r>
    </w:p>
    <w:p>
      <w:r>
        <w:rPr>
          <w:b/>
        </w:rPr>
        <w:t xml:space="preserve">经营决策与组织效能  </w:t>
      </w:r>
      <w:r>
        <w:t>经营分析与异常预警 / 客户运营与私域增长 / 服务质量与合规管控</w:t>
      </w:r>
    </w:p>
    <w:p>
      <w:pPr>
        <w:pStyle w:val="Heading1"/>
        <w:pageBreakBefore w:val="0"/>
      </w:pPr>
      <w:r>
        <w:t xml:space="preserve">项目实施与价值验证</w:t>
      </w:r>
    </w:p>
    <w:p>
      <w:r>
        <w:t xml:space="preserve">以重复量、人工耗时、输入及验收口径定义问题，明确 AI、规则脚本和人工复核的职责；先用 POC 验证，再按实际产物、处理时长和业务反馈决定扩展。保留来源、版本及异常记录，持续调整流程。</w:t>
      </w:r>
    </w:p>
    <w:p>
      <w:pPr>
        <w:pStyle w:val="Heading1"/>
        <w:pageBreakBefore w:val="0"/>
      </w:pPr>
      <w:r>
        <w:t xml:space="preserve">过往经历与业务方法积累</w:t>
      </w:r>
    </w:p>
    <w:p>
      <w:pPr>
        <w:pStyle w:val="Heading1"/>
        <w:pageBreakBefore w:val="0"/>
      </w:pPr>
      <w:r>
        <w:t>群核科技</w:t>
      </w:r>
    </w:p>
    <w:p>
      <w:pPr>
        <w:spacing w:line="260" w:lineRule="exact" w:after="80"/>
      </w:pPr>
      <w:r>
        <w:rPr>
          <w:color w:val="63736E"/>
          <w:sz w:val="19"/>
        </w:rPr>
        <w:t>增长运营专家  |  2022.03—2023.07</w:t>
      </w:r>
    </w:p>
    <w:p>
      <w:r>
        <w:t xml:space="preserve">围绕获客、转化与留存，连接用户分层、运营动作和业务指标，负责 PLG 与生命周期运营，建立数据监控及复盘机制。</w:t>
      </w:r>
    </w:p>
    <w:p>
      <w:pPr>
        <w:pStyle w:val="Heading2"/>
        <w:pageBreakBefore w:val="0"/>
      </w:pPr>
      <w:r>
        <w:t>PLG 会员增长与转化路径优化</w:t>
      </w:r>
    </w:p>
    <w:p>
      <w:r>
        <w:t xml:space="preserve">拆解会员转化链路，识别运营机会并优化路径；参与推动个人会员 GMV 从 5,000 万提升至近 1 亿。本人贡献集中在增长运营、路径优化与业务复盘，沉淀自动化需求分析的业务方法。</w:t>
      </w:r>
    </w:p>
    <w:p>
      <w:pPr>
        <w:pStyle w:val="Heading2"/>
        <w:pageBreakBefore w:val="0"/>
      </w:pPr>
      <w:r>
        <w:t>全渠道流量矩阵与用户留存</w:t>
      </w:r>
    </w:p>
    <w:p>
      <w:r>
        <w:t xml:space="preserve">整合全渠道内容、SEO、Cohort 分析与 RFM 分层，优化获客留存。项目自然流量占比由 12% 至 67%，用户周留存率由 37% 至 56%；将分层与效果验证方法用于当前客户运营及经营分析的业务设计。</w:t>
      </w:r>
    </w:p>
    <w:p>
      <w:pPr>
        <w:pStyle w:val="Heading1"/>
        <w:pageBreakBefore w:val="0"/>
      </w:pPr>
      <w:r>
        <w:t>丁香园</w:t>
      </w:r>
    </w:p>
    <w:p>
      <w:pPr>
        <w:spacing w:line="260" w:lineRule="exact" w:after="80"/>
      </w:pPr>
      <w:r>
        <w:rPr>
          <w:color w:val="63736E"/>
          <w:sz w:val="19"/>
        </w:rPr>
        <w:t>用户增长专家  |  2018.04—2022.03</w:t>
      </w:r>
    </w:p>
    <w:p>
      <w:r>
        <w:t xml:space="preserve">统筹丁香医生新媒体内容与用户增长，将内容策划、专业审核、多平台适配和数据复盘组织为协作流程。</w:t>
      </w:r>
    </w:p>
    <w:p>
      <w:pPr>
        <w:pStyle w:val="Heading2"/>
        <w:pageBreakBefore w:val="0"/>
      </w:pPr>
      <w:r>
        <w:t>内容矩阵与多端复用</w:t>
      </w:r>
    </w:p>
    <w:p>
      <w:r>
        <w:t xml:space="preserve">将专业医学知识转为大众图文与视频，建立一次生产、多端适配的内容流程；参与打造全网 5,000 万+ 粉丝内容矩阵，项目单篇最高阅读量 1,000 万+；沉淀内容标准、审核节点与跨团队协作方法。</w:t>
      </w:r>
    </w:p>
    <w:p>
      <w:pPr>
        <w:pStyle w:val="Heading2"/>
        <w:pageBreakBefore w:val="0"/>
      </w:pPr>
      <w:r>
        <w:t>热点响应与专业审核机制</w:t>
      </w:r>
    </w:p>
    <w:p>
      <w:r>
        <w:t xml:space="preserve">建立“热点监测—专家审核—快速发布”的 24 小时响应机制，组织专业校核并结合反馈调整选题。疫情期间多篇辟谣内容单条传播量 500 万+，形成跨团队协作与质量控制经验。</w:t>
      </w:r>
    </w:p>
    <w:p>
      <w:pPr>
        <w:pStyle w:val="Heading1"/>
        <w:pageBreakBefore w:val="0"/>
      </w:pPr>
      <w:r>
        <w:t xml:space="preserve">应用架构与可控交付能力</w:t>
      </w:r>
    </w:p>
    <w:p>
      <w:r>
        <w:rPr>
          <w:b/>
        </w:rPr>
        <w:t xml:space="preserve">流程与知识  </w:t>
      </w:r>
      <w:r>
        <w:t xml:space="preserve">Prompt 变量化、Agent / Skill 任务组织、结构化知识检索与 RAG 上下文复用；将商品事实、规则、来源及版本带入任务，设置步骤依赖与人工审核节点。</w:t>
      </w:r>
    </w:p>
    <w:p>
      <w:r>
        <w:rPr>
          <w:b/>
        </w:rPr>
        <w:t xml:space="preserve">工程实现  </w:t>
      </w:r>
      <w:r>
        <w:t xml:space="preserve">Python 用于任务入口、数据处理和知识接口；Playwright 用于页面操作与实际验收，FFmpeg 用于媒体处理。FastAPI / SQLAlchemy / Celery 有本地原型实践；Remotion / SVG 处于帧级技术验证阶段。</w:t>
      </w:r>
    </w:p>
    <w:p>
      <w:r>
        <w:rPr>
          <w:b/>
        </w:rPr>
        <w:t xml:space="preserve">可控交付  </w:t>
      </w:r>
      <w:r>
        <w:t xml:space="preserve">以输入校验、版本核对、回归与产物验收控制质量，保留人工复核及异常记录；分别记录技术通过、交付完成和业务效果，输出版本化文件、运行说明与复验依据。</w:t>
      </w:r>
    </w:p>
    <w:p>
      <w:pPr>
        <w:pStyle w:val="Heading1"/>
        <w:pageBreakBefore w:val="0"/>
      </w:pPr>
      <w:r>
        <w:t>教育背景</w:t>
      </w:r>
    </w:p>
    <w:p>
      <w:r>
        <w:t>浙江工商大学  |  电子信息工程  |  本科  |  2011—2015</w:t>
      </w:r>
    </w:p>
    <w:p>
      <w:pPr>
        <w:spacing w:line="260" w:lineRule="exact" w:after="80"/>
      </w:pPr>
      <w:r>
        <w:rPr>
          <w:color w:val="63736E"/>
          <w:sz w:val="19"/>
        </w:rPr>
        <w:t>历史数字为本人原履历的项目记录，按参与范围表述；新项目以实际产物与验收记录说明阶段。</w:t>
      </w:r>
    </w:p>
    <w:sectPr w:rsidR="00FC693F" w:rsidRPr="0006063C" w:rsidSect="00034616">
      <w:footerReference w:type="default" r:id="rId16"/>
      <w:pgSz w:w="11906" w:h="16838"/>
      <w:pgMar w:top="907" w:right="1020" w:bottom="964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51" w:val="right"/>
      </w:tabs>
    </w:pPr>
    <w:r>
      <w:rPr>
        <w:color w:val="596666"/>
        <w:sz w:val="16"/>
      </w:rPr>
      <w:t>蓝晟硕  ·  AI 自动化应用专家</w:t>
    </w:r>
    <w:r>
      <w:rPr>
        <w:color w:val="596666"/>
        <w:sz w:val="16"/>
      </w:rPr>
      <w:tab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0" w:lineRule="exact" w:after="60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100" w:line="378" w:lineRule="exact"/>
      <w:outlineLvl w:val="0"/>
    </w:pPr>
    <w:rPr>
      <w:rFonts w:ascii="Microsoft YaHei" w:hAnsi="Microsoft YaHei" w:eastAsia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20" w:after="60" w:line="310" w:lineRule="exact"/>
      <w:outlineLvl w:val="1"/>
    </w:pPr>
    <w:rPr>
      <w:rFonts w:ascii="Microsoft YaHei" w:hAnsi="Microsoft YaHei" w:eastAsia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729" w:lineRule="exact" w:before="0"/>
      <w:contextualSpacing/>
    </w:pPr>
    <w:rPr>
      <w:rFonts w:ascii="Microsoft YaHei" w:hAnsi="Microsoft YaHei" w:eastAsia="Microsoft YaHei"/>
      <w:b/>
      <w:i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line="432" w:lineRule="exact" w:after="100" w:before="0"/>
    </w:pPr>
    <w:rPr>
      <w:rFonts w:ascii="Microsoft YaHei" w:hAnsi="Microsoft YaHei" w:eastAsia="Microsoft YaHei"/>
      <w:b/>
      <w:i w:val="0"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yongbinlan.github.io/" TargetMode="External"/><Relationship Id="rId16" Type="http://schemas.openxmlformats.org/officeDocument/2006/relationships/footer" Target="footer1.xml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蓝晟硕 AI 自动化应用专家完整履历</dc:title>
  <dc:subject>四大业务域与代表自动化案例</dc:subject>
  <dc:creator>蓝晟硕</dc:creator>
  <cp:keywords/>
  <dc:description>V7 2026-10-13 automation application cases; source documents remain private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