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蓝晟硕</w:t>
      </w:r>
      <w:r>
        <w:drawing>
          <wp:anchor distT="0" distB="0" distL="100000" distR="0" simplePos="0" relativeHeight="1" behindDoc="0" locked="0" layoutInCell="1" allowOverlap="1">
            <wp:simplePos x="0" y="0"/>
            <wp:positionH relativeFrom="column">
              <wp:posOffset>5212080</wp:posOffset>
            </wp:positionH>
            <wp:positionV relativeFrom="paragraph">
              <wp:posOffset>0</wp:posOffset>
            </wp:positionV>
            <wp:extent cx="1024128" cy="1024128"/>
            <wp:wrapNone/>
            <wp:docPr id="1" name="Picture 1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portrait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24128" cy="102412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Subtitle"/>
        <w:ind w:right="1843"/>
      </w:pPr>
      <w:r>
        <w:t>AI 自动化应用专家</w:t>
      </w:r>
    </w:p>
    <w:p>
      <w:pPr>
        <w:ind w:right="1843"/>
      </w:pPr>
      <w:r>
        <w:t>电商与跨境电商 · 企业流程自动化 · Agent 与业务知识复用</w:t>
      </w:r>
    </w:p>
    <w:p>
      <w:pPr>
        <w:ind w:right="1843"/>
      </w:pPr>
      <w:r>
        <w:t>18758273307  |  yongbinlan@outlook.com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83"/>
        <w:gridCol w:w="2381"/>
      </w:tblGrid>
      <w:tr>
        <w:tc>
          <w:tcPr>
            <w:tcW w:type="dxa" w:w="7483"/>
            <w:vAlign w:val="center"/>
            <w:shd w:fill="EEF3ED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80" w:line="377" w:lineRule="exact"/>
            </w:pPr>
            <w:r>
              <w:rPr>
                <w:rFonts w:ascii="Microsoft YaHei" w:hAnsi="Microsoft YaHei"/>
                <w:b/>
                <w:color w:val="26463E"/>
                <w:sz w:val="26"/>
              </w:rPr>
              <w:t>个人网站与项目作品集</w:t>
            </w:r>
          </w:p>
          <w:p>
            <w:pPr>
              <w:spacing w:after="100"/>
            </w:pPr>
            <w:hyperlink r:id="rId10">
              <w:r>
                <w:rPr>
                  <w:color w:val="245C58"/>
                  <w:sz w:val="23"/>
                  <w:u w:val="single"/>
                  <w:b/>
                </w:rPr>
                <w:t>https://yongbinlan.github.io/</w:t>
              </w:r>
            </w:hyperlink>
          </w:p>
          <w:p>
            <w:pPr>
              <w:spacing w:line="261" w:lineRule="exact" w:after="80"/>
            </w:pPr>
            <w:r>
              <w:rPr>
                <w:rFonts w:ascii="Microsoft YaHei" w:hAnsi="Microsoft YaHei"/>
                <w:b w:val="0"/>
                <w:color w:val="26463E"/>
                <w:sz w:val="18"/>
              </w:rPr>
              <w:t>四大业务域 · 13套系统 · 视频案例与方法流程</w:t>
            </w:r>
          </w:p>
          <w:p>
            <w:pPr>
              <w:spacing w:line="246" w:lineRule="exact" w:after="80"/>
            </w:pPr>
            <w:r>
              <w:rPr>
                <w:rFonts w:ascii="Microsoft YaHei" w:hAnsi="Microsoft YaHei"/>
                <w:b w:val="0"/>
                <w:color w:val="596666"/>
                <w:sz w:val="17"/>
              </w:rPr>
              <w:t>点击网址或右侧缩略图，直接查看项目。</w:t>
            </w:r>
          </w:p>
        </w:tc>
        <w:tc>
          <w:tcPr>
            <w:tcW w:type="dxa" w:w="2381"/>
            <w:vAlign w:val="center"/>
            <w:shd w:fill="EEF3ED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1224000" cy="1328833"/>
                  <wp:docPr id="2" name="Picture 2" descr="蓝晟硕个人网站真实首屏预览，点击访问项目作品集">
                    <a:hlinkClick r:id="rId10"/>
                  </wp:docPr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ebsite-thumbnail.png">
                            <a:hlinkClick r:id="rId10"/>
                          </pic:cNvPr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4000" cy="132883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line="260" w:lineRule="exact"/>
      </w:pPr>
      <w:r>
        <w:t>斌哥 AI 实战  |  职业方向：AI 应用工程与自动化解决方案</w:t>
      </w:r>
    </w:p>
    <w:p>
      <w:pPr>
        <w:pStyle w:val="Heading1"/>
        <w:pageBreakBefore w:val="0"/>
      </w:pPr>
      <w:r>
        <w:t>专业定位</w:t>
      </w:r>
    </w:p>
    <w:p>
      <w:r>
        <w:t>面向电商、跨境电商与传统企业，主导需求诊断、业务 SOP 拆解、AI 协作开发与交付验收。将商品知识、内容经验和业务规则组织为可检索、可调用、可复用的应用流程；具备内容增长与用户运营经验，能从业务指标出发确定自动化切入点。</w:t>
      </w:r>
    </w:p>
    <w:p>
      <w:pPr>
        <w:pStyle w:val="Heading1"/>
        <w:pageBreakBefore w:val="0"/>
      </w:pPr>
      <w:r>
        <w:t>AIGC 工作室</w:t>
      </w:r>
    </w:p>
    <w:p>
      <w:pPr>
        <w:spacing w:line="260" w:lineRule="exact" w:after="80"/>
      </w:pPr>
      <w:r>
        <w:rPr>
          <w:color w:val="63736E"/>
          <w:sz w:val="19"/>
        </w:rPr>
        <w:t>创始人兼首席 AI 策略师  |  2023.08—至今</w:t>
      </w:r>
    </w:p>
    <w:p>
      <w:r>
        <w:t>负责业务方案、流程与知识架构、工具选型、Prompt 设计和原型验收；以 Codex 辅助代码实现，结合 Python、结构化任务文件及浏览器验证交付应用。</w:t>
      </w:r>
    </w:p>
    <w:p>
      <w:pPr>
        <w:pStyle w:val="Heading2"/>
        <w:pageBreakBefore w:val="0"/>
      </w:pPr>
      <w:r>
        <w:t>01  站内营销内容生产工厂与 RAG 知识复用</w:t>
      </w:r>
    </w:p>
    <w:p>
      <w:pPr>
        <w:spacing w:line="260" w:lineRule="exact" w:after="80"/>
      </w:pPr>
      <w:r>
        <w:rPr>
          <w:color w:val="63736E"/>
          <w:sz w:val="19"/>
        </w:rPr>
        <w:t>内容与营销增长域  |  检索与知识复用模块已验证</w:t>
      </w:r>
    </w:p>
    <w:p>
      <w:r>
        <w:rPr>
          <w:b/>
        </w:rPr>
        <w:t xml:space="preserve">业务与方案  </w:t>
      </w:r>
      <w:r>
        <w:t>参考视频难复用、商品策划反复从头开始。设计“参考视频模仿与衍生创作”和“商品驱动策划”双轨流程，建立采集、分析、拆解、沉淀、检索复用与反馈机制。</w:t>
      </w:r>
    </w:p>
    <w:p>
      <w:r>
        <w:rPr>
          <w:b/>
        </w:rPr>
        <w:t xml:space="preserve">实现与交付  </w:t>
      </w:r>
      <w:r>
        <w:t>通过 Python 工厂入口组织任务与 Skill 调用计划；按业务域、场景和用途检索，展开来源、适用条件及版本，再形成生成上下文。实际采用绑定脚本落点与知识版本，证据变化或旧版失效时阻止继续复用。</w:t>
      </w:r>
    </w:p>
    <w:p>
      <w:r>
        <w:rPr>
          <w:b/>
        </w:rPr>
        <w:t xml:space="preserve">阶段成果  </w:t>
      </w:r>
      <w:r>
        <w:t>已形成共用案例、组件、类目模板与版本化知识卡，完成真实 query/get 展开及相关回归检查。本人主导业务建模与方法体系；批量稳定生产和营销效果按实际任务验证。</w:t>
      </w:r>
    </w:p>
    <w:p>
      <w:pPr>
        <w:spacing w:after="60" w:line="260" w:lineRule="exact"/>
      </w:pPr>
      <w:hyperlink r:id="rId11">
        <w:r>
          <w:rPr>
            <w:color w:val="245C58"/>
            <w:sz w:val="19"/>
            <w:u w:val="single"/>
          </w:rPr>
          <w:t>查看内容工厂方法与项目案例</w:t>
        </w:r>
      </w:hyperlink>
    </w:p>
    <w:p>
      <w:pPr>
        <w:pStyle w:val="Heading2"/>
        <w:pageBreakBefore w:val="0"/>
      </w:pPr>
      <w:r>
        <w:t>02  企业流程资产迁移与工具替代</w:t>
      </w:r>
    </w:p>
    <w:p>
      <w:pPr>
        <w:spacing w:line="260" w:lineRule="exact" w:after="80"/>
      </w:pPr>
      <w:r>
        <w:rPr>
          <w:color w:val="63736E"/>
          <w:sz w:val="19"/>
        </w:rPr>
        <w:t>商品与供应链运营域  |  在线流程镜像已交付</w:t>
      </w:r>
    </w:p>
    <w:p>
      <w:r>
        <w:rPr>
          <w:b/>
        </w:rPr>
        <w:t xml:space="preserve">业务与方案  </w:t>
      </w:r>
      <w:r>
        <w:t>围绕“功倍到期后如何保留业务流程”，拆解项目、看板、阶段、卡片与表单结构，主导 AI 协作开发可查询的静态镜像，并整理企微多维表替代路线。</w:t>
      </w:r>
    </w:p>
    <w:p>
      <w:r>
        <w:rPr>
          <w:b/>
        </w:rPr>
        <w:t xml:space="preserve">交付与验证  </w:t>
      </w:r>
      <w:r>
        <w:t>网页支持项目浏览、任务检索、状态筛选和节点详情，完成电脑与手机端实际交互验收并发布。交付范围为可体验的数据快照；多维表内部规则与实时审批需在授权环境另验。</w:t>
      </w:r>
    </w:p>
    <w:p>
      <w:pPr>
        <w:spacing w:after="60" w:line="260" w:lineRule="exact"/>
      </w:pPr>
      <w:hyperlink r:id="rId18">
        <w:r>
          <w:rPr>
            <w:color w:val="245C58"/>
            <w:sz w:val="19"/>
            <w:u w:val="single"/>
          </w:rPr>
          <w:t>体验功倍流程镜像与替代案例</w:t>
        </w:r>
      </w:hyperlink>
    </w:p>
    <w:p>
      <w:pPr>
        <w:pStyle w:val="Heading1"/>
        <w:pageBreakBefore/>
      </w:pPr>
      <w:r>
        <w:t>内容应用项目与可复用资产</w:t>
      </w:r>
    </w:p>
    <w:p>
      <w:pPr>
        <w:pStyle w:val="Heading2"/>
        <w:pageBreakBefore w:val="0"/>
      </w:pPr>
      <w:r>
        <w:t>03  咖啡豆吧台垫商品驱动 AI 视频</w:t>
      </w:r>
    </w:p>
    <w:p>
      <w:pPr>
        <w:spacing w:line="260" w:lineRule="exact" w:after="80"/>
      </w:pPr>
      <w:r>
        <w:rPr>
          <w:color w:val="63736E"/>
          <w:sz w:val="19"/>
        </w:rPr>
        <w:t>内容与营销增长域  |  分析方案与 30 秒竖屏 AI 样片</w:t>
      </w:r>
    </w:p>
    <w:p>
      <w:r>
        <w:rPr>
          <w:b/>
        </w:rPr>
        <w:t xml:space="preserve">本人职责  </w:t>
      </w:r>
      <w:r>
        <w:t>把商品资料转成可执行的视频制作任务。本人组织商品分析、卖点提炼、人群痛点、热门文案结构梳理、分镜设计与生成约束，建立“痛点—卖点—口播—演示—镜头”的对应关系。</w:t>
      </w:r>
    </w:p>
    <w:p>
      <w:r>
        <w:rPr>
          <w:b/>
        </w:rPr>
        <w:t xml:space="preserve">实现方法  </w:t>
      </w:r>
      <w:r>
        <w:t>用正背面参考限定同一产品，将尺寸、纹理、人物、场景和动作连续性写入多模态提示词；七组镜头拆成 17 段口播与动作要求，保留演示、对比及验收依据。</w:t>
      </w:r>
    </w:p>
    <w:p>
      <w:r>
        <w:rPr>
          <w:b/>
        </w:rPr>
        <w:t xml:space="preserve">交付与验证  </w:t>
      </w:r>
      <w:r>
        <w:t>交付商品分析、七组完整设计稿与 30 秒 9:16 AI 样片，网页可查看视频及制作流程。设计稿与样片分开迭代；当前为内容样例，逐镜完善、商品性能及发布后效果按实测验收。</w:t>
      </w:r>
    </w:p>
    <w:p>
      <w:pPr>
        <w:spacing w:after="60" w:line="260" w:lineRule="exact"/>
      </w:pPr>
      <w:hyperlink r:id="rId19">
        <w:r>
          <w:rPr>
            <w:color w:val="245C58"/>
            <w:sz w:val="19"/>
            <w:u w:val="single"/>
          </w:rPr>
          <w:t>观看咖啡垫视频与制作流程</w:t>
        </w:r>
      </w:hyperlink>
    </w:p>
    <w:p>
      <w:pPr>
        <w:pStyle w:val="Heading2"/>
        <w:pageBreakBefore w:val="0"/>
      </w:pPr>
      <w:r>
        <w:t>04  个人 IP 内容学习与知识资产复用</w:t>
      </w:r>
    </w:p>
    <w:p>
      <w:pPr>
        <w:spacing w:line="260" w:lineRule="exact" w:after="80"/>
      </w:pPr>
      <w:r>
        <w:rPr>
          <w:color w:val="63736E"/>
          <w:sz w:val="19"/>
        </w:rPr>
        <w:t>内容与营销增长域  |  知识分区与查询接口已验证</w:t>
      </w:r>
    </w:p>
    <w:p>
      <w:r>
        <w:rPr>
          <w:b/>
        </w:rPr>
        <w:t xml:space="preserve">业务与方案  </w:t>
      </w:r>
      <w:r>
        <w:t>针对学习成果分散、组件反复整理和旧素材误用，主导把货架电商、内容电商、个人 IP 接入同一知识库的独立业务分区，保留共享方法，并按原片时码关联案例与组件。</w:t>
      </w:r>
    </w:p>
    <w:p>
      <w:r>
        <w:rPr>
          <w:b/>
        </w:rPr>
        <w:t xml:space="preserve">工程化实现  </w:t>
      </w:r>
      <w:r>
        <w:t>通过 Python CLI 管理 query/get、分类、采用、反馈与历史；绑定知识 ID、版本和来源证据，区分偏好反馈、制作观察与发布指标。支持暂停推荐、旧版失效、跨日去重和重复运行 no_change。</w:t>
      </w:r>
    </w:p>
    <w:p>
      <w:r>
        <w:rPr>
          <w:b/>
        </w:rPr>
        <w:t xml:space="preserve">阶段成果  </w:t>
      </w:r>
      <w:r>
        <w:t>完成分区隔离、真实检索展开及相关回归；每日学习配额与深拆校验入口已实现并测试，保留可复用的知识接口与验收记录。当前重点为学习与知识复用模块，完整深拆链路待业务样本验证。</w:t>
      </w:r>
    </w:p>
    <w:p>
      <w:pPr>
        <w:pStyle w:val="Heading2"/>
        <w:pageBreakBefore w:val="0"/>
      </w:pPr>
      <w:r>
        <w:t>05  多品牌营销素材工作流</w:t>
      </w:r>
    </w:p>
    <w:p>
      <w:pPr>
        <w:spacing w:line="260" w:lineRule="exact" w:after="80"/>
      </w:pPr>
      <w:r>
        <w:rPr>
          <w:color w:val="63736E"/>
          <w:sz w:val="19"/>
        </w:rPr>
        <w:t>内容与营销增长域  |  参数化方案编排与内容作品</w:t>
      </w:r>
    </w:p>
    <w:p>
      <w:r>
        <w:t>将商品事实、品牌风格与平台要求分离配置，编排卖点、脚本、生成任务、审核和交付记录；本人负责 SOP、任务字段、提示词与验收设计。完成 3 品牌 × 3 平台共 9 组方案编排复测；方案复测、内容生成和交付分别记录，便于同一流程按品牌复用。</w:t>
      </w:r>
    </w:p>
    <w:p>
      <w:r>
        <w:rPr>
          <w:b/>
        </w:rPr>
        <w:t xml:space="preserve">代表产物  </w:t>
      </w:r>
      <w:r>
        <w:t>商品套图样例包含 5 张主图、6 张详情图；车载垃圾袋场景替换、纸巾袋宿舍场景视频已展示。</w:t>
      </w:r>
    </w:p>
    <w:p>
      <w:pPr>
        <w:spacing w:after="60" w:line="260" w:lineRule="exact"/>
      </w:pPr>
      <w:hyperlink r:id="rId20">
        <w:r>
          <w:rPr>
            <w:color w:val="245C58"/>
            <w:sz w:val="19"/>
            <w:u w:val="single"/>
          </w:rPr>
          <w:t>查看营销素材与系统案例</w:t>
        </w:r>
      </w:hyperlink>
    </w:p>
    <w:p>
      <w:pPr>
        <w:pStyle w:val="Heading2"/>
        <w:pageBreakBefore w:val="0"/>
      </w:pPr>
      <w:r>
        <w:t>在研项目  代码视频工作流</w:t>
      </w:r>
    </w:p>
    <w:p>
      <w:r>
        <w:t>已整理任务初始化、知识读取和输入校验入口；原创 Remotion / SVG 帧测试覆盖横竖两种比例及重复取帧一致性。当前为技术测试与候选制作方法，完整影片、音画同步及编辑器衔接仍在验证中。</w:t>
      </w:r>
    </w:p>
    <w:p>
      <w:pPr>
        <w:pStyle w:val="Heading1"/>
        <w:pageBreakBefore/>
      </w:pPr>
      <w:r>
        <w:t>AI 商业应用与系统能力地图</w:t>
      </w:r>
    </w:p>
    <w:p>
      <w:pPr>
        <w:pStyle w:val="Heading2"/>
        <w:pageBreakBefore w:val="0"/>
      </w:pPr>
      <w:r>
        <w:t>06  AI 工业化内容生产线</w:t>
      </w:r>
    </w:p>
    <w:p>
      <w:pPr>
        <w:spacing w:line="260" w:lineRule="exact" w:after="80"/>
      </w:pPr>
      <w:r>
        <w:rPr>
          <w:color w:val="63736E"/>
          <w:sz w:val="19"/>
        </w:rPr>
        <w:t>内容与营销增长域  |  历史商业实践</w:t>
      </w:r>
    </w:p>
    <w:p>
      <w:r>
        <w:t>负责从需求到交付的内容 SOP，整合关键词分析、内容拆解、Prompt 库、图像与视频生成、剪辑及人工校准，沉淀行业提示词与制作模板。历史项目形成单人日均短视频 30+ 条、多语言图文 200+ 篇的生产能力，为当前内容工厂提供业务基础。</w:t>
      </w:r>
    </w:p>
    <w:p>
      <w:pPr>
        <w:pStyle w:val="Heading2"/>
        <w:pageBreakBefore w:val="0"/>
      </w:pPr>
      <w:r>
        <w:t>07  跨境商品视觉与带货内容</w:t>
      </w:r>
    </w:p>
    <w:p>
      <w:pPr>
        <w:spacing w:line="260" w:lineRule="exact" w:after="80"/>
      </w:pPr>
      <w:r>
        <w:rPr>
          <w:color w:val="63736E"/>
          <w:sz w:val="19"/>
        </w:rPr>
        <w:t>商品与供应链运营域及内容与营销增长域  |  Amazon 与 TikTok Shop</w:t>
      </w:r>
    </w:p>
    <w:p>
      <w:r>
        <w:t>本人负责商品卖点、海外市场内容策略与工具链，组织主图、A+ 场景图、多语言脚本、配音与混剪，将素材测试纳入生产流程。</w:t>
      </w:r>
    </w:p>
    <w:p>
      <w:r>
        <w:rPr>
          <w:b/>
        </w:rPr>
        <w:t xml:space="preserve">历史成果  </w:t>
      </w:r>
      <w:r>
        <w:t>历史项目单 SKU 视觉交付由 5 天缩短至 4 小时，单账号周均带货视频 50+ 条；合作卖家单月 GMV 从 12 万至 67 万为项目整体结果。</w:t>
      </w:r>
    </w:p>
    <w:p>
      <w:pPr>
        <w:pStyle w:val="Heading2"/>
        <w:pageBreakBefore w:val="0"/>
      </w:pPr>
      <w:r>
        <w:t>08  售后归因与客服质检</w:t>
      </w:r>
    </w:p>
    <w:p>
      <w:pPr>
        <w:spacing w:line="260" w:lineRule="exact" w:after="80"/>
      </w:pPr>
      <w:r>
        <w:rPr>
          <w:color w:val="63736E"/>
          <w:sz w:val="19"/>
        </w:rPr>
        <w:t>交易与客户服务域及经营决策与组织效能域  |  已有分析报告</w:t>
      </w:r>
    </w:p>
    <w:p>
      <w:r>
        <w:t>按店铺、商品和问题类型整理售后反馈；将客服质检输出拆为问题明细、严重性、判断理由和建议回复，保留人工复核，支持追溯问题及培训。交付售后汇总、店铺关联、商品归因和质检报告；实时数据接入、自动派单与处理闭环仍在规划中。</w:t>
      </w:r>
    </w:p>
    <w:p>
      <w:pPr>
        <w:spacing w:after="60" w:line="260" w:lineRule="exact"/>
      </w:pPr>
      <w:hyperlink r:id="rId21">
        <w:r>
          <w:rPr>
            <w:color w:val="245C58"/>
            <w:sz w:val="19"/>
            <w:u w:val="single"/>
          </w:rPr>
          <w:t>查看售后归因与服务质量案例</w:t>
        </w:r>
      </w:hyperlink>
    </w:p>
    <w:p>
      <w:pPr>
        <w:pStyle w:val="Heading1"/>
        <w:pageBreakBefore w:val="0"/>
      </w:pPr>
      <w:r>
        <w:t>四大业务域与系统地图</w:t>
      </w:r>
    </w:p>
    <w:p>
      <w:pPr>
        <w:spacing w:line="260" w:lineRule="exact" w:after="80"/>
      </w:pPr>
      <w:r>
        <w:rPr>
          <w:color w:val="63736E"/>
          <w:sz w:val="19"/>
        </w:rPr>
        <w:t>围绕 13 类系统、42 个规划子模块设计业务自动化地图；项目案例说明已实践的范围，后续模块按业务优先级推进。</w:t>
      </w:r>
    </w:p>
    <w:p>
      <w:r>
        <w:rPr>
          <w:b/>
        </w:rPr>
        <w:t xml:space="preserve">商品与供应链运营  </w:t>
      </w:r>
      <w:r>
        <w:t>商品全生命周期运营 / 库存与采购协同 / 物流运费管控</w:t>
      </w:r>
    </w:p>
    <w:p>
      <w:r>
        <w:rPr>
          <w:b/>
        </w:rPr>
        <w:t xml:space="preserve">内容与营销增长  </w:t>
      </w:r>
      <w:r>
        <w:t>全域内容生产与分发 / 直播全链路运营 / 全域广告投放优化 / 达人与 KOL 合作管理</w:t>
      </w:r>
    </w:p>
    <w:p>
      <w:r>
        <w:rPr>
          <w:b/>
        </w:rPr>
        <w:t xml:space="preserve">交易与客户服务  </w:t>
      </w:r>
      <w:r>
        <w:t>询盘与订单履约 / 全渠道售后工单 / 财务对账与单据核验</w:t>
      </w:r>
    </w:p>
    <w:p>
      <w:r>
        <w:rPr>
          <w:b/>
        </w:rPr>
        <w:t xml:space="preserve">经营决策与组织效能  </w:t>
      </w:r>
      <w:r>
        <w:t>经营分析与异常预警 / 客户运营与私域增长 / 服务质量与合规管控</w:t>
      </w:r>
    </w:p>
    <w:p>
      <w:pPr>
        <w:spacing w:after="60" w:line="260" w:lineRule="exact"/>
      </w:pPr>
      <w:hyperlink r:id="rId15">
        <w:r>
          <w:rPr>
            <w:color w:val="245C58"/>
            <w:sz w:val="19"/>
            <w:u w:val="single"/>
          </w:rPr>
          <w:t>查看四大业务域与系统明细</w:t>
        </w:r>
      </w:hyperlink>
    </w:p>
    <w:p>
      <w:pPr>
        <w:pStyle w:val="Heading1"/>
        <w:pageBreakBefore w:val="0"/>
      </w:pPr>
      <w:r>
        <w:t>业务落地方法</w:t>
      </w:r>
    </w:p>
    <w:p>
      <w:r>
        <w:t>先确认重复工作、输入资料与交付标准，再拆 SOP、字段、工具调用与人工审核；用小样完成 POC，保留来源、版本和异常记录，以实际产物及业务反馈决定扩展范围。</w:t>
      </w:r>
    </w:p>
    <w:p>
      <w:pPr>
        <w:pStyle w:val="Heading1"/>
        <w:pageBreakBefore/>
      </w:pPr>
      <w:r>
        <w:t>完整工作经历与应用能力</w:t>
      </w:r>
    </w:p>
    <w:p>
      <w:pPr>
        <w:pStyle w:val="Heading1"/>
        <w:pageBreakBefore w:val="0"/>
      </w:pPr>
      <w:r>
        <w:t>群核科技</w:t>
      </w:r>
    </w:p>
    <w:p>
      <w:pPr>
        <w:spacing w:line="260" w:lineRule="exact" w:after="80"/>
      </w:pPr>
      <w:r>
        <w:rPr>
          <w:color w:val="63736E"/>
          <w:sz w:val="19"/>
        </w:rPr>
        <w:t>增长运营专家  |  2022.03—2023.07</w:t>
      </w:r>
    </w:p>
    <w:p>
      <w:r>
        <w:t>负责 PLG 增长与用户生命周期运营，围绕获客、转化、留存建立数据监控与复盘机制。</w:t>
      </w:r>
    </w:p>
    <w:p>
      <w:pPr>
        <w:pStyle w:val="Heading2"/>
        <w:pageBreakBefore w:val="0"/>
      </w:pPr>
      <w:r>
        <w:t>PLG 会员增长与转化路径优化</w:t>
      </w:r>
    </w:p>
    <w:p>
      <w:r>
        <w:t>以生命周期拆解会员转化路径，识别运营机会并制定动作；参与推动个人会员 GMV 从 5,000 万提升至近 1 亿，本人贡献集中在增长运营、路径优化与业务复盘。</w:t>
      </w:r>
    </w:p>
    <w:p>
      <w:pPr>
        <w:pStyle w:val="Heading2"/>
        <w:pageBreakBefore w:val="0"/>
      </w:pPr>
      <w:r>
        <w:t>全渠道流量矩阵与用户留存</w:t>
      </w:r>
    </w:p>
    <w:p>
      <w:r>
        <w:t>搭建全渠道流量矩阵，结合 SEO、内容增长、Cohort 分析与 RFM 分层优化获客和留存。项目自然流量占比由 12% 至 67%，用户周留存率由 37% 至 56%；该经验用于当前客户运营与经营分析系统的业务设计。</w:t>
      </w:r>
    </w:p>
    <w:p>
      <w:pPr>
        <w:pStyle w:val="Heading1"/>
        <w:pageBreakBefore w:val="0"/>
      </w:pPr>
      <w:r>
        <w:t>丁香园</w:t>
      </w:r>
    </w:p>
    <w:p>
      <w:pPr>
        <w:spacing w:line="260" w:lineRule="exact" w:after="80"/>
      </w:pPr>
      <w:r>
        <w:rPr>
          <w:color w:val="63736E"/>
          <w:sz w:val="19"/>
        </w:rPr>
        <w:t>用户增长专家  |  2018.04—2022.03</w:t>
      </w:r>
    </w:p>
    <w:p>
      <w:r>
        <w:t>负责丁香医生新媒体内容与用户增长，统筹内容策划、专业审核、多平台适配与数据复盘。</w:t>
      </w:r>
    </w:p>
    <w:p>
      <w:pPr>
        <w:pStyle w:val="Heading2"/>
        <w:pageBreakBefore w:val="0"/>
      </w:pPr>
      <w:r>
        <w:t>内容矩阵与多端复用</w:t>
      </w:r>
    </w:p>
    <w:p>
      <w:r>
        <w:t>将专业医学知识转化为大众图文与视频，建立一次生产、多端适配的协作流程。参与打造全网 5,000 万+ 粉丝内容矩阵，项目单篇最高阅读量 1,000 万+；沉淀内容结构、审核节点与协作经验。</w:t>
      </w:r>
    </w:p>
    <w:p>
      <w:pPr>
        <w:pStyle w:val="Heading2"/>
        <w:pageBreakBefore w:val="0"/>
      </w:pPr>
      <w:r>
        <w:t>热点响应与专业审核机制</w:t>
      </w:r>
    </w:p>
    <w:p>
      <w:r>
        <w:t>建立“热点监测—专家审核—快速发布”的 24 小时响应机制，组织专业校核并结合反馈调整选题。疫情期间多篇辟谣内容单条传播量 500 万+，形成跨团队协作与质量控制经验。</w:t>
      </w:r>
    </w:p>
    <w:p>
      <w:pPr>
        <w:pStyle w:val="Heading1"/>
        <w:pageBreakBefore w:val="0"/>
      </w:pPr>
      <w:r>
        <w:t>技术应用与交付能力</w:t>
      </w:r>
    </w:p>
    <w:p>
      <w:r>
        <w:rPr>
          <w:b/>
        </w:rPr>
        <w:t xml:space="preserve">AI 应用  </w:t>
      </w:r>
      <w:r>
        <w:t>Prompt 工程、Agent / Skill 任务组织、结构化知识检索与 RAG 上下文复用；商品事实约束、来源引用、版本失效处理和人工审核。</w:t>
      </w:r>
    </w:p>
    <w:p>
      <w:r>
        <w:rPr>
          <w:b/>
        </w:rPr>
        <w:t xml:space="preserve">实现工具  </w:t>
      </w:r>
      <w:r>
        <w:t>Python 用于任务入口、数据处理和知识接口；Playwright 用于浏览器操作与界面验收，FFmpeg 用于媒体处理。FastAPI / SQLAlchemy / Celery 有本地原型实践；Remotion / SVG 处于帧级技术验证阶段。</w:t>
      </w:r>
    </w:p>
    <w:p>
      <w:r>
        <w:rPr>
          <w:b/>
        </w:rPr>
        <w:t xml:space="preserve">工程化交付  </w:t>
      </w:r>
      <w:r>
        <w:t>将方案验证、软件检查、内容验收与业务效果分开记录；交付可体验产物、版本化文件、运行说明和验证记录，支持异常定位、复验与知识复用。</w:t>
      </w:r>
    </w:p>
    <w:p>
      <w:pPr>
        <w:pStyle w:val="Heading1"/>
        <w:pageBreakBefore w:val="0"/>
      </w:pPr>
      <w:r>
        <w:t>教育背景</w:t>
      </w:r>
    </w:p>
    <w:p>
      <w:r>
        <w:t>浙江工商大学  |  电子信息工程  |  本科  |  2011—2015</w:t>
      </w:r>
    </w:p>
    <w:p>
      <w:pPr>
        <w:spacing w:line="260" w:lineRule="exact" w:after="80"/>
      </w:pPr>
      <w:r>
        <w:rPr>
          <w:color w:val="63736E"/>
          <w:sz w:val="19"/>
        </w:rPr>
        <w:t>历史数字为本人原履历的项目记录，按参与范围表述；新项目以实际产物与验收记录说明阶段。</w:t>
      </w:r>
    </w:p>
    <w:sectPr w:rsidR="00FC693F" w:rsidRPr="0006063C" w:rsidSect="00034616">
      <w:footerReference w:type="default" r:id="rId16"/>
      <w:pgSz w:w="11906" w:h="16838"/>
      <w:pgMar w:top="907" w:right="1020" w:bottom="964" w:left="1020" w:header="397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751" w:val="right"/>
      </w:tabs>
    </w:pPr>
    <w:r>
      <w:rPr>
        <w:color w:val="596666"/>
        <w:sz w:val="16"/>
      </w:rPr>
      <w:t>蓝晟硕  ·  AI 自动化应用专家</w:t>
    </w:r>
    <w:r>
      <w:rPr>
        <w:color w:val="596666"/>
        <w:sz w:val="16"/>
      </w:rPr>
      <w:tab/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20" w:lineRule="exact" w:after="80"/>
    </w:pPr>
    <w:rPr>
      <w:rFonts w:ascii="Microsoft YaHei" w:hAnsi="Microsoft YaHei" w:eastAsia="Microsoft YaHei"/>
      <w:i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200" w:after="120" w:line="378" w:lineRule="exact"/>
      <w:outlineLvl w:val="0"/>
    </w:pPr>
    <w:rPr>
      <w:rFonts w:ascii="Microsoft YaHei" w:hAnsi="Microsoft YaHei" w:eastAsia="Microsoft YaHei"/>
      <w:b/>
      <w:bCs/>
      <w:i w:val="0"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160" w:after="80" w:line="310" w:lineRule="exact"/>
      <w:outlineLvl w:val="1"/>
    </w:pPr>
    <w:rPr>
      <w:rFonts w:ascii="Microsoft YaHei" w:hAnsi="Microsoft YaHei" w:eastAsia="Microsoft YaHei"/>
      <w:b/>
      <w:bCs/>
      <w:i w:val="0"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60" w:line="729" w:lineRule="exact" w:before="0"/>
      <w:contextualSpacing/>
    </w:pPr>
    <w:rPr>
      <w:rFonts w:ascii="Microsoft YaHei" w:hAnsi="Microsoft YaHei" w:eastAsia="Microsoft YaHei"/>
      <w:b/>
      <w:i w:val="0"/>
      <w:color w:val="000000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widowControl/>
      <w:numPr>
        <w:ilvl w:val="1"/>
      </w:numPr>
      <w:spacing w:line="432" w:lineRule="exact" w:after="100" w:before="0"/>
    </w:pPr>
    <w:rPr>
      <w:rFonts w:ascii="Microsoft YaHei" w:hAnsi="Microsoft YaHei" w:eastAsia="Microsoft YaHei"/>
      <w:b/>
      <w:i w:val="0"/>
      <w:iCs/>
      <w:color w:val="000000"/>
      <w:spacing w:val="15"/>
      <w:sz w:val="3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hyperlink" Target="https://yongbinlan.github.io/" TargetMode="External"/><Relationship Id="rId11" Type="http://schemas.openxmlformats.org/officeDocument/2006/relationships/hyperlink" Target="https://yongbinlan.github.io/#factory-methodology" TargetMode="External"/><Relationship Id="rId12" Type="http://schemas.openxmlformats.org/officeDocument/2006/relationships/hyperlink" Target="https://yongbinlan.github.io/?v=58#case-gongbei" TargetMode="External"/><Relationship Id="rId13" Type="http://schemas.openxmlformats.org/officeDocument/2006/relationships/hyperlink" Target="https://yongbinlan.github.io/#screening-room" TargetMode="External"/><Relationship Id="rId14" Type="http://schemas.openxmlformats.org/officeDocument/2006/relationships/hyperlink" Target="https://yongbinlan.github.io/#system-s13" TargetMode="External"/><Relationship Id="rId15" Type="http://schemas.openxmlformats.org/officeDocument/2006/relationships/hyperlink" Target="https://yongbinlan.github.io/#system-overview" TargetMode="External"/><Relationship Id="rId16" Type="http://schemas.openxmlformats.org/officeDocument/2006/relationships/footer" Target="footer1.xml"/><Relationship Id="rId17" Type="http://schemas.openxmlformats.org/officeDocument/2006/relationships/image" Target="media/image2.png"/><Relationship Id="rId18" Type="http://schemas.openxmlformats.org/officeDocument/2006/relationships/hyperlink" Target="https://yongbinlan.github.io/#case-gongbei" TargetMode="External"/><Relationship Id="rId19" Type="http://schemas.openxmlformats.org/officeDocument/2006/relationships/hyperlink" Target="https://yongbinlan.github.io/#case-coffee" TargetMode="External"/><Relationship Id="rId20" Type="http://schemas.openxmlformats.org/officeDocument/2006/relationships/hyperlink" Target="https://yongbinlan.github.io/#domain-d2" TargetMode="External"/><Relationship Id="rId21" Type="http://schemas.openxmlformats.org/officeDocument/2006/relationships/hyperlink" Target="https://yongbinlan.github.io/#domain-d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蓝晟硕 AI 自动化应用专家完整履历</dc:title>
  <dc:subject>四大业务域与代表自动化案例</dc:subject>
  <dc:creator>蓝晟硕</dc:creator>
  <cp:keywords/>
  <dc:description>V7 2026-10-13 automation application cases; source documents remain private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