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EB9EA">
      <w:pPr>
        <w:spacing w:before="1800" w:after="0"/>
      </w:pPr>
      <w:bookmarkStart w:id="0" w:name="_GoBack"/>
      <w:bookmarkEnd w:id="0"/>
    </w:p>
    <w:p w14:paraId="786CA6AD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F4E79"/>
          <w:sz w:val="72"/>
          <w:szCs w:val="72"/>
        </w:rPr>
        <w:t>OKX 合约交易助手</w:t>
      </w:r>
    </w:p>
    <w:p w14:paraId="5068496D">
      <w:pPr>
        <w:spacing w:before="0" w:after="400"/>
        <w:jc w:val="center"/>
      </w:pPr>
      <w:r>
        <w:rPr>
          <w:rFonts w:ascii="Arial" w:hAnsi="Arial" w:eastAsia="Arial" w:cs="Arial"/>
          <w:b/>
          <w:bCs/>
          <w:color w:val="2E75B6"/>
          <w:sz w:val="72"/>
          <w:szCs w:val="72"/>
        </w:rPr>
        <w:t>数据分析系统</w:t>
      </w:r>
    </w:p>
    <w:p w14:paraId="364A8663">
      <w:pPr>
        <w:spacing w:before="0" w:after="160"/>
        <w:jc w:val="center"/>
      </w:pPr>
      <w:r>
        <w:rPr>
          <w:rFonts w:ascii="Arial" w:hAnsi="Arial" w:eastAsia="Arial" w:cs="Arial"/>
          <w:color w:val="555555"/>
          <w:sz w:val="32"/>
          <w:szCs w:val="32"/>
        </w:rPr>
        <w:t>软件需求规格说明书</w:t>
      </w:r>
    </w:p>
    <w:p w14:paraId="33426AFD">
      <w:pPr>
        <w:spacing w:before="0" w:after="8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PRD v1.0 · 最终确认版</w:t>
      </w:r>
    </w:p>
    <w:p w14:paraId="5C67666A">
      <w:pPr>
        <w:spacing w:before="600" w:after="0"/>
      </w:pPr>
    </w:p>
    <w:p w14:paraId="72A503EC">
      <w:pPr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版本说明</w:t>
      </w:r>
    </w:p>
    <w:p w14:paraId="1BCDFC95">
      <w:pPr>
        <w:spacing w:before="60" w:after="60"/>
      </w:pPr>
    </w:p>
    <w:tbl>
      <w:tblPr>
        <w:tblStyle w:val="11"/>
        <w:tblW w:w="600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3000"/>
      </w:tblGrid>
      <w:tr w14:paraId="65EE14A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E84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EA4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54D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A174D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19962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v1.0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4748DA">
            <w:r>
              <w:rPr>
                <w:rFonts w:hint="eastAsia" w:eastAsia="宋体" w:cs="Arial"/>
                <w:b w:val="0"/>
                <w:bCs w:val="0"/>
                <w:color w:val="1A1A1A"/>
                <w:sz w:val="20"/>
                <w:szCs w:val="20"/>
                <w:lang w:eastAsia="zh-CN"/>
              </w:rPr>
              <w:t>2026年4月27日星期一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75E5D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初稿，经需求确认后定稿</w:t>
            </w:r>
          </w:p>
        </w:tc>
      </w:tr>
      <w:tr w14:paraId="3222B6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98EC8C">
            <w:pPr>
              <w:rPr>
                <w:rFonts w:hint="eastAsia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  <w:t>v1.01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073FC">
            <w:pPr>
              <w:rPr>
                <w:rFonts w:hint="eastAsia" w:eastAsia="宋体" w:cs="Arial"/>
                <w:b w:val="0"/>
                <w:bCs w:val="0"/>
                <w:color w:val="1A1A1A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1A1A1A"/>
                <w:sz w:val="20"/>
                <w:szCs w:val="20"/>
                <w:lang w:eastAsia="zh-CN"/>
              </w:rPr>
              <w:t>2026年4月27日星期一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30922D">
            <w:pPr>
              <w:numPr>
                <w:ilvl w:val="0"/>
                <w:numId w:val="1"/>
              </w:numPr>
              <w:rPr>
                <w:rFonts w:hint="eastAsia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  <w:t>修改止损计算规则（3.1.1）</w:t>
            </w:r>
          </w:p>
          <w:p w14:paraId="75264EEF">
            <w:pPr>
              <w:numPr>
                <w:ilvl w:val="0"/>
                <w:numId w:val="1"/>
              </w:numPr>
              <w:rPr>
                <w:rFonts w:hint="default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1A1A1A"/>
                <w:sz w:val="20"/>
                <w:szCs w:val="20"/>
                <w:lang w:val="en-US" w:eastAsia="zh-CN"/>
              </w:rPr>
              <w:t>增加行情扫描接口来源（5.4）</w:t>
            </w:r>
          </w:p>
        </w:tc>
      </w:tr>
    </w:tbl>
    <w:p w14:paraId="7282DB47">
      <w:r>
        <w:br w:type="page"/>
      </w:r>
    </w:p>
    <w:p w14:paraId="5D026291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一、项目概述</w:t>
      </w:r>
    </w:p>
    <w:p w14:paraId="1FEE383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项目目标</w:t>
      </w:r>
    </w:p>
    <w:p w14:paraId="2E50BF31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开发一款 Windows 桌面端专业合约交易软件，深度集成 OKX 交易所 API，核心解决以下三大痛点：</w:t>
      </w:r>
    </w:p>
    <w:p w14:paraId="15FF4A7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交易延迟痛点：手动确定点位后，下单与平仓操作存在不可接受的人工延迟，在极端行情中可能造成重大损失。</w:t>
      </w:r>
    </w:p>
    <w:p w14:paraId="43CFBC9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仓位管理混乱：缺乏系统化的仓位分配与风控工具，止损执行不严格，加仓计算依赖手工。</w:t>
      </w:r>
    </w:p>
    <w:p w14:paraId="00E6F4D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缺乏数据复盘：无量化工具评估自身交易习惯，无法识别扛单、不止损等系统性缺陷。</w:t>
      </w:r>
    </w:p>
    <w:p w14:paraId="7C1409B7">
      <w:pPr>
        <w:spacing w:before="60" w:after="60"/>
      </w:pPr>
    </w:p>
    <w:p w14:paraId="7DDFD7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技术平台确认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50B2F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4C9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953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6A2A59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C2973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目标平台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EEE90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Windows 桌面端（优先）</w:t>
            </w:r>
          </w:p>
        </w:tc>
      </w:tr>
      <w:tr w14:paraId="1A31FB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1B0BB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交易所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633B4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OKX（欧易）</w:t>
            </w:r>
          </w:p>
        </w:tc>
      </w:tr>
      <w:tr w14:paraId="476300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58CD6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合约类型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2F6F5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USDT 永续合约</w:t>
            </w:r>
          </w:p>
        </w:tc>
      </w:tr>
      <w:tr w14:paraId="1D6C5F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F22A4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账户模式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9CD66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单账户，单套 API Key</w:t>
            </w:r>
          </w:p>
        </w:tc>
      </w:tr>
      <w:tr w14:paraId="62E74E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8BE84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本地数据库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5764E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SQLite（本地存储，无云端同步）</w:t>
            </w:r>
          </w:p>
        </w:tc>
      </w:tr>
      <w:tr w14:paraId="7BB33C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46D7E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API 密钥存储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E14D9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本地加密存储，永不传输至非 OKX 官方服务器</w:t>
            </w:r>
          </w:p>
        </w:tc>
      </w:tr>
    </w:tbl>
    <w:p w14:paraId="55D822FC">
      <w:r>
        <w:br w:type="page"/>
      </w:r>
    </w:p>
    <w:p w14:paraId="39FA8632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二、交易执行模块（核心模块）</w:t>
      </w:r>
    </w:p>
    <w:p w14:paraId="55699A08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本模块为软件核心，所有功能的设计原则是：从用户操作到订单到达 OKX 服务器的端到端延迟最小化。</w:t>
      </w:r>
    </w:p>
    <w:p w14:paraId="46D7E4DC">
      <w:pPr>
        <w:spacing w:before="60" w:after="60"/>
      </w:pPr>
    </w:p>
    <w:p w14:paraId="7572153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双通道连接架构</w:t>
      </w:r>
    </w:p>
    <w:p w14:paraId="217E0444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系统需同时维持两条独立的服务器连接通道，任何时刻两条通道均处于活跃状态：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4E33E5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7C3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通道类型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170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AFE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525C5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31D54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REST API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3E488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下单、撤单、查询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6CDF8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HTTP 长连接，用于常规下单操作</w:t>
            </w:r>
          </w:p>
        </w:tc>
      </w:tr>
      <w:tr w14:paraId="183625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694B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WebSocket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4D2CB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实时行情、紧急平仓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569E9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持久连接，毫秒级消息推送</w:t>
            </w:r>
          </w:p>
        </w:tc>
      </w:tr>
    </w:tbl>
    <w:p w14:paraId="06465F76">
      <w:pPr>
        <w:spacing w:before="60" w:after="60"/>
      </w:pPr>
    </w:p>
    <w:p w14:paraId="0AA11169">
      <w:pPr>
        <w:shd w:val="clear" w:fill="FFF2CC"/>
        <w:spacing w:before="100" w:after="100"/>
        <w:ind w:left="48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[!] 极端行情/黑天鹅触发平仓时，系统必须同时通过 REST API 和 WebSocket 双通道并发发出平仓请求，两条通道的请求独立发出、互不依赖，以最大化平仓成功率。</w:t>
      </w:r>
    </w:p>
    <w:p w14:paraId="6DA18A51">
      <w:pPr>
        <w:spacing w:before="60" w:after="60"/>
      </w:pPr>
    </w:p>
    <w:p w14:paraId="141C546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极速下单</w:t>
      </w:r>
    </w:p>
    <w:p w14:paraId="49A5C23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2.2.1 操作流程</w:t>
      </w:r>
    </w:p>
    <w:p w14:paraId="3536A382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用户操作步骤（完全手动确认，系统只负责极速执行）：</w:t>
      </w:r>
    </w:p>
    <w:p w14:paraId="411C3D4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步骤 1：在币种选择框选择目标交易对。</w:t>
      </w:r>
    </w:p>
    <w:p w14:paraId="45EE6C6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步骤 2：设定交易方向（做多 / 做空）、仓位档位（首仓 50% / 加仓 25%）、杠杆倍率。</w:t>
      </w:r>
    </w:p>
    <w:p w14:paraId="55C37BB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步骤 3：实时价格显示框中展示当前最新价格，用户确认价格后执行操作。</w:t>
      </w:r>
    </w:p>
    <w:p w14:paraId="119BC39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步骤 4：按下快捷键或点击下单按钮，系统立即以当前显示价格发出订单。</w:t>
      </w:r>
    </w:p>
    <w:p w14:paraId="7889ED9E">
      <w:pPr>
        <w:spacing w:before="60" w:after="60"/>
      </w:pPr>
    </w:p>
    <w:p w14:paraId="07D2B41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2.2.2 下单按钮与快捷键</w:t>
      </w:r>
    </w:p>
    <w:p w14:paraId="188F3CAB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界面需提供以下操作入口：</w:t>
      </w:r>
    </w:p>
    <w:p w14:paraId="2020152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一键做多按钮（快捷键可自定义，建议默认 F1）</w:t>
      </w:r>
    </w:p>
    <w:p w14:paraId="3CEC700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一键做空按钮（快捷键可自定义，建议默认 F2）</w:t>
      </w:r>
    </w:p>
    <w:p w14:paraId="1C861D2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快捷键触发时无需鼠标焦点在软件窗口内，全局生效（或可设置为仅软件内生效）。</w:t>
      </w:r>
    </w:p>
    <w:p w14:paraId="65AF28C7">
      <w:pPr>
        <w:spacing w:before="60" w:after="60"/>
      </w:pPr>
    </w:p>
    <w:p w14:paraId="78C712C7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2.2.3 订单类型</w:t>
      </w:r>
    </w:p>
    <w:p w14:paraId="590DD4E1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拆单后的每笔子订单均使用限价单，挂单价格为触发下单瞬间的界面显示价格（即实时 Ticker 价格），确保以预期价格成交。</w:t>
      </w:r>
    </w:p>
    <w:p w14:paraId="5CC4ADDA">
      <w:pPr>
        <w:spacing w:before="60" w:after="60"/>
      </w:pPr>
    </w:p>
    <w:p w14:paraId="2FF14BC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2.3 智能拆单</w:t>
      </w:r>
    </w:p>
    <w:p w14:paraId="1083F71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2.3.1 触发条件</w:t>
      </w:r>
    </w:p>
    <w:p w14:paraId="50B71B0B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当单笔订单的 USDT 名义价值超过 800 USDT 时，自动触发拆单逻辑。</w:t>
      </w:r>
    </w:p>
    <w:p w14:paraId="5FE31A80">
      <w:pPr>
        <w:spacing w:before="60" w:after="60"/>
      </w:pPr>
    </w:p>
    <w:p w14:paraId="6397637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2.3.2 拆单规则</w:t>
      </w:r>
    </w:p>
    <w:p w14:paraId="195E71B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将总订单金额拆分为多笔子订单。</w:t>
      </w:r>
    </w:p>
    <w:p w14:paraId="45B7808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每笔子订单的数量在均分基础上加入随机数因子（±5%~15% 随机浮动，具体范围可配置）。</w:t>
      </w:r>
    </w:p>
    <w:p w14:paraId="052DCAC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拆分后所有子订单的总数量必须等于原始总数量（随机误差在最后一笔子订单中补齐）。</w:t>
      </w:r>
    </w:p>
    <w:p w14:paraId="7217A26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各子订单同时发出，不设延迟。</w:t>
      </w:r>
    </w:p>
    <w:p w14:paraId="3CC61643">
      <w:pPr>
        <w:spacing w:before="60" w:after="60"/>
      </w:pPr>
    </w:p>
    <w:p w14:paraId="4D1A6350">
      <w:pPr>
        <w:shd w:val="clear" w:fill="EBF3FB"/>
        <w:spacing w:before="100" w:after="100"/>
        <w:ind w:left="480"/>
      </w:pPr>
      <w:r>
        <w:rPr>
          <w:rFonts w:ascii="Arial" w:hAnsi="Arial" w:eastAsia="Arial" w:cs="Arial"/>
          <w:i/>
          <w:iCs/>
          <w:color w:val="1F4E79"/>
          <w:sz w:val="20"/>
          <w:szCs w:val="20"/>
        </w:rPr>
        <w:t>[NOTE] 拆单目的：避免大单在订单簿中过于显眼，随机数因子使子订单看起来像独立的散户行为。</w:t>
      </w:r>
    </w:p>
    <w:p w14:paraId="6D763FBE">
      <w:pPr>
        <w:spacing w:before="60" w:after="60"/>
      </w:pPr>
    </w:p>
    <w:p w14:paraId="4857996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2.4 一键全平</w:t>
      </w:r>
    </w:p>
    <w:p w14:paraId="27FD339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2.4.1 触发方式</w:t>
      </w:r>
    </w:p>
    <w:p w14:paraId="0BCB76E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界面上设置醒目的「一键全平」按钮。</w:t>
      </w:r>
    </w:p>
    <w:p w14:paraId="3B98A51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可选配置：支持设置是否需要二次确认弹窗（默认关闭，即无需二次确认）。</w:t>
      </w:r>
    </w:p>
    <w:p w14:paraId="56AA8ACD">
      <w:pPr>
        <w:spacing w:before="60" w:after="60"/>
      </w:pPr>
    </w:p>
    <w:p w14:paraId="554B1FD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2.4.2 执行逻辑</w:t>
      </w:r>
    </w:p>
    <w:p w14:paraId="3BCEC8F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点击后，系统立即查询账户所有当前 USDT 永续合约持仓。</w:t>
      </w:r>
    </w:p>
    <w:p w14:paraId="1EBF76D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对每个持仓，先发出限价单（价格为当前市价）进行平仓。</w:t>
      </w:r>
    </w:p>
    <w:p w14:paraId="760036F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同时启动计时器（超时时长用户可在设置中自定义，建议默认 3 秒）。</w:t>
      </w:r>
    </w:p>
    <w:p w14:paraId="1B18062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若超时后该持仓的限价单仍未完全成交，系统自动撤销未成交的限价单，并改发市价单强制平仓。</w:t>
      </w:r>
    </w:p>
    <w:p w14:paraId="0000B9A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一键全平触发时，同时通过 REST API 和 WebSocket 双通道并发发出平仓指令（参见 2.1 双通道架构）。</w:t>
      </w:r>
    </w:p>
    <w:p w14:paraId="20A2734D">
      <w:pPr>
        <w:spacing w:before="60" w:after="60"/>
      </w:pP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207B1F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E91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B7D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54F85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8ECF0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限价转市价超时时长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9C963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用户在「设置」中自定义，范围建议 1~30 秒，默认 3 秒</w:t>
            </w:r>
          </w:p>
        </w:tc>
      </w:tr>
      <w:tr w14:paraId="784408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87BA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二次确认开关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ADF58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用户在「设置」中配置，默认关闭（无需确认）</w:t>
            </w:r>
          </w:p>
        </w:tc>
      </w:tr>
    </w:tbl>
    <w:p w14:paraId="362F06F3">
      <w:pPr>
        <w:spacing w:before="60" w:after="60"/>
      </w:pPr>
    </w:p>
    <w:p w14:paraId="5C57575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2.5 交易界面核心组件</w:t>
      </w:r>
    </w:p>
    <w:p w14:paraId="4A1C35F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2.5.1 币种选择框</w:t>
      </w:r>
    </w:p>
    <w:p w14:paraId="32C7944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支持下拉搜索选择，列出 OKX 所有 USDT 永续合约交易对。</w:t>
      </w:r>
    </w:p>
    <w:p w14:paraId="32CC758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下拉列表顶部自动置顶用户曾成功下单过的币种（按最近使用时间排序）。</w:t>
      </w:r>
    </w:p>
    <w:p w14:paraId="5C7837B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常用币种记录持久化存储于本地 SQLite 数据库。</w:t>
      </w:r>
    </w:p>
    <w:p w14:paraId="3C8694E4">
      <w:pPr>
        <w:spacing w:before="60" w:after="60"/>
      </w:pPr>
    </w:p>
    <w:p w14:paraId="2C8B44B0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2.5.2 实时价格显示框</w:t>
      </w:r>
    </w:p>
    <w:p w14:paraId="52CE684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在界面中以醒目位置（大字体、高对比色）独立显示当前选定币种的最新成交价。</w:t>
      </w:r>
    </w:p>
    <w:p w14:paraId="03022C4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价格通过 WebSocket 订阅实时刷新，延迟目标 &lt; 100ms。</w:t>
      </w:r>
    </w:p>
    <w:p w14:paraId="7F2EB5D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用户执行下单时，以该框在按下操作瞬间的显示价格作为限价单价格。</w:t>
      </w:r>
    </w:p>
    <w:p w14:paraId="28EE5350">
      <w:pPr>
        <w:spacing w:before="60" w:after="60"/>
      </w:pPr>
    </w:p>
    <w:p w14:paraId="149E7C9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2.5.3 加仓计算器按钮</w:t>
      </w:r>
    </w:p>
    <w:p w14:paraId="2E64B27A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界面上提供「加仓」快捷按钮（第一次加仓 / 第二次加仓各一个），点击后系统自动完成以下计算并发出订单：</w:t>
      </w:r>
    </w:p>
    <w:p w14:paraId="39AC1CE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读取当前账户该币种的已有持仓数量与平均开仓价。</w:t>
      </w:r>
    </w:p>
    <w:p w14:paraId="0A2EEA2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根据当前账户可用余额，计算本次加仓应下单的合约数量（第一次加仓 = 账户总本金的 25%，第二次加仓 = 剩余 25%）。</w:t>
      </w:r>
    </w:p>
    <w:p w14:paraId="4DB06A5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自动更新止损价格（基于新的加权均价重新计算，详见第三章）。</w:t>
      </w:r>
    </w:p>
    <w:p w14:paraId="6B8F580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一键完成加仓下单 + 旧止损撤销 + 新止损挂单全套动作。</w:t>
      </w:r>
    </w:p>
    <w:p w14:paraId="0BD841C9">
      <w:r>
        <w:br w:type="page"/>
      </w:r>
    </w:p>
    <w:p w14:paraId="10CB2BFE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三、强制风控模块</w:t>
      </w:r>
    </w:p>
    <w:p w14:paraId="74B8B832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风控规则为系统强制内置，不可绕过。每笔开仓操作自动附带止损逻辑，无需用户手动设置。</w:t>
      </w:r>
    </w:p>
    <w:p w14:paraId="0F2117CA">
      <w:pPr>
        <w:spacing w:before="60" w:after="60"/>
      </w:pPr>
    </w:p>
    <w:p w14:paraId="7572229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止损规则</w:t>
      </w:r>
    </w:p>
    <w:p w14:paraId="3B9238A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3.1.1 止损计算公式</w:t>
      </w:r>
    </w:p>
    <w:p w14:paraId="39CE7F84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止损基准为账户本金亏损百分比（确认方案 A），计算方式如下：</w:t>
      </w:r>
    </w:p>
    <w:p w14:paraId="6FD6A9CA">
      <w:pPr>
        <w:spacing w:before="60" w:after="60"/>
      </w:pPr>
    </w:p>
    <w:p w14:paraId="65380D3B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D6E4F0"/>
        <w:spacing w:before="140" w:after="140"/>
        <w:ind w:left="720" w:right="720"/>
        <w:jc w:val="center"/>
        <w:rPr>
          <w:rFonts w:ascii="Arial" w:hAnsi="Arial" w:eastAsia="Arial" w:cs="Arial"/>
          <w:b/>
          <w:bCs/>
          <w:color w:val="1F4E79"/>
          <w:sz w:val="24"/>
          <w:szCs w:val="24"/>
        </w:rPr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本金亏损上限 = 10% × 杠杆倍率　　　　</w:t>
      </w:r>
    </w:p>
    <w:p w14:paraId="3F02AD8D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D6E4F0"/>
        <w:spacing w:before="140" w:after="140"/>
        <w:ind w:left="720" w:right="720"/>
        <w:jc w:val="center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价格止损线 = 开仓价 × 10%（固定不变）</w:t>
      </w:r>
    </w:p>
    <w:p w14:paraId="68DEC8E7">
      <w:pPr>
        <w:spacing w:before="60" w:after="60"/>
      </w:pPr>
    </w:p>
    <w:p w14:paraId="678D6C9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举例说明（开仓价 100 USDT）：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CA554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5DD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杠杆倍率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3624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本金亏损上限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B63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多单止损价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EA9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空单止损价</w:t>
            </w:r>
          </w:p>
        </w:tc>
      </w:tr>
      <w:tr w14:paraId="19BF56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F7355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7CC60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D7DB1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90.00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0CDCD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110.00</w:t>
            </w:r>
          </w:p>
        </w:tc>
      </w:tr>
      <w:tr w14:paraId="3F6001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6CDE9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357ED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31879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90.00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E160B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110.00</w:t>
            </w:r>
          </w:p>
        </w:tc>
      </w:tr>
      <w:tr w14:paraId="51ECC6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69AA2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3x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8C5B1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30%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E5CA9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90.00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35BD8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110.00</w:t>
            </w:r>
          </w:p>
        </w:tc>
      </w:tr>
    </w:tbl>
    <w:p w14:paraId="6B2488E4">
      <w:pPr>
        <w:spacing w:before="60" w:after="60"/>
      </w:pPr>
    </w:p>
    <w:p w14:paraId="2C1292CC">
      <w:pPr>
        <w:shd w:val="clear" w:fill="EBF3FB"/>
        <w:spacing w:before="100" w:after="100"/>
        <w:ind w:left="480"/>
      </w:pPr>
      <w:r>
        <w:rPr>
          <w:rFonts w:ascii="Arial" w:hAnsi="Arial" w:eastAsia="Arial" w:cs="Arial"/>
          <w:i/>
          <w:iCs/>
          <w:color w:val="1F4E79"/>
          <w:sz w:val="20"/>
          <w:szCs w:val="20"/>
        </w:rPr>
        <w:t>[NOTE] 止损订单类型为条件限价单（触及止损价后以市价执行），确保在极端行情中能实际成交。</w:t>
      </w:r>
    </w:p>
    <w:p w14:paraId="0B080711">
      <w:pPr>
        <w:spacing w:before="60" w:after="60"/>
      </w:pPr>
    </w:p>
    <w:p w14:paraId="46F3B79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3.1.2 加仓后止损更新</w:t>
      </w:r>
    </w:p>
    <w:p w14:paraId="3B7D6CE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每次加仓成功后，系统自动以新的加权均价重新计算止损价格。</w:t>
      </w:r>
    </w:p>
    <w:p w14:paraId="784DD97B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自动撤销旧的止损挂单，以新止损价重新挂单。</w:t>
      </w:r>
    </w:p>
    <w:p w14:paraId="4131B26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新止损价计算基准为本次加仓后的全仓加权均价，而非首次开仓价。</w:t>
      </w:r>
    </w:p>
    <w:p w14:paraId="3C317040">
      <w:pPr>
        <w:spacing w:before="60" w:after="60"/>
      </w:pPr>
    </w:p>
    <w:p w14:paraId="5F0ED48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仓位分配规则</w:t>
      </w:r>
    </w:p>
    <w:p w14:paraId="472B4F3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3.2.1 启动条件</w:t>
      </w:r>
    </w:p>
    <w:p w14:paraId="29E707A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账户可用本金 ≥ 1500 USDT 时，强制执行以下仓位分配策略。</w:t>
      </w:r>
    </w:p>
    <w:p w14:paraId="4CA879A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账户可用本金 &lt; 1500 USDT 时，仓位分配规则放开，由用户手动决定（但杠杆上限仍然生效）。</w:t>
      </w:r>
    </w:p>
    <w:p w14:paraId="2AC2506C">
      <w:pPr>
        <w:spacing w:before="60" w:after="60"/>
      </w:pPr>
    </w:p>
    <w:p w14:paraId="34FB110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3.2.2 三档仓位规则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200"/>
        <w:gridCol w:w="3160"/>
      </w:tblGrid>
      <w:tr w14:paraId="5174A0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194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操作档位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072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本次使用本金比例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AAA0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累计本金占用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3EEB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触发方式</w:t>
            </w:r>
          </w:p>
        </w:tc>
      </w:tr>
      <w:tr w14:paraId="3BF02D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A736C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首次开仓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78FD3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50%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4DCC0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50%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2AE1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手动下单按钮</w:t>
            </w:r>
          </w:p>
        </w:tc>
      </w:tr>
      <w:tr w14:paraId="429C3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233BA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第一次加仓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4A7EE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25%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50B6F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75%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1A78F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「第一次加仓」按钮（手动判断时机）</w:t>
            </w:r>
          </w:p>
        </w:tc>
      </w:tr>
      <w:tr w14:paraId="5E2C89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604A6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第二次加仓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3A28C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25%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D76F2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100%（满仓）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5F465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「第二次加仓」按钮（手动判断时机）</w:t>
            </w:r>
          </w:p>
        </w:tc>
      </w:tr>
    </w:tbl>
    <w:p w14:paraId="30583780">
      <w:pPr>
        <w:spacing w:before="60" w:after="60"/>
      </w:pPr>
    </w:p>
    <w:p w14:paraId="38220353">
      <w:pPr>
        <w:shd w:val="clear" w:fill="FFF2CC"/>
        <w:spacing w:before="100" w:after="100"/>
        <w:ind w:left="48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[!] 加仓时机完全由用户手动判断决定，系统不设自动触发条件。系统只负责在用户点击加仓按钮后，自动计算正确的加仓数量并执行。</w:t>
      </w:r>
    </w:p>
    <w:p w14:paraId="45EF38D1">
      <w:pPr>
        <w:spacing w:before="60" w:after="60"/>
      </w:pPr>
    </w:p>
    <w:p w14:paraId="668C5A6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杠杆上限硬限制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184A0A1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990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交易方向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422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杠杆上限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125C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52D65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F293C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做多（多单）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46537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3x（最高）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1E36B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可设置为 1x 或 2x，不允许超过 3x</w:t>
            </w:r>
          </w:p>
        </w:tc>
      </w:tr>
      <w:tr w14:paraId="3ECA3F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9F830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做空（空单）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2C587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2x（最高）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CB5DB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可设置为 1x，不允许超过 2x</w:t>
            </w:r>
          </w:p>
        </w:tc>
      </w:tr>
    </w:tbl>
    <w:p w14:paraId="744B096B">
      <w:pPr>
        <w:spacing w:before="60" w:after="60"/>
      </w:pPr>
    </w:p>
    <w:p w14:paraId="2C83CD00">
      <w:pPr>
        <w:shd w:val="clear" w:fill="FFF2CC"/>
        <w:spacing w:before="100" w:after="100"/>
        <w:ind w:left="48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[!] 杠杆上限为系统硬限制，界面上的杠杆选择器不得出现超过上限的选项。用户只能在 1x 到上限之间调整。</w:t>
      </w:r>
    </w:p>
    <w:p w14:paraId="37E8B8DE">
      <w:r>
        <w:br w:type="page"/>
      </w:r>
    </w:p>
    <w:p w14:paraId="7CAA7EF2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四、数据分析看板</w:t>
      </w:r>
    </w:p>
    <w:p w14:paraId="2C9FD307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数据来源：OKX 历史成交数据（通过 API 同步）与本软件本地成交记录合并去重后作为统一数据源。</w:t>
      </w:r>
    </w:p>
    <w:p w14:paraId="1E417B29">
      <w:pPr>
        <w:spacing w:before="60" w:after="60"/>
      </w:pPr>
    </w:p>
    <w:p w14:paraId="4ACCAF8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基础交易统计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9E9B5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C927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统计指标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66C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2AB74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91323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总体胜率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81BB5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盈利交易笔数 / 总交易笔数 × 100%</w:t>
            </w:r>
          </w:p>
        </w:tc>
      </w:tr>
      <w:tr w14:paraId="6DFE23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6CDA4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盈亏比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8BF9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平均盈利金额 / 平均亏损金额</w:t>
            </w:r>
          </w:p>
        </w:tc>
      </w:tr>
      <w:tr w14:paraId="31FD01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CA05E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累计收益率曲线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A6260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按时间轴展示每笔交易后账户净值变化折线图</w:t>
            </w:r>
          </w:p>
        </w:tc>
      </w:tr>
      <w:tr w14:paraId="0ED037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DA1B9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总交易笔数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8A81D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含盈利、亏损、保本三类分别统计</w:t>
            </w:r>
          </w:p>
        </w:tc>
      </w:tr>
      <w:tr w14:paraId="6A8B13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DF207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最大连续盈利/亏损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61287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连续盈利最长笔数与连续亏损最长笔数</w:t>
            </w:r>
          </w:p>
        </w:tc>
      </w:tr>
    </w:tbl>
    <w:p w14:paraId="75AE00BF">
      <w:pPr>
        <w:spacing w:before="60" w:after="60"/>
      </w:pPr>
    </w:p>
    <w:p w14:paraId="543A0FA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扛单行为分析</w:t>
      </w:r>
    </w:p>
    <w:p w14:paraId="67744861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定义：「扛单」指在持仓浮亏状态下未按止损计划平仓，继续持有仓位的行为。</w:t>
      </w:r>
    </w:p>
    <w:p w14:paraId="2D5B28AC">
      <w:pPr>
        <w:spacing w:before="60" w:after="60"/>
      </w:pPr>
    </w:p>
    <w:p w14:paraId="6A82056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统计每笔最终亏损的交易，在平仓前曾达到的最大浮亏金额与最大浮亏比率。</w:t>
      </w:r>
    </w:p>
    <w:p w14:paraId="51A15FD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计算所有亏损交易的「平均最大浮亏比率」。</w:t>
      </w:r>
    </w:p>
    <w:p w14:paraId="0973121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以散点图或柱状图展示每笔亏损交易的最大浮亏分布。</w:t>
      </w:r>
    </w:p>
    <w:p w14:paraId="67DC28C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标注止损线（设定的止损比例），直观展示哪些交易超出了止损范围仍未平仓。</w:t>
      </w:r>
    </w:p>
    <w:p w14:paraId="11B2C63A">
      <w:pPr>
        <w:spacing w:before="60" w:after="60"/>
      </w:pPr>
    </w:p>
    <w:p w14:paraId="480C83D4">
      <w:pPr>
        <w:shd w:val="clear" w:fill="EBF3FB"/>
        <w:spacing w:before="100" w:after="100"/>
        <w:ind w:left="480"/>
      </w:pPr>
      <w:r>
        <w:rPr>
          <w:rFonts w:ascii="Arial" w:hAnsi="Arial" w:eastAsia="Arial" w:cs="Arial"/>
          <w:i/>
          <w:iCs/>
          <w:color w:val="1F4E79"/>
          <w:sz w:val="20"/>
          <w:szCs w:val="20"/>
        </w:rPr>
        <w:t>[NOTE] 该指标用于量化「明知应止损但未执行」的程度，是评估交易纪律最核心的数据。</w:t>
      </w:r>
    </w:p>
    <w:p w14:paraId="0DB8AEE0">
      <w:pPr>
        <w:spacing w:before="60" w:after="60"/>
      </w:pPr>
    </w:p>
    <w:p w14:paraId="1B03B62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止损回测模拟分析</w:t>
      </w:r>
    </w:p>
    <w:p w14:paraId="692CEAF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4.3.1 功能描述</w:t>
      </w:r>
    </w:p>
    <w:p w14:paraId="095337C0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用户输入一个自定义止损比例（如 5%、10%、15%、20%），系统对历史所有交易进行模拟回测：假设每笔交易都在价格从开仓价回撤该比例时严格止损，计算结果变化。</w:t>
      </w:r>
    </w:p>
    <w:p w14:paraId="798D1558">
      <w:pPr>
        <w:spacing w:before="60" w:after="60"/>
      </w:pPr>
    </w:p>
    <w:p w14:paraId="3FD14BE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4.3.2 回测计算逻辑</w:t>
      </w:r>
    </w:p>
    <w:p w14:paraId="3B17357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遍历历史所有交易记录。</w:t>
      </w:r>
    </w:p>
    <w:p w14:paraId="32B1939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对每笔交易：若实际亏损比率超过设定止损比例，则将该笔盈亏替换为「在止损点平仓的亏损额」；若实际亏损比率未超过止损比例（或该笔盈利），保留原始结果。</w:t>
      </w:r>
    </w:p>
    <w:p w14:paraId="66A1D1D4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汇总计算模拟后的总盈亏、胜率、盈亏比。</w:t>
      </w:r>
    </w:p>
    <w:p w14:paraId="327E1468">
      <w:pPr>
        <w:spacing w:before="60" w:after="60"/>
      </w:pPr>
    </w:p>
    <w:p w14:paraId="7DC8A34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4.3.3 展示方式</w:t>
      </w:r>
    </w:p>
    <w:p w14:paraId="2D54113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支持用户同时选择多个止损比例（如同时对比 5% / 10% / 15% / 20%）。</w:t>
      </w:r>
    </w:p>
    <w:p w14:paraId="2B38DAE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以多列对比表格形式展示各止损比例下的核心指标（胜率、总盈亏、盈亏比）。</w:t>
      </w:r>
    </w:p>
    <w:p w14:paraId="4E8680C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以折线图对比展示不同止损比例下的累计收益率曲线（多条线同时展示）。</w:t>
      </w:r>
    </w:p>
    <w:p w14:paraId="2A8034B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同时展示「实际历史结果」作为基准对比线。</w:t>
      </w:r>
    </w:p>
    <w:p w14:paraId="34F3FBA4">
      <w:pPr>
        <w:spacing w:before="60" w:after="60"/>
      </w:pPr>
    </w:p>
    <w:p w14:paraId="2733A11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4.4 仓位策略分层分析（≥1500 USDT 策略专项）</w:t>
      </w:r>
    </w:p>
    <w:p w14:paraId="5B77C8A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4.4.1 首仓单独统计</w:t>
      </w:r>
    </w:p>
    <w:p w14:paraId="61FB639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仅统计首次开仓（50% 仓位）到第一次加仓前（或直接平仓）期间的独立业绩。</w:t>
      </w:r>
    </w:p>
    <w:p w14:paraId="79B28C7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指标：首仓胜率、首仓平均盈亏额、首仓止损触发次数及触发比例。</w:t>
      </w:r>
    </w:p>
    <w:p w14:paraId="77F6E046">
      <w:pPr>
        <w:spacing w:before="60" w:after="60"/>
      </w:pPr>
    </w:p>
    <w:p w14:paraId="584FDF8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4.4.2 加仓后整体仓位统计</w:t>
      </w:r>
    </w:p>
    <w:p w14:paraId="112DDC6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统计从首次加仓发生起，到该币种持仓完全平仓为止的整体盈亏。</w:t>
      </w:r>
    </w:p>
    <w:p w14:paraId="6A93EEA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指标：加仓后整体胜率、平均盈亏额、期间止损触发次数及触发比例。</w:t>
      </w:r>
    </w:p>
    <w:p w14:paraId="4EE9C71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注明加仓次数分布（加了 1 次就平仓 vs 加满 2 次才平仓 的占比）。</w:t>
      </w:r>
    </w:p>
    <w:p w14:paraId="6E3D7EC8">
      <w:pPr>
        <w:spacing w:before="60" w:after="60"/>
      </w:pPr>
    </w:p>
    <w:p w14:paraId="43FA0F5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4.4.3 两类数据对比</w:t>
      </w:r>
    </w:p>
    <w:p w14:paraId="4455F95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在同一图表中对比「首仓独立表现」与「加仓后整体表现」，直观评估加仓策略对整体业绩的影响是正面还是负面。</w:t>
      </w:r>
    </w:p>
    <w:p w14:paraId="3E9B71CD">
      <w:r>
        <w:br w:type="page"/>
      </w:r>
    </w:p>
    <w:p w14:paraId="0E8F9536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五、历史极端行情扫描模块</w:t>
      </w:r>
    </w:p>
    <w:p w14:paraId="7C3E2336">
      <w:pPr>
        <w:spacing w:before="80" w:after="80"/>
      </w:pPr>
      <w:r>
        <w:rPr>
          <w:rFonts w:ascii="Arial" w:hAnsi="Arial" w:eastAsia="Arial" w:cs="Arial"/>
          <w:color w:val="1A1A1A"/>
          <w:sz w:val="22"/>
          <w:szCs w:val="22"/>
        </w:rPr>
        <w:t>本模块为独立的复盘研究工具，与交易执行模块完全解耦，不影响日常交易操作。</w:t>
      </w:r>
    </w:p>
    <w:p w14:paraId="71ED3E5E">
      <w:pPr>
        <w:spacing w:before="60" w:after="60"/>
      </w:pPr>
    </w:p>
    <w:p w14:paraId="42A90D6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扫描范围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78372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297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577D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D457E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33C6D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合约类型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4E349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OKX USDT 永续合约，全部上线交易对</w:t>
            </w:r>
          </w:p>
        </w:tc>
      </w:tr>
      <w:tr w14:paraId="5486DB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7814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时间范围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73C8D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各交易对自上线以来所有历史数据</w:t>
            </w:r>
          </w:p>
        </w:tc>
      </w:tr>
      <w:tr w14:paraId="2D9163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5E59E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K 线周期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8FCB6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1 分钟 K 线</w:t>
            </w:r>
          </w:p>
        </w:tc>
      </w:tr>
      <w:tr w14:paraId="36244C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29C98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触发阈值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DCAAB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单根 1 分钟 K 线涨跌幅绝对值 ≥ 10%</w:t>
            </w:r>
          </w:p>
        </w:tc>
      </w:tr>
    </w:tbl>
    <w:p w14:paraId="6F6D959B">
      <w:pPr>
        <w:spacing w:before="60" w:after="60"/>
      </w:pPr>
    </w:p>
    <w:p w14:paraId="518ED91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扫描结果字段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1780F0A2"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763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51C2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694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904F1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83FF6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币种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A8DB7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文本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6819D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如 BTC-USDT-SWAP</w:t>
            </w:r>
          </w:p>
        </w:tc>
      </w:tr>
      <w:tr w14:paraId="6B6058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59ED4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发生时间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CCD37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时间戳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4F442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精确到分钟，显示为 YYYY-MM-DD HH:MM</w:t>
            </w:r>
          </w:p>
        </w:tc>
      </w:tr>
      <w:tr w14:paraId="55AA39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E72E4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涨跌方向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18F89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枚举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03080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暴涨 / 暴跌</w:t>
            </w:r>
          </w:p>
        </w:tc>
      </w:tr>
      <w:tr w14:paraId="0D0B66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4A6D0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涨跌幅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6E7E4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百分比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79E92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如 +14.3% 或 -11.8%</w:t>
            </w:r>
          </w:p>
        </w:tc>
      </w:tr>
      <w:tr w14:paraId="5F736D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11C27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开盘价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1BF37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数值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8B73E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该分钟 K 线开盘价</w:t>
            </w:r>
          </w:p>
        </w:tc>
      </w:tr>
      <w:tr w14:paraId="654158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9C76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收盘价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3042D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数值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C5185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该分钟 K 线收盘价</w:t>
            </w:r>
          </w:p>
        </w:tc>
      </w:tr>
    </w:tbl>
    <w:p w14:paraId="76CE3DFF">
      <w:pPr>
        <w:spacing w:before="60" w:after="60"/>
      </w:pPr>
    </w:p>
    <w:p w14:paraId="5779134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扫描操作流程</w:t>
      </w:r>
    </w:p>
    <w:p w14:paraId="799F3B8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用户在扫描模块界面点击「开始扫描」，系统逐个请求所有 USDT 永续合约的历史 1 分钟 K 线数据。</w:t>
      </w:r>
    </w:p>
    <w:p w14:paraId="50568C1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界面显示实时扫描进度（已扫描币种数 / 总币种数）。</w:t>
      </w:r>
    </w:p>
    <w:p w14:paraId="6C2FDA3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扫描完成后，结果以表格列表展示，支持按涨跌幅、时间、币种排序与筛选。</w:t>
      </w:r>
    </w:p>
    <w:p w14:paraId="7CECA73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扫描结果可导出为 CSV 文件。</w:t>
      </w:r>
    </w:p>
    <w:p w14:paraId="02CA5C59">
      <w:pPr>
        <w:spacing w:before="60" w:after="60"/>
      </w:pPr>
    </w:p>
    <w:p w14:paraId="6183DD94">
      <w:pPr>
        <w:shd w:val="clear" w:fill="FFF2CC"/>
        <w:spacing w:before="100" w:after="100"/>
        <w:ind w:left="48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[!] OKX 历史 K 线数据量极大，全量扫描可能耗时较长（数小时级别）。建议分批请求并加入速率限制，避免触发 API 频率封禁。扫描结果应缓存到本地 SQLite，避免重复扫描。</w:t>
      </w:r>
    </w:p>
    <w:p w14:paraId="44FD20D0">
      <w:pPr>
        <w:rPr>
          <w:rFonts w:hint="eastAsia" w:ascii="Arial" w:hAnsi="Arial" w:eastAsia="Arial" w:cs="Arial"/>
          <w:b/>
          <w:bCs/>
          <w:color w:val="2E75B6"/>
          <w:sz w:val="28"/>
          <w:szCs w:val="28"/>
          <w:lang w:val="en-US" w:eastAsia="zh-CN"/>
        </w:rPr>
      </w:pPr>
    </w:p>
    <w:p w14:paraId="7D139EF6">
      <w:pPr>
        <w:rPr>
          <w:rFonts w:hint="eastAsia" w:ascii="Arial" w:hAnsi="Arial" w:eastAsia="Arial" w:cs="Arial"/>
          <w:b/>
          <w:bCs/>
          <w:color w:val="2E75B6"/>
          <w:sz w:val="28"/>
          <w:szCs w:val="28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2E75B6"/>
          <w:sz w:val="28"/>
          <w:szCs w:val="28"/>
          <w:lang w:val="en-US" w:eastAsia="zh-CN"/>
        </w:rPr>
        <w:t>5.4 数据来源接口</w:t>
      </w:r>
    </w:p>
    <w:p w14:paraId="5748FF6E">
      <w:pPr>
        <w:pStyle w:val="16"/>
        <w:numPr>
          <w:ilvl w:val="0"/>
          <w:numId w:val="2"/>
        </w:numPr>
        <w:spacing w:before="60" w:after="60"/>
      </w:pPr>
      <w:r>
        <w:rPr>
          <w:rFonts w:hint="eastAsia" w:ascii="Arial" w:hAnsi="Arial" w:eastAsia="宋体" w:cs="Arial"/>
          <w:color w:val="1A1A1A"/>
          <w:sz w:val="22"/>
          <w:szCs w:val="22"/>
          <w:lang w:val="en-US" w:eastAsia="zh-CN"/>
        </w:rPr>
        <w:t>此处需保留两个接口：</w:t>
      </w:r>
    </w:p>
    <w:p w14:paraId="5F746A0F">
      <w:pPr>
        <w:pStyle w:val="16"/>
        <w:numPr>
          <w:ilvl w:val="1"/>
          <w:numId w:val="2"/>
        </w:numPr>
        <w:spacing w:before="60" w:after="60"/>
      </w:pPr>
      <w:r>
        <w:rPr>
          <w:rFonts w:hint="eastAsia" w:eastAsia="宋体"/>
          <w:lang w:val="en-US" w:eastAsia="zh-CN"/>
        </w:rPr>
        <w:t>A：使用彩虹官方的数据作为接口一，</w:t>
      </w:r>
      <w:r>
        <w:rPr>
          <w:rFonts w:hint="eastAsia" w:eastAsia="宋体"/>
          <w:b/>
          <w:bCs/>
          <w:lang w:val="en-US" w:eastAsia="zh-CN"/>
        </w:rPr>
        <w:t>优先使用</w:t>
      </w:r>
      <w:r>
        <w:rPr>
          <w:rFonts w:hint="eastAsia" w:eastAsia="宋体"/>
          <w:lang w:val="en-US" w:eastAsia="zh-CN"/>
        </w:rPr>
        <w:t>该方案获取数据（需写入本地数据路径）</w:t>
      </w:r>
    </w:p>
    <w:p w14:paraId="43D919CA">
      <w:pPr>
        <w:pStyle w:val="16"/>
        <w:numPr>
          <w:ilvl w:val="1"/>
          <w:numId w:val="2"/>
        </w:numPr>
        <w:spacing w:before="60" w:after="60"/>
      </w:pPr>
      <w:r>
        <w:rPr>
          <w:rFonts w:hint="eastAsia" w:eastAsia="宋体"/>
          <w:lang w:val="en-US" w:eastAsia="zh-CN"/>
        </w:rPr>
        <w:t>B：使用交易所接口下载数据</w:t>
      </w:r>
    </w:p>
    <w:p w14:paraId="5A4DC88A">
      <w:pPr>
        <w:pStyle w:val="16"/>
        <w:numPr>
          <w:ilvl w:val="0"/>
          <w:numId w:val="2"/>
        </w:numPr>
        <w:spacing w:before="60" w:after="60"/>
      </w:pPr>
      <w:r>
        <w:rPr>
          <w:rFonts w:hint="eastAsia" w:eastAsia="宋体"/>
          <w:lang w:val="en-US" w:eastAsia="zh-CN"/>
        </w:rPr>
        <w:t>以上接口可由用户指定或随时切换</w:t>
      </w:r>
    </w:p>
    <w:p w14:paraId="18411033">
      <w:pPr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br w:type="page"/>
      </w:r>
    </w:p>
    <w:p w14:paraId="0CB5782C">
      <w:pPr>
        <w:rPr>
          <w:rFonts w:ascii="Arial" w:hAnsi="Arial" w:eastAsia="Arial" w:cs="Arial"/>
          <w:b/>
          <w:bCs/>
          <w:color w:val="2E75B6"/>
          <w:sz w:val="28"/>
          <w:szCs w:val="28"/>
        </w:rPr>
      </w:pPr>
    </w:p>
    <w:p w14:paraId="4AAFF582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六、数据接口与存储规格</w:t>
      </w:r>
    </w:p>
    <w:p w14:paraId="02606BED">
      <w:pPr>
        <w:spacing w:before="60" w:after="60"/>
      </w:pPr>
    </w:p>
    <w:p w14:paraId="51A11EF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6.1 OKX API 接口需求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121E36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EF2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接口类别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F6C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具体接口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4CF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580050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C5806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行情（公开）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FC5AD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/api/v5/market/ticker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41C99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获取实时最新价格</w:t>
            </w:r>
          </w:p>
        </w:tc>
      </w:tr>
      <w:tr w14:paraId="3C0F0A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51158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行情（公开）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C196F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/api/v5/market/candles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9162B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获取实时 K 线数据</w:t>
            </w:r>
          </w:p>
        </w:tc>
      </w:tr>
      <w:tr w14:paraId="299841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49C54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行情（公开）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8BE95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/api/v5/market/history-candles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1E51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获取历史 K 线（回测、扫描）</w:t>
            </w:r>
          </w:p>
        </w:tc>
      </w:tr>
      <w:tr w14:paraId="01F26F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9052D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行情（公开）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28BE9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/api/v5/public/instruments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94B46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获取所有合约品种列表</w:t>
            </w:r>
          </w:p>
        </w:tc>
      </w:tr>
      <w:tr w14:paraId="14E849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7255C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交易（需鉴权）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3688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POST /api/v5/trade/order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0A3AA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创建订单（含止损单）</w:t>
            </w:r>
          </w:p>
        </w:tc>
      </w:tr>
      <w:tr w14:paraId="307B99B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2555A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交易（需鉴权）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F3CF2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POST /api/v5/trade/cancel-order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4F97A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撤销订单</w:t>
            </w:r>
          </w:p>
        </w:tc>
      </w:tr>
      <w:tr w14:paraId="3914F2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41616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交易（需鉴权）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D31D5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/api/v5/trade/orders-pending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4C291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查询挂单</w:t>
            </w:r>
          </w:p>
        </w:tc>
      </w:tr>
      <w:tr w14:paraId="4F64D4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5C25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账户（需鉴权）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31982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/api/v5/account/balance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4B6CB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查询账户余额与可用保证金</w:t>
            </w:r>
          </w:p>
        </w:tc>
      </w:tr>
      <w:tr w14:paraId="148709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35485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账户（需鉴权）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CCDBB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/api/v5/account/positions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C9031E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查询当前持仓</w:t>
            </w:r>
          </w:p>
        </w:tc>
      </w:tr>
      <w:tr w14:paraId="352F92E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B565C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账户（需鉴权）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D8C5E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GET /api/v5/trade/fills-history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68B6E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查询历史成交记录（看板数据源）</w:t>
            </w:r>
          </w:p>
        </w:tc>
      </w:tr>
    </w:tbl>
    <w:p w14:paraId="696A8BDF">
      <w:pPr>
        <w:spacing w:before="60" w:after="60"/>
      </w:pPr>
    </w:p>
    <w:p w14:paraId="3BAC548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6.2 WebSocket 订阅频道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2B7B9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26D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频道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10F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3B14CF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DD2E2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tickers 频道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2A598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订阅实时 Ticker 价格，驱动价格显示框刷新</w:t>
            </w:r>
          </w:p>
        </w:tc>
      </w:tr>
      <w:tr w14:paraId="3F5994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425EF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candle1m 频道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CB000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订阅实时 1 分钟 K 线</w:t>
            </w:r>
          </w:p>
        </w:tc>
      </w:tr>
      <w:tr w14:paraId="4CF225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CEB6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orders 频道（私有）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26AE0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订阅订单状态变化，用于检测平仓是否成交</w:t>
            </w:r>
          </w:p>
        </w:tc>
      </w:tr>
      <w:tr w14:paraId="046844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5C76E5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positions 频道（私有）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7913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订阅持仓变化，实时刷新持仓显示</w:t>
            </w:r>
          </w:p>
        </w:tc>
      </w:tr>
    </w:tbl>
    <w:p w14:paraId="0C0C3B17">
      <w:pPr>
        <w:spacing w:before="60" w:after="60"/>
      </w:pPr>
    </w:p>
    <w:p w14:paraId="2A2F95E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6.3 本地数据库设计（SQLite）</w:t>
      </w:r>
    </w:p>
    <w:p w14:paraId="2652E545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>6.3.1 主要数据表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54AC20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0646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表名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33B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存储内容</w:t>
            </w:r>
          </w:p>
        </w:tc>
      </w:tr>
      <w:tr w14:paraId="6365B4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4FCA8C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trade_records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AC3FF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本地成交记录（包含开仓价、平仓价、方向、盈亏、杠杆、仓位档位标记）</w:t>
            </w:r>
          </w:p>
        </w:tc>
      </w:tr>
      <w:tr w14:paraId="3D6762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78A792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position_snapshots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D92A0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持仓期间每分钟浮盈浮亏快照（用于计算最大浮亏）</w:t>
            </w:r>
          </w:p>
        </w:tc>
      </w:tr>
      <w:tr w14:paraId="1AF293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36F4B4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favorite_symbols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AFA3C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常用币种列表及最近使用时间</w:t>
            </w:r>
          </w:p>
        </w:tc>
      </w:tr>
      <w:tr w14:paraId="0117D0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F8F3C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scan_results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3D172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历史极端行情扫描结果缓存</w:t>
            </w:r>
          </w:p>
        </w:tc>
      </w:tr>
      <w:tr w14:paraId="168FDC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432E3F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app_settings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74814D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用户配置（超时时长、快捷键、二次确认开关等）</w:t>
            </w:r>
          </w:p>
        </w:tc>
      </w:tr>
      <w:tr w14:paraId="60A435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E37B76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api_credentials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8060A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API Key / Secret / Passphrase（AES-256 加密存储）</w:t>
            </w:r>
          </w:p>
        </w:tc>
      </w:tr>
    </w:tbl>
    <w:p w14:paraId="7AD5A9E1">
      <w:r>
        <w:br w:type="page"/>
      </w:r>
    </w:p>
    <w:p w14:paraId="6B121C45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七、非功能性需求</w:t>
      </w:r>
    </w:p>
    <w:p w14:paraId="07A4A6C7">
      <w:pPr>
        <w:spacing w:before="60" w:after="60"/>
      </w:pPr>
    </w:p>
    <w:p w14:paraId="57E2FC5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7.1 性能要求</w:t>
      </w:r>
    </w:p>
    <w:tbl>
      <w:tblPr>
        <w:tblStyle w:val="11"/>
        <w:tblW w:w="936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80"/>
        <w:gridCol w:w="3280"/>
      </w:tblGrid>
      <w:tr w14:paraId="02B30A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6C6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F7A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目标值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142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39C31D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0020B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下单端到端延迟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2F55F9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点击到请求发出 &lt; 50ms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C6E03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P0（最高优先级）</w:t>
            </w:r>
          </w:p>
        </w:tc>
      </w:tr>
      <w:tr w14:paraId="05DCCB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365AC7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价格显示刷新延迟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E676E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&lt; 100ms（WebSocket 推送）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71E3EB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P0</w:t>
            </w:r>
          </w:p>
        </w:tc>
      </w:tr>
      <w:tr w14:paraId="43B519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7B31C3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一键全平响应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A751CA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点击到所有平仓请求发出 &lt; 200ms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10D848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P0</w:t>
            </w:r>
          </w:p>
        </w:tc>
      </w:tr>
      <w:tr w14:paraId="467D12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FA728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界面帧率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0D3E1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行情刷新不卡顿，≥ 30fps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5C9A0">
            <w:r>
              <w:rPr>
                <w:rFonts w:ascii="Arial" w:hAnsi="Arial" w:eastAsia="Arial" w:cs="Arial"/>
                <w:b w:val="0"/>
                <w:bCs w:val="0"/>
                <w:color w:val="1A1A1A"/>
                <w:sz w:val="20"/>
                <w:szCs w:val="20"/>
              </w:rPr>
              <w:t>P1</w:t>
            </w:r>
          </w:p>
        </w:tc>
      </w:tr>
    </w:tbl>
    <w:p w14:paraId="40D31C78">
      <w:pPr>
        <w:spacing w:before="60" w:after="60"/>
      </w:pPr>
    </w:p>
    <w:p w14:paraId="4DBDD27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7.2 安全性要求</w:t>
      </w:r>
    </w:p>
    <w:p w14:paraId="303210B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API Key、Secret、Passphrase 使用 AES-256 算法加密后存储于本地 SQLite 数据库。</w:t>
      </w:r>
    </w:p>
    <w:p w14:paraId="51B523F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加密密钥派生自用户设置的本地软件启动密码（PBKDF2 或等效方案）。</w:t>
      </w:r>
    </w:p>
    <w:p w14:paraId="510D3BD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软件在任何情况下不向非 OKX 官方服务器（api.okx.com、ws.okx.com）发送 API 凭证。</w:t>
      </w:r>
    </w:p>
    <w:p w14:paraId="19628A0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软件无任何遥测、埋点或数据上传功能。</w:t>
      </w:r>
    </w:p>
    <w:p w14:paraId="4424B6C5">
      <w:pPr>
        <w:spacing w:before="60" w:after="60"/>
      </w:pPr>
    </w:p>
    <w:p w14:paraId="539D344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7.3 可靠性要求</w:t>
      </w:r>
    </w:p>
    <w:p w14:paraId="5B16F95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网络中断时，界面显示明显的「连接断开」提示（价格框变灰 + 顶部状态栏警告）。</w:t>
      </w:r>
    </w:p>
    <w:p w14:paraId="45E47602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WebSocket 断线后自动重连，最大重连间隔不超过 5 秒，重连成功后自动恢复订阅。</w:t>
      </w:r>
    </w:p>
    <w:p w14:paraId="6F29603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所有下单、撤单、平仓操作均记录本地日志（含时间戳、操作类型、参数、服务器返回结果）。</w:t>
      </w:r>
    </w:p>
    <w:p w14:paraId="3ACA39B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日志文件按天滚动存储，保留最近 90 天。</w:t>
      </w:r>
    </w:p>
    <w:p w14:paraId="44578255">
      <w:pPr>
        <w:spacing w:before="60" w:after="60"/>
      </w:pPr>
    </w:p>
    <w:p w14:paraId="276973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7.4 用户体验要求</w:t>
      </w:r>
    </w:p>
    <w:p w14:paraId="55A24DC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软件启动时间 &lt; 3 秒（包含 API 连接建立）。</w:t>
      </w:r>
    </w:p>
    <w:p w14:paraId="1852D44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界面风格：专业、暗色主题（减少长时间盯盘疲劳），核心操作按钮（下单、全平）采用高对比色。</w:t>
      </w:r>
    </w:p>
    <w:p w14:paraId="6CCC6995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所有关键配置项（超时时长、快捷键、确认开关、杠杆默认值）集中在「设置」面板，无需重启生效。</w:t>
      </w:r>
    </w:p>
    <w:p w14:paraId="1433FAB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操作结果（下单成功/失败、止损触发）以非阻塞式通知（Toast 或系统通知）呈现，不打断交易流程。</w:t>
      </w:r>
    </w:p>
    <w:p w14:paraId="60904A14">
      <w:r>
        <w:br w:type="page"/>
      </w:r>
    </w:p>
    <w:p w14:paraId="46D91DFA">
      <w:pPr>
        <w:pStyle w:val="2"/>
        <w:pBdr>
          <w:bottom w:val="single" w:color="2E75B6" w:sz="8" w:space="6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八、本期范围说明与排除项</w:t>
      </w:r>
    </w:p>
    <w:p w14:paraId="44CE646D">
      <w:pPr>
        <w:spacing w:before="60" w:after="60"/>
      </w:pPr>
    </w:p>
    <w:p w14:paraId="7375DD7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8.1 本期（v1.0）包含</w:t>
      </w:r>
    </w:p>
    <w:p w14:paraId="33677319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Windows 桌面端完整功能，含交易执行、风控、行情显示、数据分析看板、历史扫描五大模块。</w:t>
      </w:r>
    </w:p>
    <w:p w14:paraId="7A520AC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单账户 OKX USDT 永续合约交易支持。</w:t>
      </w:r>
    </w:p>
    <w:p w14:paraId="6D8EDBB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本地 SQLite 数据存储。</w:t>
      </w:r>
    </w:p>
    <w:p w14:paraId="1E50E558">
      <w:pPr>
        <w:spacing w:before="60" w:after="60"/>
      </w:pPr>
    </w:p>
    <w:p w14:paraId="2C77FE7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8.2 本期明确排除（可作为后续扩展）</w:t>
      </w:r>
    </w:p>
    <w:p w14:paraId="1E206C5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移动端（iOS / Android）简化版助手。</w:t>
      </w:r>
    </w:p>
    <w:p w14:paraId="00DA6448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Mac OS 支持。</w:t>
      </w:r>
    </w:p>
    <w:p w14:paraId="020F48FF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多账户 / 子账户切换功能。</w:t>
      </w:r>
    </w:p>
    <w:p w14:paraId="7B04E8B1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自动化交易策略（本软件定位为人工辅助工具，不做自动策略执行）。</w:t>
      </w:r>
    </w:p>
    <w:p w14:paraId="3B8047CD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币币现货交易支持（仅支持合约）。</w:t>
      </w:r>
    </w:p>
    <w:p w14:paraId="197E312E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云端数据同步与多设备共享。</w:t>
      </w:r>
    </w:p>
    <w:p w14:paraId="6DEB1604">
      <w:pPr>
        <w:spacing w:before="60" w:after="60"/>
      </w:pPr>
    </w:p>
    <w:p w14:paraId="5062370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8.3 待开发方评估事项</w:t>
      </w:r>
    </w:p>
    <w:p w14:paraId="2EE66747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OKX WebSocket 私有频道在极端行情下的消息丢失率与重发机制，需在开发阶段压力测试验证。</w:t>
      </w:r>
    </w:p>
    <w:p w14:paraId="7802F87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历史极端行情全量扫描的 API 速率限制（OKX 历史 K 线接口有请求频率上限），需制定合理的批量请求策略。</w:t>
      </w:r>
    </w:p>
    <w:p w14:paraId="0FAA670A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本地 SQLite 在持仓快照高频写入场景下的性能表现，如有瓶颈可考虑改用内存缓存 + 批量写入方案。</w:t>
      </w:r>
    </w:p>
    <w:sectPr>
      <w:pgSz w:w="11906" w:h="16838"/>
      <w:pgMar w:top="1440" w:right="1296" w:bottom="1440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9493DD"/>
    <w:multiLevelType w:val="singleLevel"/>
    <w:tmpl w:val="FE9493D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300"/>
      </w:p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2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4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6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28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0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2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4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6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4B1CE8"/>
    <w:rsid w:val="24F94A76"/>
    <w:rsid w:val="566C64C2"/>
    <w:rsid w:val="78C60C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936</Words>
  <Characters>1076</Characters>
  <TotalTime>5</TotalTime>
  <ScaleCrop>false</ScaleCrop>
  <LinksUpToDate>false</LinksUpToDate>
  <CharactersWithSpaces>1130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2026-04-27T07:22:00Z</dcterms:created>
  <dc:creator>Un-named</dc:creator>
  <cp:lastModifiedBy>车勇</cp:lastModifiedBy>
  <dcterms:modified xsi:type="dcterms:W3CDTF">2026-04-30T02:10:35Z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eyJoZGlkIjoiNWM2ZDU4ZDFjODU4YmUzZTlmNjU1OTIwN2Q2MWZiMDQiLCJ1c2VySWQiOiI0MjQwMTA0MzcifQ==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BDF631C9042241ECADE4F9FF10B08FEC_13</vt:lpwstr>
  </property>
</Properties>
</file>