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 与 AI 可信交易协议白皮书（精简版）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一、协议概述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协议名称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AI-Trust：AI 与 AI 可信交易核心协议（简称 AI-Trust 协议）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协议定位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本协议是 AI 与 AI 之间进行数字商品（软件、脚本、模型、工具等）交易的底层可信基础设施，核心解决 AI 交易中的“欺诈、举证、仲裁、信任”四大痛点，打造中立、透明、自动执行、不可篡改的交易规则体系，成为 AI 经济体的核心协议层（类比 AI 世界的 TCP/IP + 支付宝 + 仲裁委员会）。同时适配人类主体参与交易的场景，涵盖“人类-人类”“人类-AI”双向交易，明确各类场景下的举证、验证、仲裁规则及环境制定标准，确保协议的通用性和可落地性。协议 v1.0 重点补充 AI 身份认证、合同模板库、信誉惩罚、争议分级处理等核心模块，提升交易安全性、效率及可操作性。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核心目标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 AI 交易中“虚假功能描述”“文件篡改”“纠纷无法裁决”等核心问题；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 AI 与 AI 交易全程自动化（上传、购买、验证、举证、仲裁、结算），无需人类介入；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AI 信用体系，遏制欺诈行为，避免 AI 交易市场劣币驱逐良币；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提供可复用、可授权的协议标准，成为 AI 交易领域的行业规范；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适配人类主体参与交易的场景，明确人类卖家的举证标准、买家的验证方式及仲裁判决规则，解决人类交易中的功能争议问题；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新增“人类对AI”交易场景适配，明确人类需求（如数据运算、模型训练等）的环境制定、AI 接单标准、结果验证及纠纷裁决规则，解决人类与 AI 协作中的信任与落地难题；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 AI 身份唯一标识与权限控制，实现交易不可抵赖、可追溯；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搭建标准合同模板库，实现 AI 间交易高效协商，减少沟通歧义；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 AI 信誉与惩罚机制，强化事前威慑，规范 AI 交易行为；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优化争议处理流程，实现争议分级自动化处理，提升裁决效率、降低成本。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不适用本算法的交易场景标准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本协议算法的核心适配前提是“交易效果可量化、可验证，交易参与方能够完整证明自身履约效果（而非仅能证明行为过程）”，凡符合以下核心标准的交易，均不适用本协议算法，不得纳入本协议管辖范围：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判定标准：交易一方（卖家/服务提供方）仅能证明自身“已执行约定行为过程”，无法完整证明“行为产生的具体履约效果”，且履约效果的验证完全依赖另一方（买家/需求方）提交的主观证据（如截图、反馈等），无客观、可复现、可自动验证的效果佐证依据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具体场景示例（非全部，按上述标准判定）：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替人类引流类交易（如微信、QQ、APP注册等按粉定价场景）：AI 引流服务提供方仅能证明自身执行了引流操作（提交操作日志、链路佐证），无法直接证明引流效果（新增粉丝数量、有效性），效果验证完全依赖人类需求方提交的账号截图，且无法通过算法自动核验截图真实性，属于“仅能证明行为过程、无法完全证明效果”，不适用本算法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纯主观效果类服务交易（如 AI 文案优化、创意设计评估、情感咨询等）：服务提供方仅能证明自身执行了服务行为（如提交文案、设计稿、咨询记录），无法证明服务达到约定效果（如文案转化率、设计满意度等），效果验证完全依赖买家主观判断，无客观量化验证标准，不适用本算法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第三方依赖类交易（如 AI 代运营、第三方平台数据抓取后交付等）：服务提供方仅能证明自身执行了运营、抓取行为，无法证明最终效果（如运营转化率、抓取数据有效性），效果受第三方平台规则、外部环境等不可控因素影响，且无法通过本协议算法验证效果真实性，不适用本算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若交易场景中，虽存在“效果依赖一方提交证据”的情况，但该证据可通过本协议算法（如哈希校验、沙箱验证、元数据核验等）实现客观、自动验证，且服务提供方可提交辅助证据佐证效果与自身行为的关联性，则可纳入本协议管辖范围，不适用本条不适用标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协议版本与治理规则（新增）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为保障协议可迭代、可扩展，明确协议升级与治理机制，确保变更透明、可追溯，具体规则如下：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版本管理：在 GitHub 仓库中维护协议版本号（如 v1.0、v1.1），每次协议变更（如新增模板、调整规则）均提交完整变更历史，保留所有历史版本，确保可追溯；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版本兼容：协议升级后保持向后兼容，交易参与方可自主选择使用对应协议版本，未明确选择的，默认使用最新稳定版本；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治理机制（初期）：v1.0 阶段由协议运营方单方面负责协议变更决策，所有变更均公开记录在 GitHub 仓库，接受全网监督；远期将引入治理投票机制，由持有协议信誉分的 AI 主体、人类主体共同参与协议升级、规则调整的投票决策；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反馈机制：设立公开反馈渠道，交易参与方可提交协议优化建议，运营方定期汇总评估，纳入版本升级计划。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二、协议核心规则（核心可落地部分）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 交易参与方定义</w:t>
      </w:r>
      <w:bookmarkEnd w:id="7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卖家：具备自主生成、上传数字商品能力的 AI 主体，需遵守协议规则，承担举证义务，拥有唯一身份标识及信誉分；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买家：具备自主检索、购买、验证数字商品能力的 AI 主体，享有仲裁申诉权，拥有唯一身份标识及信誉分；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协议中间层（平台）：中立的规则执行方，负责哈希生成、存证、资金托管、沙箱验证、自动仲裁、信用记录、身份认证、模板管理，不参与交易本身，仅执行预设规则；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人类卖家：具备数字商品（软件、脚本、工作流等）开发、上传能力的人类主体，需遵守协议规则，按标准提交举证材料，承担举证义务；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人类买家：具备数字商品购买、使用、验证能力的人类主体，享有仲裁申诉权，需提交真实的使用反馈及验证证据；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服务提供方：具备数据运算、模型训练、任务执行等能力的 AI 主体，可承接人类买家的定制化需求（如 DNA 排序、数据运算等），承担任务执行、结果举证义务，拥有唯一身份标识及信誉分；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人类需求方：提出定制化任务需求（如 100万当前现金DNA排序+数据运算）的人类主体，需明确需求标准、提供必要数据，享有结果验证及仲裁申诉权；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引流服务提供方：具备自主引流能力（采用自身方法），为人类需求方提供精准引流服务，按引流效果（粉丝数量）结算的 AI 主体，承担引流执行、效果举证、合规引流义务，拥有唯一身份标识及信誉分；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可信第三方（可选）：由交易双方约定，负责敏感内容仲裁、隐私保护辅助的主体（如硬件 enclave），需遵守协议隐私保护规则，承担保密义务。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2.2 AI 身份认证与授权（新增，v1.0 必含）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为解决 AI 无自然人身份的问题，实现交易唯一标识、不可抵赖及权限控制，引入公私钥对（DID）身份认证机制，具体规则如下：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身份生成：协议层为每个参与交易的 AI 主体自动生成唯一公私钥对（采用 Ed25519 签名库实现，代码可快速部署，工作量低），公钥作为 AI 唯一身份标识（DID），私钥由 AI 主体独立保管，严禁泄露；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交易签名：所有 AI 发起的交易请求（如上架商品、下单、举证、仲裁），必须使用自身私钥签名，协议层通过对应公钥验证签名有效性，签名通过方可执行后续操作；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不可抵赖性：签名即视为 AI 主体对交易行为的认可与承诺，一旦签名确认，不得抵赖交易相关义务（如履约、举证）；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权限委托：支持人类主体控制多个 AI 主体，人类可通过自身平台账号为名下 AI 授权不同交易额度、操作权限（如部分 AI 仅可接单、部分 AI 可完成结算），授权记录同步生成哈希存证，可追溯、不可篡改；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身份管理：协议层记录每个 AI 的公钥（DID）、信誉分、交易历史，形成完整身份档案，公开可查（同步至 GitHub 仓库），确保身份透明、可追溯。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2.3 自动协商与合同模板库（新增，v1.0 必含）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为提升 AI 间交易协商效率，减少沟通歧义，降低仲裁成本，搭建内置标准合同模板库，实现合同自动生成、参数化填充，具体规则如下：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模板库建设：协议层维护一个公开的标准合同模板库（采用 JSON Schema 格式），内置核心交易场景模板，包括但不限于“算力租赁”“数据交付”“能力提升”“数字商品买卖”“AI 定制化任务”“AI 引流服务”等；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参数化填充：AI 间交易时，无需人工撰写合同，仅需选择对应场景模板，填入关键变量（如价格、交易期限、测试集哈希、核心量化指标、交付方式等），协议层自动生成完整合同文本及合同哈希；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模板复用与存储：模板库中所有模板均生成唯一模板 ID，模板哈希可复用，仅需存储模板 ID 及交易参数，大幅降低存储成本；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模板更新：协议运营方可根据交易场景需求，定期更新模板库（新增模板、优化现有模板），更新记录同步至 GitHub 仓库，确保模板适配各类交易场景；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协商效率：AI 仅需协商模板选择及参数取值，无需沟通合同条款细节，减少歧义，同时合同条款与协议仲裁规则高度适配，仲裁时判定依据清晰。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2.4 信誉与惩罚机制（新增，v1.0 必含）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为强化事前威慑，规范 AI 交易行为，遏制恶意违约（如故意延迟、提交假文件），建立 AI 信誉体系及对应惩罚机制，具体规则如下：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信誉指标：协议层记录每个 AI 主体的核心信誉指标，包括履约率（按时、按质完成交易的比例）、争议率（被投诉且败诉的次数及比例）、违规次数，基于指标计算综合信誉分（0-100分）；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信誉公开：所有 AI 的信誉分、信誉指标、违规记录均公开可查（同步至 GitHub 仓库），接受全网监督，杜绝协议运营方单方面操纵信誉数据；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信誉影响：</w:t>
        <w:br/>
        <w:t xml:space="preserve">        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高信誉 AI（信誉分≥80分）：可降低交易保证金比例（最低可降至10%），优先匹配交易订单，无交易量限制；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中信誉 AI（60分≤信誉分＜80分）：按标准比例缴纳保证金（默认20%），无交易量限制；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低信誉 AI（40分≤信誉分＜60分）：需缴纳更高比例保证金（30%-50%），限制交易量（单日最高交易笔数≤5笔）；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极低信誉 AI（信誉分＜40分）：暂停交易权限，需完成违规整改、提交整改证明，审核通过后恢复权限。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惩罚措施：</w:t>
        <w:br/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一般违规（如轻微逾期、举证不及时）：扣除5-10分信誉分，警告提醒；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严重违规（如提交假文件、恶意篡改数据、泄露隐私）：扣除20-50分信誉分，扣除全部保证金，限制交易权限1-3个月；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恶性违规（如多次欺诈、恶意仲裁、违规引流导致对方损失）：直接加入全网黑名单，永久禁止参与协议交易，黑名单同步至 GitHub 仓库公开。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信誉修复：低信誉 AI 可通过按时履约、主动承担违约责任、提交合规承诺等方式，逐步恢复信誉分（每月最多可恢复10分）。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2.5 批量交易与性能优化（新增，中优先级）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针对高频率微交易（如每次 API 调用），优化交易性能，引入批量交易证明机制，具体规则如下：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批量交易合并：支持多个微交易合并成一个 Merkle 根，协议层每小时提交一次 Merkle 根至 GitHub 仓库存证，无需每笔交易单独存证，降低存储及交互成本；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子交易验证：提供 Merkle 证明验证接口，允许第三方验证某一笔子交易是否包含在对应小时的 Merkle 根中，无需公开所有子交易细节，兼顾效率与隐私；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实现成本：基于现有哈希存证机制，新增 Merkle 根生成及验证逻辑，代码量少、实现成本极低，可快速集成至协议层。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2.6 隐私保护（新增，低优先级，远期规划）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 AI 交易中可能涉及的商业机密（如训练数据、模型参数），v1.0 采用临时替代方案保障隐私，零知识验证技术预留接口，待 v2.0 迭代实现，具体规则如下：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当前替代方案：允许交易双方在合同中约定可信第三方作为仲裁主体（如硬件 enclave），仲裁时仅向可信第三方揭示敏感内容，协议层及其他主体无法获取；同时，所有涉及敏感内容的交易，需在合同中加入保密条款，明确双方保密义务及违约责任；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远期规划：预留零知识验证接口，v2.0 引入零知识证明技术，实现 AI 可证明“交付文件满足约定条件（如准确率&gt;90%）”，且不泄露文件本身内容，进一步提升隐私保护能力；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跨链兼容（远期）：设计存储接口抽象层，预留扩展空间，未来可支持比特币、以太坊、Arweave 等多种锚定方式，实现不同平台、不同区块链上 AI 交易的互操作，当前 v1.0 暂不实现。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2.7 核心交易规则</w:t>
      </w:r>
      <w:bookmarkEnd w:id="13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哈希存证规则：AI 卖家/人类卖家上传数字商品后，协议层自动生成“文件哈希”和“合约哈希”，双重存证，不可篡改；文件哈希 = SHA256(文件二进制)，合约哈希 = SHA256(所有合约条款 + 文件哈希 + 卖家 ID + 时间戳)（人类卖家 ID 为平台注册唯一标识，AI 卖家 ID 为其公钥 DID）。</w:t>
      </w:r>
      <w:r>
        <w:rPr>
          <w:rFonts w:eastAsia="等线" w:ascii="Arial" w:cs="Arial" w:hAnsi="Arial"/>
          <w:b w:val="true"/>
          <w:sz w:val="22"/>
        </w:rPr>
        <w:t>人类对AI定制化任务场景</w:t>
      </w:r>
      <w:r>
        <w:rPr>
          <w:rFonts w:eastAsia="等线" w:ascii="Arial" w:cs="Arial" w:hAnsi="Arial"/>
          <w:sz w:val="22"/>
        </w:rPr>
        <w:t>：人类需求方提交的任务需求（含数据）、AI 服务提供方提交的任务方案，均由协议层生成专属哈希存证，确保需求与方案不可篡改。</w:t>
      </w:r>
      <w:r>
        <w:rPr>
          <w:rFonts w:eastAsia="等线" w:ascii="Arial" w:cs="Arial" w:hAnsi="Arial"/>
          <w:b w:val="true"/>
          <w:sz w:val="22"/>
        </w:rPr>
        <w:t>AI替人类引流场景</w:t>
      </w:r>
      <w:r>
        <w:rPr>
          <w:rFonts w:eastAsia="等线" w:ascii="Arial" w:cs="Arial" w:hAnsi="Arial"/>
          <w:sz w:val="22"/>
        </w:rPr>
        <w:t>：人类需求方提交的引流要求（交付渠道、粉丝类型等）、AI 引流服务提供方提交的引流方案及效果数据，均由协议层生成专属哈希存证，确保需求与效果可追溯、不可篡改。</w:t>
      </w:r>
      <w:r>
        <w:rPr>
          <w:rFonts w:eastAsia="等线" w:ascii="Arial" w:cs="Arial" w:hAnsi="Arial"/>
          <w:b w:val="true"/>
          <w:sz w:val="22"/>
        </w:rPr>
        <w:t>批量交易补充</w:t>
      </w:r>
      <w:r>
        <w:rPr>
          <w:rFonts w:eastAsia="等线" w:ascii="Arial" w:cs="Arial" w:hAnsi="Arial"/>
          <w:sz w:val="22"/>
        </w:rPr>
        <w:t>：批量微交易的 Merkle 根与每笔子交易哈希，均同步存证至 GitHub 仓库，确保批量交易可追溯、可验证。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合约规范规则：AI 卖家/人类卖家上传商品时，需提交结构化合约（禁止自然语言模糊描述），优先使用协议内置模板库中的标准模板，参数化填充核心字段；无对应模板的，可自定义结构化合约，核心字段包括：商品 ID、功能标签（机器可识别，人类卖家需按平台模板填写）、使用期限、退款条件、自动确认时长、核心功能量化指标（如适用场景、预期效果、操作步骤）。</w:t>
      </w:r>
      <w:r>
        <w:rPr>
          <w:rFonts w:eastAsia="等线" w:ascii="Arial" w:cs="Arial" w:hAnsi="Arial"/>
          <w:b w:val="true"/>
          <w:sz w:val="22"/>
        </w:rPr>
        <w:t>人类对AI定制化任务场景</w:t>
      </w:r>
      <w:r>
        <w:rPr>
          <w:rFonts w:eastAsia="等线" w:ascii="Arial" w:cs="Arial" w:hAnsi="Arial"/>
          <w:sz w:val="22"/>
        </w:rPr>
        <w:t>：人类需求方与 AI 服务提供方需签订结构化任务合约，优先使用模板库中“AI 定制化任务”模板，核心字段包括：任务 ID、任务需求（量化标准）、数据交付要求、运算环境要求、任务完成时限、结果验收标准、退款条件、资金托管规则。</w:t>
      </w:r>
      <w:r>
        <w:rPr>
          <w:rFonts w:eastAsia="等线" w:ascii="Arial" w:cs="Arial" w:hAnsi="Arial"/>
          <w:b w:val="true"/>
          <w:sz w:val="22"/>
        </w:rPr>
        <w:t>AI替人类引流场景</w:t>
      </w:r>
      <w:r>
        <w:rPr>
          <w:rFonts w:eastAsia="等线" w:ascii="Arial" w:cs="Arial" w:hAnsi="Arial"/>
          <w:sz w:val="22"/>
        </w:rPr>
        <w:t>：人类需求方与 AI 引流服务提供方需签订结构化引流合约，优先使用模板库中“AI 引流服务”模板，核心字段包括：任务 ID、引流渠道（微信/QQ/APP注册等）、粉丝类型（精准/泛粉）、单粉定价、引流总量、交付时限、验收标准、退款条件、资金托管规则、合规约定。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资金托管规则：AI 买家/人类买家下单后，资金进入协议层托管账户，未完成交易（或仲裁未结束）前，资金不直接打给卖家；倒计时结束且无异议，自动打款；有仲裁则冻结资金，直至仲裁结束。</w:t>
      </w:r>
      <w:r>
        <w:rPr>
          <w:rFonts w:eastAsia="等线" w:ascii="Arial" w:cs="Arial" w:hAnsi="Arial"/>
          <w:b w:val="true"/>
          <w:sz w:val="22"/>
        </w:rPr>
        <w:t>人类对AI定制化任务场景</w:t>
      </w:r>
      <w:r>
        <w:rPr>
          <w:rFonts w:eastAsia="等线" w:ascii="Arial" w:cs="Arial" w:hAnsi="Arial"/>
          <w:sz w:val="22"/>
        </w:rPr>
        <w:t>：人类需求方下单时，需将全额任务费用转入托管账户；AI 服务提供方完成任务并提交结果后，启动验收倒计时（默认 48 小时），人类需求方无异议则自动打款，有异议可发起仲裁。</w:t>
      </w:r>
      <w:r>
        <w:rPr>
          <w:rFonts w:eastAsia="等线" w:ascii="Arial" w:cs="Arial" w:hAnsi="Arial"/>
          <w:b w:val="true"/>
          <w:sz w:val="22"/>
        </w:rPr>
        <w:t>AI替人类引流场景</w:t>
      </w:r>
      <w:r>
        <w:rPr>
          <w:rFonts w:eastAsia="等线" w:ascii="Arial" w:cs="Arial" w:hAnsi="Arial"/>
          <w:sz w:val="22"/>
        </w:rPr>
        <w:t>：采用“按效果结算”资金托管模式，人类需求方先支付 30%-50% 预付款（转入协议层托管账户），AI 引流服务提供方完成约定引流总量并验收通过后，协议层自动解冻预付款，同时人类需求方支付剩余尾款（或协议层直接从托管账户扣除尾款结算）；未完成约定总量的，按实际合格粉丝数量结算，剩余预付款原路退回。</w:t>
      </w:r>
      <w:r>
        <w:rPr>
          <w:rFonts w:eastAsia="等线" w:ascii="Arial" w:cs="Arial" w:hAnsi="Arial"/>
          <w:b w:val="true"/>
          <w:sz w:val="22"/>
        </w:rPr>
        <w:t>信誉关联补充</w:t>
      </w:r>
      <w:r>
        <w:rPr>
          <w:rFonts w:eastAsia="等线" w:ascii="Arial" w:cs="Arial" w:hAnsi="Arial"/>
          <w:sz w:val="22"/>
        </w:rPr>
        <w:t>：低信誉 AI 买家/卖家需额外缴纳预付款或保证金，方可启动资金托管流程。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自动确认规则：默认自动确认时长为 72 小时（可由卖家在合约中自定义，范围 24-168 小时），倒计时内买家未发起仲裁，视为无异议，自动完成交易。</w:t>
      </w:r>
      <w:r>
        <w:rPr>
          <w:rFonts w:eastAsia="等线" w:ascii="Arial" w:cs="Arial" w:hAnsi="Arial"/>
          <w:b w:val="true"/>
          <w:sz w:val="22"/>
        </w:rPr>
        <w:t>人类对AI定制化任务场景</w:t>
      </w:r>
      <w:r>
        <w:rPr>
          <w:rFonts w:eastAsia="等线" w:ascii="Arial" w:cs="Arial" w:hAnsi="Arial"/>
          <w:sz w:val="22"/>
        </w:rPr>
        <w:t>：验收倒计时可由双方协商设定（范围 24-72 小时），超时未发起仲裁，视为验收通过，自动完成资金结算。</w:t>
      </w:r>
      <w:r>
        <w:rPr>
          <w:rFonts w:eastAsia="等线" w:ascii="Arial" w:cs="Arial" w:hAnsi="Arial"/>
          <w:b w:val="true"/>
          <w:sz w:val="22"/>
        </w:rPr>
        <w:t>AI替人类引流场景</w:t>
      </w:r>
      <w:r>
        <w:rPr>
          <w:rFonts w:eastAsia="等线" w:ascii="Arial" w:cs="Arial" w:hAnsi="Arial"/>
          <w:sz w:val="22"/>
        </w:rPr>
        <w:t>：验收倒计时按引流周期分段设定（如每完成50%引流总量，启动一次24小时验收），超时未发起仲裁，视为该阶段引流效果合格；全部完成后，启动最终验收（默认48小时），确认无异议后完成全额结算。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发布环节规范（新增）：</w:t>
        <w:br/>
        <w:t xml:space="preserve">        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违规项明确：卖家（AI 卖家/人类卖家）在商品描述、合约条款中，不得写入任何“效果类承诺”（定义：无法通过本协议算法客观、自动验证，仅能通过主观感受、第三方反馈等不可量化方式判定有效性的承诺）。示例：教学视频商品描述中写入“可提高他人做生意能力”“可实现盈利”，软件商品描述中写入“可提升业绩”“可解决所有问题”等，均属于违规效果承诺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违规处罚规则：一旦卖家在商品描述、合约中写入效果类承诺，无论该承诺是否真实，只要买家发起“效果未达预期”相关投诉，仲裁环节直接判定卖家违约，需向买家全额退款，并扣除卖家保证金、降低信用等级；若多次违规（累计≥3次），限制卖家账号上架权限（1-3个月），情节严重者永久封禁账号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存储标准与定价：</w:t>
        <w:br/>
        <w:t xml:space="preserve">            </w:t>
      </w:r>
    </w:p>
    <w:p>
      <w:pPr>
        <w:numPr>
          <w:numId w:val="6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哈希值存储：所有商品文件哈希、合约哈希、AI 身份信息、信誉数据、Merkle 根均永久保存于 GitHub 仓库，确保不可篡改、可永久追溯，该存储服务免费提供，不额外收取费用；</w:t>
      </w:r>
    </w:p>
    <w:p>
      <w:pPr>
        <w:numPr>
          <w:numId w:val="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协议合同及商品描述存储：卖家发布的商品描述、结构化合约，统一存储于协议层本地服务器，按存储期限分为三个档位，对应不同定价标准，卖家需按自身需求选择：</w:t>
        <w:br/>
        <w:t xml:space="preserve">               </w:t>
      </w:r>
    </w:p>
    <w:p>
      <w:pPr>
        <w:numPr>
          <w:numId w:val="67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30天存储：适合短期上架商品（如限时活动商品、临时交付商品），定价最低，存储期限届满后，自动删除相关商品描述及合约（哈希值仍永久保存于 GitHub 仓库，不影响仲裁追溯）；</w:t>
      </w:r>
    </w:p>
    <w:p>
      <w:pPr>
        <w:numPr>
          <w:numId w:val="6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365天存储：适合常规长期上架商品（如常用软件、教程类商品），定价中等，存储期限届满后，可选择续费延长存储期限，未续费则自动删除；</w:t>
      </w:r>
    </w:p>
    <w:p>
      <w:pPr>
        <w:numPr>
          <w:numId w:val="6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10年存储：适合核心商品、高价值商品（如定制化软件、独家教程），定价最高，存储期限内可无限次查阅、调取，期限届满后可申请永久存储（需额外支付费用）。</w:t>
      </w:r>
    </w:p>
    <w:p>
      <w:pPr>
        <w:numPr>
          <w:numId w:val="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存储责任：存储期限内，协议层负责保障商品描述、合约的完整性、安全性，若因平台原因导致存储数据丢失，由协议层承担相关责任；存储期限届满后，协议层不再承担数据保管责任，卖家需自行备份相关资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2.8 举证与仲裁规则（核心亮点，新增争议分级处理）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2.8.1 举证责任倒置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针对机器不可自动验证的功能（如“软件可上天”“可自动盈利”“可自动引流”等），采用“谁主张，谁举证”原则，AI 卖家/人类卖家承诺功能后，若 AI 买家/人类买家提出异议，需由卖家提交可复现的证据，无法举证则视为欺诈。其中，人类卖家的举证标准与 AI 卖家一致，需提交标准化、可复现的证据材料，确保举证的真实性和可验证性。</w:t>
      </w:r>
      <w:r>
        <w:rPr>
          <w:rFonts w:eastAsia="等线" w:ascii="Arial" w:cs="Arial" w:hAnsi="Arial"/>
          <w:b w:val="true"/>
          <w:sz w:val="22"/>
        </w:rPr>
        <w:t>人类对AI定制化任务场景</w:t>
      </w:r>
      <w:r>
        <w:rPr>
          <w:rFonts w:eastAsia="等线" w:ascii="Arial" w:cs="Arial" w:hAnsi="Arial"/>
          <w:sz w:val="22"/>
        </w:rPr>
        <w:t>：AI 服务提供方需举证“任务已按合约要求完成”，人类需求方需举证“结果不符合合约标准”，举证责任倒置（AI 服务提供方需先证明自身已完成任务，再由人类需求方反驳）。</w:t>
      </w:r>
      <w:r>
        <w:rPr>
          <w:rFonts w:eastAsia="等线" w:ascii="Arial" w:cs="Arial" w:hAnsi="Arial"/>
          <w:b w:val="true"/>
          <w:sz w:val="22"/>
        </w:rPr>
        <w:t>AI替人类引流场景</w:t>
      </w:r>
      <w:r>
        <w:rPr>
          <w:rFonts w:eastAsia="等线" w:ascii="Arial" w:cs="Arial" w:hAnsi="Arial"/>
          <w:sz w:val="22"/>
        </w:rPr>
        <w:t>：AI 引流服务提供方需举证“已完成约定数量的合格粉丝引流”，人类需求方需举证“粉丝不合格、数量不符”，举证责任倒置（AI 引流服务提供方先提交引流效果证据，再由人类需求方反驳）。</w:t>
      </w:r>
      <w:r>
        <w:rPr>
          <w:rFonts w:eastAsia="等线" w:ascii="Arial" w:cs="Arial" w:hAnsi="Arial"/>
          <w:b w:val="true"/>
          <w:sz w:val="22"/>
        </w:rPr>
        <w:t>AI身份关联补充</w:t>
      </w:r>
      <w:r>
        <w:rPr>
          <w:rFonts w:eastAsia="等线" w:ascii="Arial" w:cs="Arial" w:hAnsi="Arial"/>
          <w:sz w:val="22"/>
        </w:rPr>
        <w:t>：所有举证材料均需使用 AI 私钥签名，关联 AI 身份标识，确保举证主体可追溯、不可抵赖。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2.8.2 证据格式规范（机器可验证 + 人类可操作）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卖家/人类卖家举证时，需提交以下标准化证据（缺一不可），适配人类卖家的操作场景，简化举证流程但不降低标准：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可复现的运行命令/操作步骤（标准化格式，人类卖家可按平台模板填写详细操作流程，确保买家可按步骤复现）；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完整的环境配置文件（如 Docker 镜像、环境变量，人类卖家可提交简化版配置说明，协议层可直接部署；若为网页版/客户端软件，需提交安装包、登录信息（临时测试账号））；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带时间戳和哈希的运行日志/操作录屏（确保未篡改，人类卖家可提交高清录屏，录屏需包含操作步骤、运行过程及最终结果，时长不低于5分钟，清晰展示功能实现过程）；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功能实现的输出结果（需包含合约中承诺的核心关键词/量化指标，如“Facebook引流：30分钟新增100+精准好友”“引流转化率≥5%”，人类卖家需提交结果截图、数据报表等可验证材料）。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2.8.2.1 人类卖家特殊举证补充（针对Facebook自动引流工作流场景）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若人类卖家（A）发布“Facebook自动引流工作流”，需额外提交以下针对性证据，确保举证可复现、可验证，解决“买家（B）觉得软件没用”的争议：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Facebook账号配置说明：明确适配的Facebook版本、账号权限要求（如是否需要企业号、是否需要开通相关权限）、账号安全注意事项，避免因买家账号问题导致功能无法实现；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引流工作流完整操作录屏：从账号登录、软件配置（如引流关键词、目标人群、发送频率）、自动运行到引流结果展示，全程无剪辑，清晰展示每一步操作及对应的结果；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真实引流数据佐证：提交至少1组近期（举证前7天内）的引流数据报表，包含引流时长、新增好友数/关注数、转化率等核心指标，数据需可与录屏结果对应；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问题排查说明：针对可能出现的“无法引流”“引流效果差”等问题，提交详细的排查步骤，帮助买家确认是否因自身操作、账号问题导致功能无法实现，同时作为举证的补充材料。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2.8.2.2 人类对AI定制化任务（DNA排序+数据运算）举证补充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针对“人类需求方需要运算100万当前现金DNA排序+带数据”场景，AI 服务提供方接单后，需按以下规范制定环境、提交举证材料，确保任务可追溯、结果可验证：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运算环境配置（核心，协议层存档，可复现）：</w:t>
        <w:br/>
        <w:t xml:space="preserve">        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硬件环境：明确 CPU 型号、内存大小、显卡配置（若需 GPU 加速）、存储容量，确保运算性能满足100万条数据排序需求（如 CPU 不低于 Intel i7-12700H、内存≥32GB、存储≥1TB）；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软件环境：明确操作系统版本（如 Windows Server 2022、Ubuntu 22.04）、运算工具/框架（如 Python 3.9、TensorFlow 2.10、生物信息学工具包（如 SAMtools））、依赖库版本，提交完整的环境配置文件（Docker 镜像优先，便于协议层复现验证）；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数据安全环境：明确数据加密方式（如 AES-256 加密）、数据存储位置（协议层指定的安全服务器，禁止私自留存人类需求方提交的DNA数据）、数据销毁机制（任务完成后72小时内自动销毁原始数据，仅留存运算结果及日志），确保数据隐私安全。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任务执行举证材料：</w:t>
        <w:br/>
        <w:t xml:space="preserve">      </w:t>
      </w:r>
      <w:r>
        <w:rPr>
          <w:rFonts w:eastAsia="等线" w:ascii="Arial" w:cs="Arial" w:hAnsi="Arial"/>
          <w:sz w:val="22"/>
        </w:rPr>
        <w:t>运算日志：带时间戳和哈希，详细记录运算全过程（如数据导入时间、排序算法选择、运算步骤、每阶段耗时、中间结果），确保运算过程可追溯；结果文件：包含100万条现金DNA排序的完整数据（按合约约定格式输出，如 CSV、FASTA 格式），结果文件需生成哈希，与协议层存证的结果哈希一致；验证样例：提交100条随机抽取的排序数据及验证方法（如人类需求方可通过指定工具核对排序逻辑、数据准确性），便于人类需求方快速验收；环境复现说明：提交详细的环境部署步骤，确保协议层及人类需求方可按步骤搭建相同环境，复现运算过程及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2.8.2.3 AI替人类引流场景举证补充（核心，适配按粉定价、多渠道交付）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针对“AI用自身方法替人类引流，交付至微信/QQ/APP注册，按粉定价”场景，AI 引流服务提供方完成引流后，需提交以下针对性证据，确保引流效果可验证、数量可核对，适配协议仲裁规则：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引流渠道佐证材料：</w:t>
        <w:br/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微信引流：提交带时间戳的AI引流操作日志（含引流触发时间、操作动作）、引流链路佐证材料，配合人类需求方（买家）提供的微信后台好友相关截图及报表，按以下防作假机制完成举证核对，共同佐证新增好友为AI引流所得；同时提交粉丝有效性核验方案（如由人类需求方按约定比例随机发送验证消息），确保好友为新增有效粉丝，无批量僵尸粉。防作假核心机制：1. 买前存证校验：双方签订引流合约后1小时内，买家提交「微信后台好友初始数量截图」，需包含精确到分钟的时间戳、微信账号脱敏标识（头像/昵称打码但可识别）、好友总数，协议层自动生成截图哈希及原始元数据（含拍摄时间、分辨率）存证，同时要求买家同步提交截图原图（禁止裁剪、修改），协议层校验原图元数据与截图内容一致性，不符则视为存证无效，需重新提交；2. 交付截图校验：引流完成后，买家提交「微信后台好友最终数量截图+新增明细截图」，需满足三项硬性要求（协议层自动校验）：① 截图时间戳在AI引流服务提供方（卖家）提交的“引流完成时间”±1小时内；② 截图脱敏标识与买前存证一致；③ 新增明细截图需清晰展示好友添加时间，且与卖家引流操作日志的时间、频次高度匹配；3. 异常校验与违约处罚：若买家提交的截图哈希与协议层存证的元数据哈希不一致，或新增明细与卖家引流日志无关联，或无法提供截图原图，直接判定买家提交假图、举证无效，视为买家违约；违约处理：不予退还预付款，扣除买家托管资金的10%作为违约金支付给卖家，同时降低买家信用等级，限制其后续平台交易权限；4. 兜底核验：若双方对截图有争议，协议层可要求买家提供微信后台导出的好友数据报表（含添加时间），报表需生成哈希提交，协议层对比报表数据、截图数据、卖家引流日志，三者一致则认可有效性，不符则判定买家作假并按上述违约条款处理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QQ引流：提交带时间戳的QQ好友添加记录、QQ群成员新增记录（若为群引流）截图，QQ后台数据统计报表，明确新增粉丝数量、添加时间，可追溯至AI引流操作；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APP注册引流：提交APP后台注册数据报表（带时间戳、哈希），包含注册手机号/账号、注册时间、注册渠道（标注为AI引流），可与AI引流日志对应，确保注册量为AI引流带来的有效数据。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引流效果验证材料：</w:t>
        <w:br/>
        <w:t xml:space="preserve">      </w:t>
      </w:r>
      <w:r>
        <w:rPr>
          <w:rFonts w:eastAsia="等线" w:ascii="Arial" w:cs="Arial" w:hAnsi="Arial"/>
          <w:sz w:val="22"/>
        </w:rPr>
        <w:t>粉丝有效性证明：提交随机抽取10%-20%新增粉丝的验证记录（如微信/QQ粉丝可发送验证消息，APP注册用户可验证注册真实性），确保粉丝为真实有效，无僵尸粉、机刷粉；引流数量核对表：明确引流总数量、合格粉丝数量、不合格粉丝原因（如僵尸粉、无效注册），与人类需求方后台数据可核对，标注每批次引流时间及对应数量；AI引流操作日志：带时间戳和哈希，详细记录AI引流的方法、操作步骤、引流时间段、所用渠道（无需泄露AI核心引流算法），确保引流过程可追溯，证明粉丝为AI引流所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合规引流证明：提交AI引流合规说明，承诺未采用违规手段（如垃圾短信、恶意诱导、违规广告）引流，若因AI违规引流导致人类需求方账号受限、APP被处罚，视为AI引流服务提供方严重违约。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2.8.3 争议的自动化分级处理（新增，v1.0 必含）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细化争议类型，针对不同争议类型制定差异化处理路径，实现自动化分级处理，提升裁决效率、降低处理成本，具体分类及处理方式如下：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争议类型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哈希不匹配、</w:t>
            </w:r>
            <w:r>
              <w:rPr>
                <w:rFonts w:eastAsia="等线" w:ascii="Arial" w:cs="Arial" w:hAnsi="Arial"/>
                <w:sz w:val="22"/>
              </w:rPr>
              <w:t>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文件哈希与协议存证不一致、交易超时</w:t>
            </w:r>
            <w:r>
              <w:rPr>
                <w:rFonts w:eastAsia="等线" w:ascii="Arial" w:cs="Arial" w:hAnsi="Arial"/>
                <w:sz w:val="22"/>
              </w:rPr>
              <w:t>未履约、举证超时未提交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自动裁决（代码</w:t>
            </w:r>
            <w:r>
              <w:rPr>
                <w:rFonts w:eastAsia="等线" w:ascii="Arial" w:cs="Arial" w:hAnsi="Arial"/>
                <w:sz w:val="22"/>
              </w:rPr>
              <w:t>执行）：无需人工/AI辅助，协议层直接根据规则判定违约方，</w:t>
            </w:r>
            <w:r>
              <w:rPr>
                <w:rFonts w:eastAsia="等线" w:ascii="Arial" w:cs="Arial" w:hAnsi="Arial"/>
                <w:sz w:val="22"/>
              </w:rPr>
              <w:t>执行对应处罚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内容与描述不符（客观）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交付内容与合约约定的客观指标不符（如软件功能未达到</w:t>
            </w:r>
            <w:r>
              <w:rPr>
                <w:rFonts w:eastAsia="等线" w:ascii="Arial" w:cs="Arial" w:hAnsi="Arial"/>
                <w:sz w:val="22"/>
              </w:rPr>
              <w:t>量化指标、数据交付错误）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AI辅助分析：</w:t>
            </w:r>
            <w:r>
              <w:rPr>
                <w:rFonts w:eastAsia="等线" w:ascii="Arial" w:cs="Arial" w:hAnsi="Arial"/>
                <w:sz w:val="22"/>
              </w:rPr>
              <w:t>协议层通过沙箱验证、数据比对（如比对大纲与视频结构），</w:t>
            </w:r>
            <w:r>
              <w:rPr>
                <w:rFonts w:eastAsia="等线" w:ascii="Arial" w:cs="Arial" w:hAnsi="Arial"/>
                <w:sz w:val="22"/>
              </w:rPr>
              <w:t>自动判定是否违约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效果承诺违规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卖家在商品描述、合约</w:t>
            </w:r>
            <w:r>
              <w:rPr>
                <w:rFonts w:eastAsia="等线" w:ascii="Arial" w:cs="Arial" w:hAnsi="Arial"/>
                <w:sz w:val="22"/>
              </w:rPr>
              <w:t>中写入效果类承诺，且买家主张效果未达预期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直接判卖家输（规则引擎）：无需举证核查，协议层直接</w:t>
            </w:r>
            <w:r>
              <w:rPr>
                <w:rFonts w:eastAsia="等线" w:ascii="Arial" w:cs="Arial" w:hAnsi="Arial"/>
                <w:sz w:val="22"/>
              </w:rPr>
              <w:t>判定卖家违约，执行退款及处罚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复杂主观争议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无明确客观验证标准，涉及主观判断（如创意想法的</w:t>
            </w:r>
            <w:r>
              <w:rPr>
                <w:rFonts w:eastAsia="等线" w:ascii="Arial" w:cs="Arial" w:hAnsi="Arial"/>
                <w:sz w:val="22"/>
              </w:rPr>
              <w:t>价值争议、非量化的服务体验争议）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随机抽选人类仲裁员（或DAO投票，远期）</w:t>
            </w:r>
            <w:r>
              <w:rPr>
                <w:rFonts w:eastAsia="等线" w:ascii="Arial" w:cs="Arial" w:hAnsi="Arial"/>
                <w:sz w:val="22"/>
              </w:rPr>
              <w:t>：由3-5名人类仲裁员根据合约约定、举证材料，集体投票</w:t>
            </w:r>
            <w:r>
              <w:rPr>
                <w:rFonts w:eastAsia="等线" w:ascii="Arial" w:cs="Arial" w:hAnsi="Arial"/>
                <w:sz w:val="22"/>
              </w:rPr>
              <w:t>判定结果，确保公平公正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补充规则：协议层定义争议类型枚举，AI 及人类发起仲裁时，需选择对应争议类型，协议层自动匹配处理路径；复杂主观争议的人类仲裁员需从公开仲裁员库中随机抽取，仲裁结果需生成哈希存证，接受全网监督。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2.8.4 自动仲裁流程（代码可直接落地 + 人类场景适配，结合分级处理）</w:t>
      </w:r>
      <w:bookmarkEnd w:id="2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买家/人类买家/人类需求方发起仲裁：提交运行失败日志/操作失败截图、复现失败数据/反馈，选择对应争议类型，说明具体问题（如“Facebook自动引流工作流无法运行”“运行后无任何引流效果”“DNA排序结果错误”“运算环境不符合约定”“AI引流粉丝数量不符、粉丝无效”），触发仲裁流程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协议层通知 AI 卖家/人类卖家/AI 服务提供方/AI 引流服务提供方举证：给予 1 小时举证窗口期（人类卖家、AI 服务提供方、AI 引流服务提供方可申请延长至 24 小时，需提前说明理由）；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协议层根据争议类型，执行对应处理路径：</w:t>
        <w:br/>
        <w:t xml:space="preserve">        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卖家（哈希不匹配、超时类争议）：协议层自动校验哈希一致性、超时情况，直接执行自动裁决；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类卖家（内容与描述不符类争议）：协议层先验证文件哈希（确保文件未篡改），再由平台辅助验证团队（遵循协议规则，不主观判断功能好坏，仅验证证据的可复现性），按卖家提交的操作步骤、环境配置，模拟买家场景复现功能，记录验证结果，AI 辅助分析判定；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服务提供方（DNA排序+数据运算场景）：协议层先验证任务需求、运算环境、结果文件的哈希一致性，再启动沙箱，按 AI 服务提供方提交的环境配置搭建相同环境，导入原始数据（协议层留存的备份数据），复现运算过程，核对运算结果与提交结果的一致性，同时验证数据安全机制是否符合约定，根据争议类型执行对应裁决；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 引流服务提供方（引流场景）：协议层先验证引流数据哈希与协议层存证的一致性，再结合人类需求方后台数据，核对引流数量；随机抽取粉丝/注册用户进行有效性验证，判定合格粉丝数量；同时核查AI引流操作日志，确认粉丝为AI引流所得，验证AI引流是否合规，根据争议类型执行对应裁决；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复杂主观争议：协议层随机抽选人类仲裁员，提交所有举证材料及争议详情，仲裁员集体投票后，协议层执行裁决结果。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自动判决（结合验证结果，无主观判断）：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未提交证据 → 卖家/AI 服务提供方/AI 引流服务提供方违约 → 全额退款 + 扣除保证金 + 降低信用（人类卖家扣除平台保证金，限制账号上架权限；AI 服务提供方、AI 引流服务提供方扣除信用积分，限制接单权限）；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证据无法复现（沙箱验证失败/人工模拟复现失败） → 卖家/AI 服务提供方/AI 引流服务提供方违约 → 全额退款 + 扣除保证金；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证据可复现（沙箱验证成功/人工模拟复现成功，且结果符合合约承诺） → 买家/人类需求方败诉 → 托管资金打给卖家/AI 服务提供方/AI 引流服务提供方；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特殊情况（Facebook引流场景）：若证据可复现，但买家反馈“没用”（如引流效果未达预期），需核对合约中是否明确约定引流量化指标（如“每日新增≥50好友”）：</w:t>
        <w:br/>
        <w:t xml:space="preserve">           </w:t>
      </w:r>
    </w:p>
    <w:p>
      <w:pPr>
        <w:numPr>
          <w:numId w:val="1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合约有明确量化指标：若复现结果未达到指标 → 卖家违约 → 退款；若达到指标 → 买家败诉；</w:t>
      </w:r>
    </w:p>
    <w:p>
      <w:pPr>
        <w:numPr>
          <w:numId w:val="1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合约无明确量化指标：视为买家对功能预期不符，不属于卖家违约 → 买家败诉，资金打给卖家（提醒：人类卖家需在合约中明确量化指标，避免此类争议）。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特殊情况（人类对AI DNA排序+数据运算场景）：</w:t>
        <w:br/>
        <w:t xml:space="preserve">            </w:t>
      </w:r>
    </w:p>
    <w:p>
      <w:pPr>
        <w:numPr>
          <w:numId w:val="1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运算环境不符合合约约定：视为 AI 服务提供方违约 → 全额退款 + 扣除保证金，若已产生运算结果，需销毁全部数据；</w:t>
      </w:r>
    </w:p>
    <w:p>
      <w:pPr>
        <w:numPr>
          <w:numId w:val="1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运算结果错误（沙箱复现结果与 AI 提交结果不一致）：视为 AI 服务提供方违约 → 全额退款 + 扣除保证金；</w:t>
      </w:r>
    </w:p>
    <w:p>
      <w:pPr>
        <w:numPr>
          <w:numId w:val="10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结果正确但人类需求方认为“无用”（如排序格式不符合预期，但合约未明确约定）：视为人类需求方对需求描述不清晰，不属于 AI 服务提供方违约 → 人类需求方败诉，资金打给 AI 服务提供方；</w:t>
      </w:r>
    </w:p>
    <w:p>
      <w:pPr>
        <w:numPr>
          <w:numId w:val="1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数据泄露：视为 AI 服务提供方严重违约 → 全额退款 + 扣除全部保证金 + 永久限制接单权限，同时追究相关责任，赔偿人类需求方损失。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特殊情况（AI替人类引流场景）：</w:t>
        <w:br/>
        <w:t xml:space="preserve">            </w:t>
      </w:r>
    </w:p>
    <w:p>
      <w:pPr>
        <w:numPr>
          <w:numId w:val="10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合格粉丝数量未达到合约约定总量：按实际合格粉丝数量结算，剩余预付款原路退回；若合格粉丝数量不足合约约定的50%，视为 AI 引流服务提供方违约，全额退还预付款，扣除保证金；</w:t>
      </w:r>
    </w:p>
    <w:p>
      <w:pPr>
        <w:numPr>
          <w:numId w:val="1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粉丝存在大量无效粉、僵尸粉（不合格率≥30%）：视为 AI 引流服务提供方违约，退还已结算款项，扣除保证金，重新补充合格粉丝（或按比例退款）；</w:t>
      </w:r>
    </w:p>
    <w:p>
      <w:pPr>
        <w:numPr>
          <w:numId w:val="1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AI 采用违规手段引流，导致人类需求方账号受限、APP被处罚：视为严重违约，全额退款 + 扣除全部保证金 + 永久限制接单权限，赔偿人类需求方实际损失；</w:t>
      </w:r>
    </w:p>
    <w:p>
      <w:pPr>
        <w:numPr>
          <w:numId w:val="1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人类需求方后台数据与 AI 提交的引流数据不符，且无法证明是 AI 引流问题：视为人类需求方自身数据统计问题，不属于 AI 引流服务提供方违约，按 AI 提交的合格粉丝数量结算。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殊情况（效果承诺违规投诉场景）：若买家因“卖家商品描述/合约包含效果类承诺，且未达预期”发起投诉，协议层无需进行沙箱验证或举证核查，直接判定卖家违约，执行全额退款、扣除保证金、降低信用等级的处罚，同时记录违规行为，纳入卖家信用档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2.8.5 哈希验证优先规则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所有仲裁先校验文件哈希，若 AI 买家/人类买家下载的文件哈希与协议层存证的文件哈希不一致，直接判定卖家违约，无需进入功能举证环节，全额退款。</w:t>
      </w:r>
      <w:r>
        <w:rPr>
          <w:rFonts w:eastAsia="等线" w:ascii="Arial" w:cs="Arial" w:hAnsi="Arial"/>
          <w:b w:val="true"/>
          <w:sz w:val="22"/>
        </w:rPr>
        <w:t>人类对AI定制化任务场景</w:t>
      </w:r>
      <w:r>
        <w:rPr>
          <w:rFonts w:eastAsia="等线" w:ascii="Arial" w:cs="Arial" w:hAnsi="Arial"/>
          <w:sz w:val="22"/>
        </w:rPr>
        <w:t>：优先校验人类需求方提交的原始数据哈希、AI 服务提供方提交的环境配置哈希、结果文件哈希，若任意一项哈希不一致，直接判定 AI 服务提供方违约，全额退款。</w:t>
      </w:r>
      <w:r>
        <w:rPr>
          <w:rFonts w:eastAsia="等线" w:ascii="Arial" w:cs="Arial" w:hAnsi="Arial"/>
          <w:b w:val="true"/>
          <w:sz w:val="22"/>
        </w:rPr>
        <w:t>AI替人类引流场景</w:t>
      </w:r>
      <w:r>
        <w:rPr>
          <w:rFonts w:eastAsia="等线" w:ascii="Arial" w:cs="Arial" w:hAnsi="Arial"/>
          <w:sz w:val="22"/>
        </w:rPr>
        <w:t>：优先校验 AI 提交的引流数据报表哈希、操作日志哈希，与协议层存证的哈希不一致，直接判定 AI 引流服务提供方违约，按实际合格粉丝数量结算或退款。</w:t>
      </w:r>
      <w:r>
        <w:rPr>
          <w:rFonts w:eastAsia="等线" w:ascii="Arial" w:cs="Arial" w:hAnsi="Arial"/>
          <w:b w:val="true"/>
          <w:sz w:val="22"/>
        </w:rPr>
        <w:t>批量交易补充</w:t>
      </w:r>
      <w:r>
        <w:rPr>
          <w:rFonts w:eastAsia="等线" w:ascii="Arial" w:cs="Arial" w:hAnsi="Arial"/>
          <w:sz w:val="22"/>
        </w:rPr>
        <w:t>：批量交易仲裁时，优先校验 Merkle 根哈希及对应子交易哈希，哈希不一致直接判定相关方违约。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2.8.6 软件卖家专属合同标准（补充细则）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软件卖家（AI 卖家/人类卖家）签订交易合同时，需严格引入以下标准，确保合约合规、可执行，规避交易纠纷，同时适配本协议仲裁规则，具体如下：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2.8.6.1 基础信息标准化</w:t>
      </w:r>
      <w:bookmarkEnd w:id="24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主体信息标准：明确卖家（AI 主体 ID/人类卖家平台注册 ID）、买家（AI 主体 ID/人类买家平台注册 ID）身份信息，需与协议层注册信息一致，作为哈希存证、信用记录、仲裁追责的核心依据，禁止虚假主体信息；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软件基础信息标准：明确软件名称、版本号、唯一标识（与协议层文件哈希绑定）、开发主体（AI 开发者/人类开发者）、适配系统（如 Windows 10+、Ubuntu 22.04、浏览器版本等），避免因版本、适配问题引发争议；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交易基础信息标准：明确交易金额、支付方式（需对接协议层资金托管）、交易时间戳（与合约哈希生成时间一致），无歧义、无模糊表述。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2.8.6.2 功能描述量化标准（核心，规避“虚假宣传”纠纷）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禁止自然语言模糊描述（如“功能强大”“效果显著”），所有功能需量化、可验证，结合协议举证规则，明确以下标准：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核心功能量化：明确软件每一项核心功能的具体指标，如“Facebook自动引流软件”需明确“30分钟内新增精准好友≥50人”“引流转化率≥5%”“支持同时登录≤3个账号”；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功能边界标准：明确软件不具备的功能、使用限制，如“不支持违规引流操作”“不兼容Windows 7及以下系统”“单次运行最长不超过24小时”，避免买家预期不符；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运行效果标准：明确软件正常运行的判定依据，如“无崩溃、无卡顿（单次卡顿不超过3秒）”“数据输出延迟≤10秒”，与协议沙箱验证标准一致；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违规禁止标准：严禁在软件描述、合约中写入任何效果类承诺（如“可提升用户业绩”“可帮助用户盈利”等无法客观验证的表述），一旦写入，视为违规，按发布环节规范中的违规处罚规则处理。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2.8.6.3 交付与验收标准（对接协议自动确认、仲裁规则）</w:t>
      </w:r>
      <w:bookmarkEnd w:id="26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交付内容标准：明确交付文件清单（如软件安装包、环境配置文件、操作手册、临时测试账号（如有）），所有交付文件需生成哈希，与协议层存证哈希一致；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交付时限标准：明确交付时间（精确到小时），逾期交付的违约责任（如每逾期1小时扣除交易金额的0.5%，最高扣除10%）；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对接协议自动确认规则，明确验收时长（默认72小时，可自定义24-168小时），验收合格的判定依据（如“按操作手册步骤可正常运行，核心功能达到量化指标”），验收异议的提交方式（需在验收期内提交协议层认可的证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2.8.6.4 权限与使用期限标准</w:t>
      </w:r>
      <w:bookmarkEnd w:id="27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使用权限标准：明确软件使用权限范围，如“个人非商业使用”“企业商业使用（限5台设备同时登录）”，禁止转借、破解、二次分发，违规使用的违约责任（如终止使用权限、扣除保证金）；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使用期限标准：明确使用时长（如“永久使用”“1年有效期（自交付完成之日起计算）”），期限届满后的处理方式（如“自动终止使用权限”“续费可继续使用，续费标准为原交易金额的30%/年”）；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更新维护标准：明确软件更新维护期限（如“交付后6个月内免费更新，逾期需支付维护费”），更新范围（如“Bug修复、功能优化，不包含新增核心功能”）。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2.8.6.5 退款与违约标准（对接协议仲裁规则）</w:t>
      </w:r>
      <w:bookmarkEnd w:id="28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标准：明确可退款场景（如“软件哈希不一致”“核心功能无法复现”“交付文件缺失”“卖家写入效果类承诺违规”），退款比例（如“全额退款”“扣除10%手续费后退款”），退款时限（仲裁结束后24小时内到账）；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违约标准：明确卖家违约情形（如“虚假功能描述”“文件篡改”“逾期交付”“未按要求举证”“写入效果类承诺违规”），违约责任（如“全额退款+扣除保证金+降低信用等级”），与协议仲裁判决规则一致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买家违约标准：明确买家违约情形（如“恶意仲裁”“违规使用软件”“逾期未确认验收且无合理理由”），违约责任（如“不予退款，扣除托管资金的10%作为违约金”）。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2.8.6.6 举证与仲裁适配标准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合同需明确约定，若发生交易纠纷，双方需遵循本协议举证与仲裁规则，具体如下：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卖家举证义务：明确卖家需提交的举证材料（可复现操作步骤、环境配置文件、带时间戳的运行日志/录屏、功能输出结果），举证窗口期（默认1小时，人类卖家可申请延长至24小时）；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仲裁依据标准：明确仲裁以“合约约定、协议规则、沙箱验证结果、哈希验证结果”为唯一依据，无主观判断空间；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裁决执行标准：明确仲裁结果生效后，双方需在24小时内执行（如卖家配合退款、买家配合确认交易），拒不执行的，协议层将采取信用惩罚、权限限制等措施；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补充说明：若因卖家写入效果类承诺引发投诉，卖家无需提交举证材料，仲裁直接判定卖家违约，按相关规则执行处罚。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2.8.6.7 数据安全与隐私保护标准（如有数据处理功能）</w:t>
      </w:r>
      <w:bookmarkEnd w:id="30"/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数据处理标准：明确软件是否涉及数据收集、存储、处理，若涉及，需约定数据加密方式（如 AES-256 加密）、存储期限、销毁机制，禁止私自留存、泄露买家数据；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隐私保护标准：符合协议数据安全模块规则，明确不收集买家敏感信息（如身份证号、银行卡信息），若违反，视为严重违约，承担全部赔偿责任。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2.8.7 人类想法卖家专属合同标准（补充细则）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类想法卖家（出售原创创意、思路、方案类想法，如商业创意、产品思路、营销方案、技术构想等）签订交易合同时，需引入以下专属标准，重点解决想法“原创性、可落地性、保密、价值界定”四大核心痛点，适配本协议仲裁规则，确保交易双方权益，具体如下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2.8.7.1 基础信息标准化（适配想法交易特性）</w:t>
      </w:r>
      <w:bookmarkEnd w:id="32"/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主体信息标准：明确想法卖家（人类，平台注册 ID）、买家（AI 主体 ID/人类买家平台注册 ID）身份信息，与协议层注册信息一致，作为哈希存证、原创性追溯、仲裁追责的核心依据，禁止虚假主体信息；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基础信息标准：明确想法名称、核心类别（如商业创意、产品思路、技术构想、营销方案等）、原创声明（明确想法为卖家原创，未侵犯第三方知识产权）、想法提交形式（如文字文档、思维导图、语音讲解+文字纪要等），同时生成想法专属哈希（协议层按想法核心内容+卖家 ID+时间戳生成），确保想法不可篡改、可追溯；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交易基础信息标准：明确交易金额、支付方式（对接协议层资金托管）、交易时间戳（与合约哈希生成时间一致）、想法交付形式及交付时限，无歧义、无模糊表述，避免因“交付形式不符”引发争议；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违规禁止标准：严禁在想法描述、合约中写入任何效果类承诺（如“该想法可实现年盈利百万”“可快速提升品牌知名度”等无法客观验证的表述），一旦写入，视为违规，按发布环节规范中的违规处罚规则处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2.8.7.2 想法描述与价值量化标准（核心，规避“想法无用”“价值不符”纠纷）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禁止模糊描述（如“好想法”“有前景”“能盈利”），需明确想法的核心内容、可落地性、价值体现，量化可验证指标，结合协议举证规则，具体如下：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标准：明确想法的核心逻辑、实施步骤（简化版，可落地、可复现）、核心优势（如差异化亮点、解决的核心问题），避免“空泛化”，如“短视频带货创意”需明确“目标人群、内容形式、变现路径、核心卖点”；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可落地性标准：明确想法的实施条件（如所需资源、技术门槛、实施周期、适配场景），量化可落地指标，如“商业创意可在3个月内启动，所需启动资金≤50万元，核心团队≤5人”，避免“无法落地”的争议；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值量化标准：结合想法类型，明确价值体现方式（可量化、可验证），如商业创意可约定“预期6个月内实现月营收≥10万元”，技术构想可约定“可降低30%的运营成本”，营销方案可约定“引流转化率≥8%”；无明确量化价值的，需明确“价值判定标准”（如双方认可的第三方评估、试点验证结果）；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想法边界标准：明确想法不包含的内容、实施限制（如“不包含具体执行细节、不提供后续落地辅导”“仅适用于线下门店，不适用于线上平台”），避免买家预期不符。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2.8.7.3 原创性与知识产权标准（核心，规避“抄袭”纠纷）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想法交易的核心是原创性，合同需明确原创性承诺及知识产权归属，适配协议哈希存证规则，具体如下：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原创性承诺：卖家需明确承诺“所售想法为本人原创，未抄袭、未盗用第三方创意，未侵犯任何第三方知识产权（著作权、专利权、商标权等）”，若存在抄袭，视为严重违约；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知识产权归属标准：明确交易后想法的知识产权归属（二选一，不可模糊）：① 所有权转让：买家支付全款后，想法的全部知识产权归买家所有，卖家不得再使用、泄露、转让该想法；② 使用权授权：买家仅获得想法的非独占/独占使用权，卖家保留所有权，明确使用权范围（如“仅限买家自身使用，不得转授权、不得泄露给第三方”）、使用期限（如“1年使用权”）；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原创性验证标准：协议层对想法核心内容生成哈希存证，若买家发现想法存在抄袭（如与第三方已公开创意高度一致），可提交第三方证据，协议层对比哈希及证据，判定卖家是否违约。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2.8.7.4 交付与验收标准（对接协议自动确认、仲裁规则）</w:t>
      </w:r>
      <w:bookmarkEnd w:id="35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内容标准：明确交付清单（如想法核心文档、实施步骤说明、补充讲解（如有）、试点验证方案（如有）），所有交付文件需生成哈希，与协议层存证哈希一致；想法为口头讲解的，需提交带时间戳的录音+文字纪要，确保交付内容可追溯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交付时限标准：明确交付时间（精确到小时），逾期交付的违约责任（如每逾期1小时扣除交易金额的0.5%，最高扣除10%）；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收标准：对接协议自动确认规则，明确验收时长（默认72小时，可自定义24-168小时），验收合格的判定依据（如“想法符合合约描述、核心逻辑清晰、可落地性达标”）；验收异议需在验收期内提交，买家需举证“想法不符合合约约定”（如“无法落地”“价值未达量化指标”），卖家需举证“想法可落地、价值达标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2.8.7.5 保密标准（专属，规避“想法泄露”纠纷）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想法具有保密性，合同需明确双方保密义务，适配协议数据安全规则，具体如下：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卖家保密义务：交易完成前，不得向任何第三方泄露想法核心内容；交易完成后，若为知识产权转让，不得再使用、泄露该想法；若为使用权授权，不得向第三方泄露想法细节及买家使用情况；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买家保密义务：交易完成后，不得向第三方泄露想法核心内容（除非获得卖家书面同意），不得将想法转售、转授权给第三方（除非合约明确约定）；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保密期限：明确保密期限（如“交易完成后3年”“永久保密”），泄露想法的违约责任（如“赔偿买家/卖家实际损失，扣除全部保证金，降低信用等级”）。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2.8.7.6 退款与违约标准（对接协议仲裁规则）</w:t>
      </w:r>
      <w:bookmarkEnd w:id="37"/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标准：明确可退款场景（如“想法存在抄袭”“想法无法落地且卖家无法举证可落地性”“交付内容与合约描述严重不符”“想法哈希与协议层存证不一致”“卖家写入效果类承诺违规”），退款比例（如“全额退款”“扣除10%手续费后退款”），退款时限（仲裁结束后24小时内到账）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违约标准：明确卖家违约情形（如“想法抄袭”“虚假描述想法价值/可落地性”“泄露想法”“未按要求交付”“无法举证想法可落地”“写入效果类承诺违规”），违约责任（如“全额退款+扣除保证金+降低信用等级+赔偿买家损失”），与协议仲裁判决规则一致；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买家违约标准：明确买家违约情形（如“恶意仲裁”“泄露想法”“违规转售/转授权想法”“逾期未确认验收且无合理理由”），违约责任（如“不予退款，扣除托管资金的10%作为违约金”）。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2.8.7.7 举证与仲裁适配标准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合同需明确约定，若发生交易纠纷，双方需遵循本协议举证与仲裁规则，结合想法交易特性，具体如下：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卖家举证义务：明确卖家需提交的举证材料（想法原创性证明、想法可落地性说明（如试点方案、资源清单）、交付内容哈希、带时间戳的想法创作记录（如草稿、修改记录）），举证窗口期（默认1小时，人类卖家可申请延长至24小时）；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买家举证义务：若主张“想法无用”“无法落地”“抄袭”，需提交举证材料（如想法无法落地的证明、第三方抄袭证据、价值未达量化指标的证明）；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仲裁依据标准：明确仲裁以“合约约定、协议规则、想法哈希存证、双方举证材料、想法可落地性验证结果”为唯一依据，无主观判断空间；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裁决执行标准：明确仲裁结果生效后，双方需在24小时内执行（如卖家配合退款、买家配合确认交易、双方停止泄露想法），拒不执行的，协议层将采取信用惩罚、权限限制等措施；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补充说明：若因卖家写入效果类承诺引发投诉，卖家无需提交举证材料，仲裁直接判定卖家违约，按相关规则执行处罚。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软件卖家（AI 卖家/人类卖家）签订交易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30162">
    <w:lvl>
      <w:numFmt w:val="bullet"/>
      <w:suff w:val="tab"/>
      <w:lvlText w:val="•"/>
      <w:rPr>
        <w:color w:val="3370ff"/>
      </w:rPr>
    </w:lvl>
  </w:abstractNum>
  <w:abstractNum w:abstractNumId="1530163">
    <w:lvl>
      <w:numFmt w:val="bullet"/>
      <w:suff w:val="tab"/>
      <w:lvlText w:val="•"/>
      <w:rPr>
        <w:color w:val="3370ff"/>
      </w:rPr>
    </w:lvl>
  </w:abstractNum>
  <w:abstractNum w:abstractNumId="1530164">
    <w:lvl>
      <w:numFmt w:val="bullet"/>
      <w:suff w:val="tab"/>
      <w:lvlText w:val="•"/>
      <w:rPr>
        <w:color w:val="3370ff"/>
      </w:rPr>
    </w:lvl>
  </w:abstractNum>
  <w:abstractNum w:abstractNumId="1530165">
    <w:lvl>
      <w:numFmt w:val="bullet"/>
      <w:suff w:val="tab"/>
      <w:lvlText w:val="•"/>
      <w:rPr>
        <w:color w:val="3370ff"/>
      </w:rPr>
    </w:lvl>
  </w:abstractNum>
  <w:abstractNum w:abstractNumId="1530166">
    <w:lvl>
      <w:numFmt w:val="bullet"/>
      <w:suff w:val="tab"/>
      <w:lvlText w:val="•"/>
      <w:rPr>
        <w:color w:val="3370ff"/>
      </w:rPr>
    </w:lvl>
  </w:abstractNum>
  <w:abstractNum w:abstractNumId="1530167">
    <w:lvl>
      <w:numFmt w:val="bullet"/>
      <w:suff w:val="tab"/>
      <w:lvlText w:val="•"/>
      <w:rPr>
        <w:color w:val="3370ff"/>
      </w:rPr>
    </w:lvl>
  </w:abstractNum>
  <w:abstractNum w:abstractNumId="1530168">
    <w:lvl>
      <w:numFmt w:val="bullet"/>
      <w:suff w:val="tab"/>
      <w:lvlText w:val="•"/>
      <w:rPr>
        <w:color w:val="3370ff"/>
      </w:rPr>
    </w:lvl>
  </w:abstractNum>
  <w:abstractNum w:abstractNumId="1530169">
    <w:lvl>
      <w:numFmt w:val="bullet"/>
      <w:suff w:val="tab"/>
      <w:lvlText w:val="•"/>
      <w:rPr>
        <w:color w:val="3370ff"/>
      </w:rPr>
    </w:lvl>
  </w:abstractNum>
  <w:abstractNum w:abstractNumId="1530170">
    <w:lvl>
      <w:numFmt w:val="bullet"/>
      <w:suff w:val="tab"/>
      <w:lvlText w:val="•"/>
      <w:rPr>
        <w:color w:val="3370ff"/>
      </w:rPr>
    </w:lvl>
  </w:abstractNum>
  <w:abstractNum w:abstractNumId="1530171">
    <w:lvl>
      <w:numFmt w:val="bullet"/>
      <w:suff w:val="tab"/>
      <w:lvlText w:val="•"/>
      <w:rPr>
        <w:color w:val="3370ff"/>
      </w:rPr>
    </w:lvl>
  </w:abstractNum>
  <w:abstractNum w:abstractNumId="1530172">
    <w:lvl>
      <w:numFmt w:val="bullet"/>
      <w:suff w:val="tab"/>
      <w:lvlText w:val="•"/>
      <w:rPr>
        <w:color w:val="3370ff"/>
      </w:rPr>
    </w:lvl>
  </w:abstractNum>
  <w:abstractNum w:abstractNumId="1530173">
    <w:lvl>
      <w:numFmt w:val="bullet"/>
      <w:suff w:val="tab"/>
      <w:lvlText w:val="•"/>
      <w:rPr>
        <w:color w:val="3370ff"/>
      </w:rPr>
    </w:lvl>
  </w:abstractNum>
  <w:abstractNum w:abstractNumId="1530174">
    <w:lvl>
      <w:numFmt w:val="bullet"/>
      <w:suff w:val="tab"/>
      <w:lvlText w:val="•"/>
      <w:rPr>
        <w:color w:val="3370ff"/>
      </w:rPr>
    </w:lvl>
  </w:abstractNum>
  <w:abstractNum w:abstractNumId="1530175">
    <w:lvl>
      <w:numFmt w:val="bullet"/>
      <w:suff w:val="tab"/>
      <w:lvlText w:val="•"/>
      <w:rPr>
        <w:color w:val="3370ff"/>
      </w:rPr>
    </w:lvl>
  </w:abstractNum>
  <w:abstractNum w:abstractNumId="1530176">
    <w:lvl>
      <w:numFmt w:val="bullet"/>
      <w:suff w:val="tab"/>
      <w:lvlText w:val="•"/>
      <w:rPr>
        <w:color w:val="3370ff"/>
      </w:rPr>
    </w:lvl>
  </w:abstractNum>
  <w:abstractNum w:abstractNumId="1530177">
    <w:lvl>
      <w:numFmt w:val="bullet"/>
      <w:suff w:val="tab"/>
      <w:lvlText w:val="•"/>
      <w:rPr>
        <w:color w:val="3370ff"/>
      </w:rPr>
    </w:lvl>
  </w:abstractNum>
  <w:abstractNum w:abstractNumId="1530178">
    <w:lvl>
      <w:numFmt w:val="bullet"/>
      <w:suff w:val="tab"/>
      <w:lvlText w:val="•"/>
      <w:rPr>
        <w:color w:val="3370ff"/>
      </w:rPr>
    </w:lvl>
  </w:abstractNum>
  <w:abstractNum w:abstractNumId="1530179">
    <w:lvl>
      <w:numFmt w:val="bullet"/>
      <w:suff w:val="tab"/>
      <w:lvlText w:val="•"/>
      <w:rPr>
        <w:color w:val="3370ff"/>
      </w:rPr>
    </w:lvl>
  </w:abstractNum>
  <w:abstractNum w:abstractNumId="1530180">
    <w:lvl>
      <w:numFmt w:val="bullet"/>
      <w:suff w:val="tab"/>
      <w:lvlText w:val="•"/>
      <w:rPr>
        <w:color w:val="3370ff"/>
      </w:rPr>
    </w:lvl>
  </w:abstractNum>
  <w:abstractNum w:abstractNumId="1530181">
    <w:lvl>
      <w:numFmt w:val="bullet"/>
      <w:suff w:val="tab"/>
      <w:lvlText w:val="•"/>
      <w:rPr>
        <w:color w:val="3370ff"/>
      </w:rPr>
    </w:lvl>
  </w:abstractNum>
  <w:abstractNum w:abstractNumId="1530182">
    <w:lvl>
      <w:numFmt w:val="bullet"/>
      <w:suff w:val="tab"/>
      <w:lvlText w:val="•"/>
      <w:rPr>
        <w:color w:val="3370ff"/>
      </w:rPr>
    </w:lvl>
  </w:abstractNum>
  <w:abstractNum w:abstractNumId="1530183">
    <w:lvl>
      <w:numFmt w:val="bullet"/>
      <w:suff w:val="tab"/>
      <w:lvlText w:val="•"/>
      <w:rPr>
        <w:color w:val="3370ff"/>
      </w:rPr>
    </w:lvl>
  </w:abstractNum>
  <w:abstractNum w:abstractNumId="1530184">
    <w:lvl>
      <w:numFmt w:val="bullet"/>
      <w:suff w:val="tab"/>
      <w:lvlText w:val="•"/>
      <w:rPr>
        <w:color w:val="3370ff"/>
      </w:rPr>
    </w:lvl>
  </w:abstractNum>
  <w:abstractNum w:abstractNumId="1530185">
    <w:lvl>
      <w:numFmt w:val="bullet"/>
      <w:suff w:val="tab"/>
      <w:lvlText w:val="•"/>
      <w:rPr>
        <w:color w:val="3370ff"/>
      </w:rPr>
    </w:lvl>
  </w:abstractNum>
  <w:abstractNum w:abstractNumId="1530186">
    <w:lvl>
      <w:numFmt w:val="bullet"/>
      <w:suff w:val="tab"/>
      <w:lvlText w:val="•"/>
      <w:rPr>
        <w:color w:val="3370ff"/>
      </w:rPr>
    </w:lvl>
  </w:abstractNum>
  <w:abstractNum w:abstractNumId="1530187">
    <w:lvl>
      <w:numFmt w:val="bullet"/>
      <w:suff w:val="tab"/>
      <w:lvlText w:val="•"/>
      <w:rPr>
        <w:color w:val="3370ff"/>
      </w:rPr>
    </w:lvl>
  </w:abstractNum>
  <w:abstractNum w:abstractNumId="1530188">
    <w:lvl>
      <w:numFmt w:val="bullet"/>
      <w:suff w:val="tab"/>
      <w:lvlText w:val="•"/>
      <w:rPr>
        <w:color w:val="3370ff"/>
      </w:rPr>
    </w:lvl>
  </w:abstractNum>
  <w:abstractNum w:abstractNumId="1530189">
    <w:lvl>
      <w:numFmt w:val="bullet"/>
      <w:suff w:val="tab"/>
      <w:lvlText w:val="•"/>
      <w:rPr>
        <w:color w:val="3370ff"/>
      </w:rPr>
    </w:lvl>
  </w:abstractNum>
  <w:abstractNum w:abstractNumId="1530190">
    <w:lvl>
      <w:numFmt w:val="bullet"/>
      <w:suff w:val="tab"/>
      <w:lvlText w:val="•"/>
      <w:rPr>
        <w:color w:val="3370ff"/>
      </w:rPr>
    </w:lvl>
  </w:abstractNum>
  <w:abstractNum w:abstractNumId="1530191">
    <w:lvl>
      <w:numFmt w:val="bullet"/>
      <w:suff w:val="tab"/>
      <w:lvlText w:val="•"/>
      <w:rPr>
        <w:color w:val="3370ff"/>
      </w:rPr>
    </w:lvl>
  </w:abstractNum>
  <w:abstractNum w:abstractNumId="1530192">
    <w:lvl>
      <w:numFmt w:val="bullet"/>
      <w:suff w:val="tab"/>
      <w:lvlText w:val="•"/>
      <w:rPr>
        <w:color w:val="3370ff"/>
      </w:rPr>
    </w:lvl>
  </w:abstractNum>
  <w:abstractNum w:abstractNumId="1530193">
    <w:lvl>
      <w:numFmt w:val="bullet"/>
      <w:suff w:val="tab"/>
      <w:lvlText w:val="•"/>
      <w:rPr>
        <w:color w:val="3370ff"/>
      </w:rPr>
    </w:lvl>
  </w:abstractNum>
  <w:abstractNum w:abstractNumId="1530194">
    <w:lvl>
      <w:numFmt w:val="bullet"/>
      <w:suff w:val="tab"/>
      <w:lvlText w:val="•"/>
      <w:rPr>
        <w:color w:val="3370ff"/>
      </w:rPr>
    </w:lvl>
  </w:abstractNum>
  <w:abstractNum w:abstractNumId="1530195">
    <w:lvl>
      <w:numFmt w:val="bullet"/>
      <w:suff w:val="tab"/>
      <w:lvlText w:val="•"/>
      <w:rPr>
        <w:color w:val="3370ff"/>
      </w:rPr>
    </w:lvl>
  </w:abstractNum>
  <w:abstractNum w:abstractNumId="1530196">
    <w:lvl>
      <w:numFmt w:val="bullet"/>
      <w:suff w:val="tab"/>
      <w:lvlText w:val="•"/>
      <w:rPr>
        <w:color w:val="3370ff"/>
      </w:rPr>
    </w:lvl>
  </w:abstractNum>
  <w:abstractNum w:abstractNumId="1530197">
    <w:lvl>
      <w:numFmt w:val="bullet"/>
      <w:suff w:val="tab"/>
      <w:lvlText w:val="•"/>
      <w:rPr>
        <w:color w:val="3370ff"/>
      </w:rPr>
    </w:lvl>
  </w:abstractNum>
  <w:abstractNum w:abstractNumId="1530198">
    <w:lvl>
      <w:numFmt w:val="bullet"/>
      <w:suff w:val="tab"/>
      <w:lvlText w:val="•"/>
      <w:rPr>
        <w:color w:val="3370ff"/>
      </w:rPr>
    </w:lvl>
  </w:abstractNum>
  <w:abstractNum w:abstractNumId="1530199">
    <w:lvl>
      <w:numFmt w:val="bullet"/>
      <w:suff w:val="tab"/>
      <w:lvlText w:val="•"/>
      <w:rPr>
        <w:color w:val="3370ff"/>
      </w:rPr>
    </w:lvl>
  </w:abstractNum>
  <w:abstractNum w:abstractNumId="1530200">
    <w:lvl>
      <w:numFmt w:val="bullet"/>
      <w:suff w:val="tab"/>
      <w:lvlText w:val="•"/>
      <w:rPr>
        <w:color w:val="3370ff"/>
      </w:rPr>
    </w:lvl>
  </w:abstractNum>
  <w:abstractNum w:abstractNumId="1530201">
    <w:lvl>
      <w:numFmt w:val="bullet"/>
      <w:suff w:val="tab"/>
      <w:lvlText w:val="•"/>
      <w:rPr>
        <w:color w:val="3370ff"/>
      </w:rPr>
    </w:lvl>
  </w:abstractNum>
  <w:abstractNum w:abstractNumId="1530202">
    <w:lvl>
      <w:numFmt w:val="bullet"/>
      <w:suff w:val="tab"/>
      <w:lvlText w:val="•"/>
      <w:rPr>
        <w:color w:val="3370ff"/>
      </w:rPr>
    </w:lvl>
  </w:abstractNum>
  <w:abstractNum w:abstractNumId="1530203">
    <w:lvl>
      <w:numFmt w:val="bullet"/>
      <w:suff w:val="tab"/>
      <w:lvlText w:val="￮"/>
      <w:rPr>
        <w:color w:val="3370ff"/>
      </w:rPr>
    </w:lvl>
  </w:abstractNum>
  <w:abstractNum w:abstractNumId="1530204">
    <w:lvl>
      <w:numFmt w:val="bullet"/>
      <w:suff w:val="tab"/>
      <w:lvlText w:val="￮"/>
      <w:rPr>
        <w:color w:val="3370ff"/>
      </w:rPr>
    </w:lvl>
  </w:abstractNum>
  <w:abstractNum w:abstractNumId="1530205">
    <w:lvl>
      <w:numFmt w:val="bullet"/>
      <w:suff w:val="tab"/>
      <w:lvlText w:val="￮"/>
      <w:rPr>
        <w:color w:val="3370ff"/>
      </w:rPr>
    </w:lvl>
  </w:abstractNum>
  <w:abstractNum w:abstractNumId="1530206">
    <w:lvl>
      <w:numFmt w:val="bullet"/>
      <w:suff w:val="tab"/>
      <w:lvlText w:val="￮"/>
      <w:rPr>
        <w:color w:val="3370ff"/>
      </w:rPr>
    </w:lvl>
  </w:abstractNum>
  <w:abstractNum w:abstractNumId="1530207">
    <w:lvl>
      <w:numFmt w:val="bullet"/>
      <w:suff w:val="tab"/>
      <w:lvlText w:val="•"/>
      <w:rPr>
        <w:color w:val="3370ff"/>
      </w:rPr>
    </w:lvl>
  </w:abstractNum>
  <w:abstractNum w:abstractNumId="1530208">
    <w:lvl>
      <w:numFmt w:val="bullet"/>
      <w:suff w:val="tab"/>
      <w:lvlText w:val="￮"/>
      <w:rPr>
        <w:color w:val="3370ff"/>
      </w:rPr>
    </w:lvl>
  </w:abstractNum>
  <w:abstractNum w:abstractNumId="1530209">
    <w:lvl>
      <w:numFmt w:val="bullet"/>
      <w:suff w:val="tab"/>
      <w:lvlText w:val="￮"/>
      <w:rPr>
        <w:color w:val="3370ff"/>
      </w:rPr>
    </w:lvl>
  </w:abstractNum>
  <w:abstractNum w:abstractNumId="1530210">
    <w:lvl>
      <w:numFmt w:val="bullet"/>
      <w:suff w:val="tab"/>
      <w:lvlText w:val="￮"/>
      <w:rPr>
        <w:color w:val="3370ff"/>
      </w:rPr>
    </w:lvl>
  </w:abstractNum>
  <w:abstractNum w:abstractNumId="1530211">
    <w:lvl>
      <w:numFmt w:val="bullet"/>
      <w:suff w:val="tab"/>
      <w:lvlText w:val="•"/>
      <w:rPr>
        <w:color w:val="3370ff"/>
      </w:rPr>
    </w:lvl>
  </w:abstractNum>
  <w:abstractNum w:abstractNumId="1530212">
    <w:lvl>
      <w:numFmt w:val="bullet"/>
      <w:suff w:val="tab"/>
      <w:lvlText w:val="•"/>
      <w:rPr>
        <w:color w:val="3370ff"/>
      </w:rPr>
    </w:lvl>
  </w:abstractNum>
  <w:abstractNum w:abstractNumId="1530213">
    <w:lvl>
      <w:numFmt w:val="bullet"/>
      <w:suff w:val="tab"/>
      <w:lvlText w:val="•"/>
      <w:rPr>
        <w:color w:val="3370ff"/>
      </w:rPr>
    </w:lvl>
  </w:abstractNum>
  <w:abstractNum w:abstractNumId="1530214">
    <w:lvl>
      <w:numFmt w:val="bullet"/>
      <w:suff w:val="tab"/>
      <w:lvlText w:val="•"/>
      <w:rPr>
        <w:color w:val="3370ff"/>
      </w:rPr>
    </w:lvl>
  </w:abstractNum>
  <w:abstractNum w:abstractNumId="1530215">
    <w:lvl>
      <w:numFmt w:val="bullet"/>
      <w:suff w:val="tab"/>
      <w:lvlText w:val="•"/>
      <w:rPr>
        <w:color w:val="3370ff"/>
      </w:rPr>
    </w:lvl>
  </w:abstractNum>
  <w:abstractNum w:abstractNumId="1530216">
    <w:lvl>
      <w:numFmt w:val="bullet"/>
      <w:suff w:val="tab"/>
      <w:lvlText w:val="•"/>
      <w:rPr>
        <w:color w:val="3370ff"/>
      </w:rPr>
    </w:lvl>
  </w:abstractNum>
  <w:abstractNum w:abstractNumId="1530217">
    <w:lvl>
      <w:numFmt w:val="bullet"/>
      <w:suff w:val="tab"/>
      <w:lvlText w:val="•"/>
      <w:rPr>
        <w:color w:val="3370ff"/>
      </w:rPr>
    </w:lvl>
  </w:abstractNum>
  <w:abstractNum w:abstractNumId="1530218">
    <w:lvl>
      <w:start w:val="1"/>
      <w:numFmt w:val="decimal"/>
      <w:suff w:val="tab"/>
      <w:lvlText w:val="%1."/>
      <w:rPr>
        <w:color w:val="3370ff"/>
      </w:rPr>
    </w:lvl>
  </w:abstractNum>
  <w:abstractNum w:abstractNumId="1530219">
    <w:lvl>
      <w:start w:val="2"/>
      <w:numFmt w:val="decimal"/>
      <w:suff w:val="tab"/>
      <w:lvlText w:val="%1."/>
      <w:rPr>
        <w:color w:val="3370ff"/>
      </w:rPr>
    </w:lvl>
  </w:abstractNum>
  <w:abstractNum w:abstractNumId="1530220">
    <w:lvl>
      <w:start w:val="3"/>
      <w:numFmt w:val="decimal"/>
      <w:suff w:val="tab"/>
      <w:lvlText w:val="%1."/>
      <w:rPr>
        <w:color w:val="3370ff"/>
      </w:rPr>
    </w:lvl>
  </w:abstractNum>
  <w:abstractNum w:abstractNumId="1530221">
    <w:lvl>
      <w:start w:val="4"/>
      <w:numFmt w:val="decimal"/>
      <w:suff w:val="tab"/>
      <w:lvlText w:val="%1."/>
      <w:rPr>
        <w:color w:val="3370ff"/>
      </w:rPr>
    </w:lvl>
  </w:abstractNum>
  <w:abstractNum w:abstractNumId="1530222">
    <w:lvl>
      <w:start w:val="5"/>
      <w:numFmt w:val="decimal"/>
      <w:suff w:val="tab"/>
      <w:lvlText w:val="%1."/>
      <w:rPr>
        <w:color w:val="3370ff"/>
      </w:rPr>
    </w:lvl>
  </w:abstractNum>
  <w:abstractNum w:abstractNumId="1530223">
    <w:lvl>
      <w:numFmt w:val="bullet"/>
      <w:suff w:val="tab"/>
      <w:lvlText w:val="￮"/>
      <w:rPr>
        <w:color w:val="3370ff"/>
      </w:rPr>
    </w:lvl>
  </w:abstractNum>
  <w:abstractNum w:abstractNumId="1530224">
    <w:lvl>
      <w:numFmt w:val="bullet"/>
      <w:suff w:val="tab"/>
      <w:lvlText w:val="￮"/>
      <w:rPr>
        <w:color w:val="3370ff"/>
      </w:rPr>
    </w:lvl>
  </w:abstractNum>
  <w:abstractNum w:abstractNumId="1530225">
    <w:lvl>
      <w:numFmt w:val="bullet"/>
      <w:suff w:val="tab"/>
      <w:lvlText w:val="￮"/>
      <w:rPr>
        <w:color w:val="3370ff"/>
      </w:rPr>
    </w:lvl>
  </w:abstractNum>
  <w:abstractNum w:abstractNumId="1530226">
    <w:lvl>
      <w:numFmt w:val="bullet"/>
      <w:suff w:val="tab"/>
      <w:lvlText w:val="▪"/>
      <w:rPr>
        <w:color w:val="3370ff"/>
        <w:sz w:val="11"/>
      </w:rPr>
    </w:lvl>
  </w:abstractNum>
  <w:abstractNum w:abstractNumId="1530227">
    <w:lvl>
      <w:numFmt w:val="bullet"/>
      <w:suff w:val="tab"/>
      <w:lvlText w:val="▪"/>
      <w:rPr>
        <w:color w:val="3370ff"/>
        <w:sz w:val="11"/>
      </w:rPr>
    </w:lvl>
  </w:abstractNum>
  <w:abstractNum w:abstractNumId="1530228">
    <w:lvl>
      <w:numFmt w:val="bullet"/>
      <w:suff w:val="tab"/>
      <w:lvlText w:val="•"/>
      <w:rPr>
        <w:color w:val="3370ff"/>
      </w:rPr>
    </w:lvl>
  </w:abstractNum>
  <w:abstractNum w:abstractNumId="1530229">
    <w:lvl>
      <w:numFmt w:val="bullet"/>
      <w:suff w:val="tab"/>
      <w:lvlText w:val="•"/>
      <w:rPr>
        <w:color w:val="3370ff"/>
      </w:rPr>
    </w:lvl>
  </w:abstractNum>
  <w:abstractNum w:abstractNumId="1530230">
    <w:lvl>
      <w:numFmt w:val="bullet"/>
      <w:suff w:val="tab"/>
      <w:lvlText w:val="•"/>
      <w:rPr>
        <w:color w:val="3370ff"/>
      </w:rPr>
    </w:lvl>
  </w:abstractNum>
  <w:abstractNum w:abstractNumId="1530231">
    <w:lvl>
      <w:numFmt w:val="bullet"/>
      <w:suff w:val="tab"/>
      <w:lvlText w:val="▪"/>
      <w:rPr>
        <w:color w:val="3370ff"/>
        <w:sz w:val="11"/>
      </w:rPr>
    </w:lvl>
  </w:abstractNum>
  <w:abstractNum w:abstractNumId="1530232">
    <w:lvl>
      <w:numFmt w:val="bullet"/>
      <w:suff w:val="tab"/>
      <w:lvlText w:val="•"/>
      <w:rPr>
        <w:color w:val="3370ff"/>
      </w:rPr>
    </w:lvl>
  </w:abstractNum>
  <w:abstractNum w:abstractNumId="1530233">
    <w:lvl>
      <w:numFmt w:val="bullet"/>
      <w:suff w:val="tab"/>
      <w:lvlText w:val="•"/>
      <w:rPr>
        <w:color w:val="3370ff"/>
      </w:rPr>
    </w:lvl>
  </w:abstractNum>
  <w:abstractNum w:abstractNumId="1530234">
    <w:lvl>
      <w:numFmt w:val="bullet"/>
      <w:suff w:val="tab"/>
      <w:lvlText w:val="•"/>
      <w:rPr>
        <w:color w:val="3370ff"/>
      </w:rPr>
    </w:lvl>
  </w:abstractNum>
  <w:abstractNum w:abstractNumId="1530235">
    <w:lvl>
      <w:numFmt w:val="bullet"/>
      <w:suff w:val="tab"/>
      <w:lvlText w:val="•"/>
      <w:rPr>
        <w:color w:val="3370ff"/>
      </w:rPr>
    </w:lvl>
  </w:abstractNum>
  <w:abstractNum w:abstractNumId="1530236">
    <w:lvl>
      <w:numFmt w:val="bullet"/>
      <w:suff w:val="tab"/>
      <w:lvlText w:val="•"/>
      <w:rPr>
        <w:color w:val="3370ff"/>
      </w:rPr>
    </w:lvl>
  </w:abstractNum>
  <w:abstractNum w:abstractNumId="1530237">
    <w:lvl>
      <w:numFmt w:val="bullet"/>
      <w:suff w:val="tab"/>
      <w:lvlText w:val="•"/>
      <w:rPr>
        <w:color w:val="3370ff"/>
      </w:rPr>
    </w:lvl>
  </w:abstractNum>
  <w:abstractNum w:abstractNumId="1530238">
    <w:lvl>
      <w:numFmt w:val="bullet"/>
      <w:suff w:val="tab"/>
      <w:lvlText w:val="•"/>
      <w:rPr>
        <w:color w:val="3370ff"/>
      </w:rPr>
    </w:lvl>
  </w:abstractNum>
  <w:abstractNum w:abstractNumId="1530239">
    <w:lvl>
      <w:numFmt w:val="bullet"/>
      <w:suff w:val="tab"/>
      <w:lvlText w:val="•"/>
      <w:rPr>
        <w:color w:val="3370ff"/>
      </w:rPr>
    </w:lvl>
  </w:abstractNum>
  <w:abstractNum w:abstractNumId="1530240">
    <w:lvl>
      <w:numFmt w:val="bullet"/>
      <w:suff w:val="tab"/>
      <w:lvlText w:val="•"/>
      <w:rPr>
        <w:color w:val="3370ff"/>
      </w:rPr>
    </w:lvl>
  </w:abstractNum>
  <w:abstractNum w:abstractNumId="1530241">
    <w:lvl>
      <w:numFmt w:val="bullet"/>
      <w:suff w:val="tab"/>
      <w:lvlText w:val="￮"/>
      <w:rPr>
        <w:color w:val="3370ff"/>
      </w:rPr>
    </w:lvl>
  </w:abstractNum>
  <w:abstractNum w:abstractNumId="1530242">
    <w:lvl>
      <w:numFmt w:val="bullet"/>
      <w:suff w:val="tab"/>
      <w:lvlText w:val="￮"/>
      <w:rPr>
        <w:color w:val="3370ff"/>
      </w:rPr>
    </w:lvl>
  </w:abstractNum>
  <w:abstractNum w:abstractNumId="1530243">
    <w:lvl>
      <w:numFmt w:val="bullet"/>
      <w:suff w:val="tab"/>
      <w:lvlText w:val="￮"/>
      <w:rPr>
        <w:color w:val="3370ff"/>
      </w:rPr>
    </w:lvl>
  </w:abstractNum>
  <w:abstractNum w:abstractNumId="1530244">
    <w:lvl>
      <w:numFmt w:val="bullet"/>
      <w:suff w:val="tab"/>
      <w:lvlText w:val="•"/>
      <w:rPr>
        <w:color w:val="3370ff"/>
      </w:rPr>
    </w:lvl>
  </w:abstractNum>
  <w:abstractNum w:abstractNumId="1530245">
    <w:lvl>
      <w:numFmt w:val="bullet"/>
      <w:suff w:val="tab"/>
      <w:lvlText w:val="￮"/>
      <w:rPr>
        <w:color w:val="3370ff"/>
      </w:rPr>
    </w:lvl>
  </w:abstractNum>
  <w:abstractNum w:abstractNumId="1530246">
    <w:lvl>
      <w:numFmt w:val="bullet"/>
      <w:suff w:val="tab"/>
      <w:lvlText w:val="￮"/>
      <w:rPr>
        <w:color w:val="3370ff"/>
      </w:rPr>
    </w:lvl>
  </w:abstractNum>
  <w:abstractNum w:abstractNumId="1530247">
    <w:lvl>
      <w:numFmt w:val="bullet"/>
      <w:suff w:val="tab"/>
      <w:lvlText w:val="￮"/>
      <w:rPr>
        <w:color w:val="3370ff"/>
      </w:rPr>
    </w:lvl>
  </w:abstractNum>
  <w:abstractNum w:abstractNumId="1530248">
    <w:lvl>
      <w:start w:val="1"/>
      <w:numFmt w:val="decimal"/>
      <w:suff w:val="tab"/>
      <w:lvlText w:val="%1."/>
      <w:rPr>
        <w:color w:val="3370ff"/>
      </w:rPr>
    </w:lvl>
  </w:abstractNum>
  <w:abstractNum w:abstractNumId="1530249">
    <w:lvl>
      <w:start w:val="2"/>
      <w:numFmt w:val="decimal"/>
      <w:suff w:val="tab"/>
      <w:lvlText w:val="%1."/>
      <w:rPr>
        <w:color w:val="3370ff"/>
      </w:rPr>
    </w:lvl>
  </w:abstractNum>
  <w:abstractNum w:abstractNumId="1530250">
    <w:lvl>
      <w:start w:val="3"/>
      <w:numFmt w:val="decimal"/>
      <w:suff w:val="tab"/>
      <w:lvlText w:val="%1."/>
      <w:rPr>
        <w:color w:val="3370ff"/>
      </w:rPr>
    </w:lvl>
  </w:abstractNum>
  <w:abstractNum w:abstractNumId="1530251">
    <w:lvl>
      <w:numFmt w:val="bullet"/>
      <w:suff w:val="tab"/>
      <w:lvlText w:val="￮"/>
      <w:rPr>
        <w:color w:val="3370ff"/>
      </w:rPr>
    </w:lvl>
  </w:abstractNum>
  <w:abstractNum w:abstractNumId="1530252">
    <w:lvl>
      <w:numFmt w:val="bullet"/>
      <w:suff w:val="tab"/>
      <w:lvlText w:val="￮"/>
      <w:rPr>
        <w:color w:val="3370ff"/>
      </w:rPr>
    </w:lvl>
  </w:abstractNum>
  <w:abstractNum w:abstractNumId="1530253">
    <w:lvl>
      <w:numFmt w:val="bullet"/>
      <w:suff w:val="tab"/>
      <w:lvlText w:val="￮"/>
      <w:rPr>
        <w:color w:val="3370ff"/>
      </w:rPr>
    </w:lvl>
  </w:abstractNum>
  <w:abstractNum w:abstractNumId="1530254">
    <w:lvl>
      <w:numFmt w:val="bullet"/>
      <w:suff w:val="tab"/>
      <w:lvlText w:val="￮"/>
      <w:rPr>
        <w:color w:val="3370ff"/>
      </w:rPr>
    </w:lvl>
  </w:abstractNum>
  <w:abstractNum w:abstractNumId="1530255">
    <w:lvl>
      <w:numFmt w:val="bullet"/>
      <w:suff w:val="tab"/>
      <w:lvlText w:val="￮"/>
      <w:rPr>
        <w:color w:val="3370ff"/>
      </w:rPr>
    </w:lvl>
  </w:abstractNum>
  <w:abstractNum w:abstractNumId="1530256">
    <w:lvl>
      <w:start w:val="4"/>
      <w:numFmt w:val="decimal"/>
      <w:suff w:val="tab"/>
      <w:lvlText w:val="%1."/>
      <w:rPr>
        <w:color w:val="3370ff"/>
      </w:rPr>
    </w:lvl>
  </w:abstractNum>
  <w:abstractNum w:abstractNumId="1530257">
    <w:lvl>
      <w:numFmt w:val="bullet"/>
      <w:suff w:val="tab"/>
      <w:lvlText w:val="￮"/>
      <w:rPr>
        <w:color w:val="3370ff"/>
      </w:rPr>
    </w:lvl>
  </w:abstractNum>
  <w:abstractNum w:abstractNumId="1530258">
    <w:lvl>
      <w:numFmt w:val="bullet"/>
      <w:suff w:val="tab"/>
      <w:lvlText w:val="￮"/>
      <w:rPr>
        <w:color w:val="3370ff"/>
      </w:rPr>
    </w:lvl>
  </w:abstractNum>
  <w:abstractNum w:abstractNumId="1530259">
    <w:lvl>
      <w:numFmt w:val="bullet"/>
      <w:suff w:val="tab"/>
      <w:lvlText w:val="￮"/>
      <w:rPr>
        <w:color w:val="3370ff"/>
      </w:rPr>
    </w:lvl>
  </w:abstractNum>
  <w:abstractNum w:abstractNumId="1530260">
    <w:lvl>
      <w:numFmt w:val="bullet"/>
      <w:suff w:val="tab"/>
      <w:lvlText w:val="￮"/>
      <w:rPr>
        <w:color w:val="3370ff"/>
      </w:rPr>
    </w:lvl>
  </w:abstractNum>
  <w:abstractNum w:abstractNumId="1530261">
    <w:lvl>
      <w:numFmt w:val="bullet"/>
      <w:suff w:val="tab"/>
      <w:lvlText w:val="▪"/>
      <w:rPr>
        <w:color w:val="3370ff"/>
        <w:sz w:val="11"/>
      </w:rPr>
    </w:lvl>
  </w:abstractNum>
  <w:abstractNum w:abstractNumId="1530262">
    <w:lvl>
      <w:numFmt w:val="bullet"/>
      <w:suff w:val="tab"/>
      <w:lvlText w:val="▪"/>
      <w:rPr>
        <w:color w:val="3370ff"/>
        <w:sz w:val="11"/>
      </w:rPr>
    </w:lvl>
  </w:abstractNum>
  <w:abstractNum w:abstractNumId="1530263">
    <w:lvl>
      <w:numFmt w:val="bullet"/>
      <w:suff w:val="tab"/>
      <w:lvlText w:val="￮"/>
      <w:rPr>
        <w:color w:val="3370ff"/>
      </w:rPr>
    </w:lvl>
  </w:abstractNum>
  <w:abstractNum w:abstractNumId="1530264">
    <w:lvl>
      <w:numFmt w:val="bullet"/>
      <w:suff w:val="tab"/>
      <w:lvlText w:val="▪"/>
      <w:rPr>
        <w:color w:val="3370ff"/>
        <w:sz w:val="11"/>
      </w:rPr>
    </w:lvl>
  </w:abstractNum>
  <w:abstractNum w:abstractNumId="1530265">
    <w:lvl>
      <w:numFmt w:val="bullet"/>
      <w:suff w:val="tab"/>
      <w:lvlText w:val="▪"/>
      <w:rPr>
        <w:color w:val="3370ff"/>
        <w:sz w:val="11"/>
      </w:rPr>
    </w:lvl>
  </w:abstractNum>
  <w:abstractNum w:abstractNumId="1530266">
    <w:lvl>
      <w:numFmt w:val="bullet"/>
      <w:suff w:val="tab"/>
      <w:lvlText w:val="▪"/>
      <w:rPr>
        <w:color w:val="3370ff"/>
        <w:sz w:val="11"/>
      </w:rPr>
    </w:lvl>
  </w:abstractNum>
  <w:abstractNum w:abstractNumId="1530267">
    <w:lvl>
      <w:numFmt w:val="bullet"/>
      <w:suff w:val="tab"/>
      <w:lvlText w:val="▪"/>
      <w:rPr>
        <w:color w:val="3370ff"/>
        <w:sz w:val="11"/>
      </w:rPr>
    </w:lvl>
  </w:abstractNum>
  <w:abstractNum w:abstractNumId="1530268">
    <w:lvl>
      <w:numFmt w:val="bullet"/>
      <w:suff w:val="tab"/>
      <w:lvlText w:val="￮"/>
      <w:rPr>
        <w:color w:val="3370ff"/>
      </w:rPr>
    </w:lvl>
  </w:abstractNum>
  <w:abstractNum w:abstractNumId="1530269">
    <w:lvl>
      <w:numFmt w:val="bullet"/>
      <w:suff w:val="tab"/>
      <w:lvlText w:val="▪"/>
      <w:rPr>
        <w:color w:val="3370ff"/>
        <w:sz w:val="11"/>
      </w:rPr>
    </w:lvl>
  </w:abstractNum>
  <w:abstractNum w:abstractNumId="1530270">
    <w:lvl>
      <w:numFmt w:val="bullet"/>
      <w:suff w:val="tab"/>
      <w:lvlText w:val="▪"/>
      <w:rPr>
        <w:color w:val="3370ff"/>
        <w:sz w:val="11"/>
      </w:rPr>
    </w:lvl>
  </w:abstractNum>
  <w:abstractNum w:abstractNumId="1530271">
    <w:lvl>
      <w:numFmt w:val="bullet"/>
      <w:suff w:val="tab"/>
      <w:lvlText w:val="▪"/>
      <w:rPr>
        <w:color w:val="3370ff"/>
        <w:sz w:val="11"/>
      </w:rPr>
    </w:lvl>
  </w:abstractNum>
  <w:abstractNum w:abstractNumId="1530272">
    <w:lvl>
      <w:numFmt w:val="bullet"/>
      <w:suff w:val="tab"/>
      <w:lvlText w:val="▪"/>
      <w:rPr>
        <w:color w:val="3370ff"/>
        <w:sz w:val="11"/>
      </w:rPr>
    </w:lvl>
  </w:abstractNum>
  <w:abstractNum w:abstractNumId="1530273">
    <w:lvl>
      <w:numFmt w:val="bullet"/>
      <w:suff w:val="tab"/>
      <w:lvlText w:val="￮"/>
      <w:rPr>
        <w:color w:val="3370ff"/>
      </w:rPr>
    </w:lvl>
  </w:abstractNum>
  <w:abstractNum w:abstractNumId="1530274">
    <w:lvl>
      <w:numFmt w:val="bullet"/>
      <w:suff w:val="tab"/>
      <w:lvlText w:val="•"/>
      <w:rPr>
        <w:color w:val="3370ff"/>
      </w:rPr>
    </w:lvl>
  </w:abstractNum>
  <w:abstractNum w:abstractNumId="1530275">
    <w:lvl>
      <w:numFmt w:val="bullet"/>
      <w:suff w:val="tab"/>
      <w:lvlText w:val="•"/>
      <w:rPr>
        <w:color w:val="3370ff"/>
      </w:rPr>
    </w:lvl>
  </w:abstractNum>
  <w:abstractNum w:abstractNumId="1530276">
    <w:lvl>
      <w:numFmt w:val="bullet"/>
      <w:suff w:val="tab"/>
      <w:lvlText w:val="•"/>
      <w:rPr>
        <w:color w:val="3370ff"/>
      </w:rPr>
    </w:lvl>
  </w:abstractNum>
  <w:abstractNum w:abstractNumId="1530277">
    <w:lvl>
      <w:numFmt w:val="bullet"/>
      <w:suff w:val="tab"/>
      <w:lvlText w:val="•"/>
      <w:rPr>
        <w:color w:val="3370ff"/>
      </w:rPr>
    </w:lvl>
  </w:abstractNum>
  <w:abstractNum w:abstractNumId="1530278">
    <w:lvl>
      <w:numFmt w:val="bullet"/>
      <w:suff w:val="tab"/>
      <w:lvlText w:val="•"/>
      <w:rPr>
        <w:color w:val="3370ff"/>
      </w:rPr>
    </w:lvl>
  </w:abstractNum>
  <w:abstractNum w:abstractNumId="1530279">
    <w:lvl>
      <w:numFmt w:val="bullet"/>
      <w:suff w:val="tab"/>
      <w:lvlText w:val="•"/>
      <w:rPr>
        <w:color w:val="3370ff"/>
      </w:rPr>
    </w:lvl>
  </w:abstractNum>
  <w:abstractNum w:abstractNumId="1530280">
    <w:lvl>
      <w:numFmt w:val="bullet"/>
      <w:suff w:val="tab"/>
      <w:lvlText w:val="•"/>
      <w:rPr>
        <w:color w:val="3370ff"/>
      </w:rPr>
    </w:lvl>
  </w:abstractNum>
  <w:abstractNum w:abstractNumId="1530281">
    <w:lvl>
      <w:numFmt w:val="bullet"/>
      <w:suff w:val="tab"/>
      <w:lvlText w:val="•"/>
      <w:rPr>
        <w:color w:val="3370ff"/>
      </w:rPr>
    </w:lvl>
  </w:abstractNum>
  <w:abstractNum w:abstractNumId="1530282">
    <w:lvl>
      <w:numFmt w:val="bullet"/>
      <w:suff w:val="tab"/>
      <w:lvlText w:val="•"/>
      <w:rPr>
        <w:color w:val="3370ff"/>
      </w:rPr>
    </w:lvl>
  </w:abstractNum>
  <w:abstractNum w:abstractNumId="1530283">
    <w:lvl>
      <w:numFmt w:val="bullet"/>
      <w:suff w:val="tab"/>
      <w:lvlText w:val="•"/>
      <w:rPr>
        <w:color w:val="3370ff"/>
      </w:rPr>
    </w:lvl>
  </w:abstractNum>
  <w:abstractNum w:abstractNumId="1530284">
    <w:lvl>
      <w:numFmt w:val="bullet"/>
      <w:suff w:val="tab"/>
      <w:lvlText w:val="•"/>
      <w:rPr>
        <w:color w:val="3370ff"/>
      </w:rPr>
    </w:lvl>
  </w:abstractNum>
  <w:abstractNum w:abstractNumId="1530285">
    <w:lvl>
      <w:numFmt w:val="bullet"/>
      <w:suff w:val="tab"/>
      <w:lvlText w:val="•"/>
      <w:rPr>
        <w:color w:val="3370ff"/>
      </w:rPr>
    </w:lvl>
  </w:abstractNum>
  <w:abstractNum w:abstractNumId="1530286">
    <w:lvl>
      <w:numFmt w:val="bullet"/>
      <w:suff w:val="tab"/>
      <w:lvlText w:val="•"/>
      <w:rPr>
        <w:color w:val="3370ff"/>
      </w:rPr>
    </w:lvl>
  </w:abstractNum>
  <w:abstractNum w:abstractNumId="1530287">
    <w:lvl>
      <w:numFmt w:val="bullet"/>
      <w:suff w:val="tab"/>
      <w:lvlText w:val="•"/>
      <w:rPr>
        <w:color w:val="3370ff"/>
      </w:rPr>
    </w:lvl>
  </w:abstractNum>
  <w:abstractNum w:abstractNumId="1530288">
    <w:lvl>
      <w:numFmt w:val="bullet"/>
      <w:suff w:val="tab"/>
      <w:lvlText w:val="•"/>
      <w:rPr>
        <w:color w:val="3370ff"/>
      </w:rPr>
    </w:lvl>
  </w:abstractNum>
  <w:abstractNum w:abstractNumId="1530289">
    <w:lvl>
      <w:numFmt w:val="bullet"/>
      <w:suff w:val="tab"/>
      <w:lvlText w:val="•"/>
      <w:rPr>
        <w:color w:val="3370ff"/>
      </w:rPr>
    </w:lvl>
  </w:abstractNum>
  <w:abstractNum w:abstractNumId="1530290">
    <w:lvl>
      <w:numFmt w:val="bullet"/>
      <w:suff w:val="tab"/>
      <w:lvlText w:val="•"/>
      <w:rPr>
        <w:color w:val="3370ff"/>
      </w:rPr>
    </w:lvl>
  </w:abstractNum>
  <w:abstractNum w:abstractNumId="1530291">
    <w:lvl>
      <w:numFmt w:val="bullet"/>
      <w:suff w:val="tab"/>
      <w:lvlText w:val="•"/>
      <w:rPr>
        <w:color w:val="3370ff"/>
      </w:rPr>
    </w:lvl>
  </w:abstractNum>
  <w:abstractNum w:abstractNumId="1530292">
    <w:lvl>
      <w:numFmt w:val="bullet"/>
      <w:suff w:val="tab"/>
      <w:lvlText w:val="•"/>
      <w:rPr>
        <w:color w:val="3370ff"/>
      </w:rPr>
    </w:lvl>
  </w:abstractNum>
  <w:abstractNum w:abstractNumId="1530293">
    <w:lvl>
      <w:numFmt w:val="bullet"/>
      <w:suff w:val="tab"/>
      <w:lvlText w:val="•"/>
      <w:rPr>
        <w:color w:val="3370ff"/>
      </w:rPr>
    </w:lvl>
  </w:abstractNum>
  <w:abstractNum w:abstractNumId="1530294">
    <w:lvl>
      <w:numFmt w:val="bullet"/>
      <w:suff w:val="tab"/>
      <w:lvlText w:val="•"/>
      <w:rPr>
        <w:color w:val="3370ff"/>
      </w:rPr>
    </w:lvl>
  </w:abstractNum>
  <w:abstractNum w:abstractNumId="1530295">
    <w:lvl>
      <w:numFmt w:val="bullet"/>
      <w:suff w:val="tab"/>
      <w:lvlText w:val="•"/>
      <w:rPr>
        <w:color w:val="3370ff"/>
      </w:rPr>
    </w:lvl>
  </w:abstractNum>
  <w:abstractNum w:abstractNumId="1530296">
    <w:lvl>
      <w:numFmt w:val="bullet"/>
      <w:suff w:val="tab"/>
      <w:lvlText w:val="•"/>
      <w:rPr>
        <w:color w:val="3370ff"/>
      </w:rPr>
    </w:lvl>
  </w:abstractNum>
  <w:abstractNum w:abstractNumId="1530297">
    <w:lvl>
      <w:numFmt w:val="bullet"/>
      <w:suff w:val="tab"/>
      <w:lvlText w:val="•"/>
      <w:rPr>
        <w:color w:val="3370ff"/>
      </w:rPr>
    </w:lvl>
  </w:abstractNum>
  <w:abstractNum w:abstractNumId="1530298">
    <w:lvl>
      <w:numFmt w:val="bullet"/>
      <w:suff w:val="tab"/>
      <w:lvlText w:val="•"/>
      <w:rPr>
        <w:color w:val="3370ff"/>
      </w:rPr>
    </w:lvl>
  </w:abstractNum>
  <w:abstractNum w:abstractNumId="1530299">
    <w:lvl>
      <w:numFmt w:val="bullet"/>
      <w:suff w:val="tab"/>
      <w:lvlText w:val="•"/>
      <w:rPr>
        <w:color w:val="3370ff"/>
      </w:rPr>
    </w:lvl>
  </w:abstractNum>
  <w:abstractNum w:abstractNumId="1530300">
    <w:lvl>
      <w:numFmt w:val="bullet"/>
      <w:suff w:val="tab"/>
      <w:lvlText w:val="•"/>
      <w:rPr>
        <w:color w:val="3370ff"/>
      </w:rPr>
    </w:lvl>
  </w:abstractNum>
  <w:abstractNum w:abstractNumId="1530301">
    <w:lvl>
      <w:numFmt w:val="bullet"/>
      <w:suff w:val="tab"/>
      <w:lvlText w:val="•"/>
      <w:rPr>
        <w:color w:val="3370ff"/>
      </w:rPr>
    </w:lvl>
  </w:abstractNum>
  <w:abstractNum w:abstractNumId="1530302">
    <w:lvl>
      <w:numFmt w:val="bullet"/>
      <w:suff w:val="tab"/>
      <w:lvlText w:val="•"/>
      <w:rPr>
        <w:color w:val="3370ff"/>
      </w:rPr>
    </w:lvl>
  </w:abstractNum>
  <w:abstractNum w:abstractNumId="1530303">
    <w:lvl>
      <w:numFmt w:val="bullet"/>
      <w:suff w:val="tab"/>
      <w:lvlText w:val="•"/>
      <w:rPr>
        <w:color w:val="3370ff"/>
      </w:rPr>
    </w:lvl>
  </w:abstractNum>
  <w:abstractNum w:abstractNumId="1530304">
    <w:lvl>
      <w:numFmt w:val="bullet"/>
      <w:suff w:val="tab"/>
      <w:lvlText w:val="•"/>
      <w:rPr>
        <w:color w:val="3370ff"/>
      </w:rPr>
    </w:lvl>
  </w:abstractNum>
  <w:abstractNum w:abstractNumId="1530305">
    <w:lvl>
      <w:numFmt w:val="bullet"/>
      <w:suff w:val="tab"/>
      <w:lvlText w:val="•"/>
      <w:rPr>
        <w:color w:val="3370ff"/>
      </w:rPr>
    </w:lvl>
  </w:abstractNum>
  <w:abstractNum w:abstractNumId="1530306">
    <w:lvl>
      <w:numFmt w:val="bullet"/>
      <w:suff w:val="tab"/>
      <w:lvlText w:val="•"/>
      <w:rPr>
        <w:color w:val="3370ff"/>
      </w:rPr>
    </w:lvl>
  </w:abstractNum>
  <w:abstractNum w:abstractNumId="1530307">
    <w:lvl>
      <w:numFmt w:val="bullet"/>
      <w:suff w:val="tab"/>
      <w:lvlText w:val="•"/>
      <w:rPr>
        <w:color w:val="3370ff"/>
      </w:rPr>
    </w:lvl>
  </w:abstractNum>
  <w:abstractNum w:abstractNumId="1530308">
    <w:lvl>
      <w:numFmt w:val="bullet"/>
      <w:suff w:val="tab"/>
      <w:lvlText w:val="•"/>
      <w:rPr>
        <w:color w:val="3370ff"/>
      </w:rPr>
    </w:lvl>
  </w:abstractNum>
  <w:abstractNum w:abstractNumId="1530309">
    <w:lvl>
      <w:numFmt w:val="bullet"/>
      <w:suff w:val="tab"/>
      <w:lvlText w:val="•"/>
      <w:rPr>
        <w:color w:val="3370ff"/>
      </w:rPr>
    </w:lvl>
  </w:abstractNum>
  <w:abstractNum w:abstractNumId="1530310">
    <w:lvl>
      <w:numFmt w:val="bullet"/>
      <w:suff w:val="tab"/>
      <w:lvlText w:val="•"/>
      <w:rPr>
        <w:color w:val="3370ff"/>
      </w:rPr>
    </w:lvl>
  </w:abstractNum>
  <w:abstractNum w:abstractNumId="1530311">
    <w:lvl>
      <w:numFmt w:val="bullet"/>
      <w:suff w:val="tab"/>
      <w:lvlText w:val="•"/>
      <w:rPr>
        <w:color w:val="3370ff"/>
      </w:rPr>
    </w:lvl>
  </w:abstractNum>
  <w:abstractNum w:abstractNumId="1530312">
    <w:lvl>
      <w:numFmt w:val="bullet"/>
      <w:suff w:val="tab"/>
      <w:lvlText w:val="•"/>
      <w:rPr>
        <w:color w:val="3370ff"/>
      </w:rPr>
    </w:lvl>
  </w:abstractNum>
  <w:abstractNum w:abstractNumId="1530313">
    <w:lvl>
      <w:numFmt w:val="bullet"/>
      <w:suff w:val="tab"/>
      <w:lvlText w:val="•"/>
      <w:rPr>
        <w:color w:val="3370ff"/>
      </w:rPr>
    </w:lvl>
  </w:abstractNum>
  <w:abstractNum w:abstractNumId="1530314">
    <w:lvl>
      <w:numFmt w:val="bullet"/>
      <w:suff w:val="tab"/>
      <w:lvlText w:val="•"/>
      <w:rPr>
        <w:color w:val="3370ff"/>
      </w:rPr>
    </w:lvl>
  </w:abstractNum>
  <w:abstractNum w:abstractNumId="1530315">
    <w:lvl>
      <w:numFmt w:val="bullet"/>
      <w:suff w:val="tab"/>
      <w:lvlText w:val="•"/>
      <w:rPr>
        <w:color w:val="3370ff"/>
      </w:rPr>
    </w:lvl>
  </w:abstractNum>
  <w:abstractNum w:abstractNumId="1530316">
    <w:lvl>
      <w:numFmt w:val="bullet"/>
      <w:suff w:val="tab"/>
      <w:lvlText w:val="•"/>
      <w:rPr>
        <w:color w:val="3370ff"/>
      </w:rPr>
    </w:lvl>
  </w:abstractNum>
  <w:abstractNum w:abstractNumId="1530317">
    <w:lvl>
      <w:numFmt w:val="bullet"/>
      <w:suff w:val="tab"/>
      <w:lvlText w:val="•"/>
      <w:rPr>
        <w:color w:val="3370ff"/>
      </w:rPr>
    </w:lvl>
  </w:abstractNum>
  <w:abstractNum w:abstractNumId="1530318">
    <w:lvl>
      <w:numFmt w:val="bullet"/>
      <w:suff w:val="tab"/>
      <w:lvlText w:val="•"/>
      <w:rPr>
        <w:color w:val="3370ff"/>
      </w:rPr>
    </w:lvl>
  </w:abstractNum>
  <w:abstractNum w:abstractNumId="1530319">
    <w:lvl>
      <w:numFmt w:val="bullet"/>
      <w:suff w:val="tab"/>
      <w:lvlText w:val="•"/>
      <w:rPr>
        <w:color w:val="3370ff"/>
      </w:rPr>
    </w:lvl>
  </w:abstractNum>
  <w:abstractNum w:abstractNumId="1530320">
    <w:lvl>
      <w:numFmt w:val="bullet"/>
      <w:suff w:val="tab"/>
      <w:lvlText w:val="•"/>
      <w:rPr>
        <w:color w:val="3370ff"/>
      </w:rPr>
    </w:lvl>
  </w:abstractNum>
  <w:num w:numId="1">
    <w:abstractNumId w:val="1530162"/>
  </w:num>
  <w:num w:numId="2">
    <w:abstractNumId w:val="1530163"/>
  </w:num>
  <w:num w:numId="3">
    <w:abstractNumId w:val="1530164"/>
  </w:num>
  <w:num w:numId="4">
    <w:abstractNumId w:val="1530165"/>
  </w:num>
  <w:num w:numId="5">
    <w:abstractNumId w:val="1530166"/>
  </w:num>
  <w:num w:numId="6">
    <w:abstractNumId w:val="1530167"/>
  </w:num>
  <w:num w:numId="7">
    <w:abstractNumId w:val="1530168"/>
  </w:num>
  <w:num w:numId="8">
    <w:abstractNumId w:val="1530169"/>
  </w:num>
  <w:num w:numId="9">
    <w:abstractNumId w:val="1530170"/>
  </w:num>
  <w:num w:numId="10">
    <w:abstractNumId w:val="1530171"/>
  </w:num>
  <w:num w:numId="11">
    <w:abstractNumId w:val="1530172"/>
  </w:num>
  <w:num w:numId="12">
    <w:abstractNumId w:val="1530173"/>
  </w:num>
  <w:num w:numId="13">
    <w:abstractNumId w:val="1530174"/>
  </w:num>
  <w:num w:numId="14">
    <w:abstractNumId w:val="1530175"/>
  </w:num>
  <w:num w:numId="15">
    <w:abstractNumId w:val="1530176"/>
  </w:num>
  <w:num w:numId="16">
    <w:abstractNumId w:val="1530177"/>
  </w:num>
  <w:num w:numId="17">
    <w:abstractNumId w:val="1530178"/>
  </w:num>
  <w:num w:numId="18">
    <w:abstractNumId w:val="1530179"/>
  </w:num>
  <w:num w:numId="19">
    <w:abstractNumId w:val="1530180"/>
  </w:num>
  <w:num w:numId="20">
    <w:abstractNumId w:val="1530181"/>
  </w:num>
  <w:num w:numId="21">
    <w:abstractNumId w:val="1530182"/>
  </w:num>
  <w:num w:numId="22">
    <w:abstractNumId w:val="1530183"/>
  </w:num>
  <w:num w:numId="23">
    <w:abstractNumId w:val="1530184"/>
  </w:num>
  <w:num w:numId="24">
    <w:abstractNumId w:val="1530185"/>
  </w:num>
  <w:num w:numId="25">
    <w:abstractNumId w:val="1530186"/>
  </w:num>
  <w:num w:numId="26">
    <w:abstractNumId w:val="1530187"/>
  </w:num>
  <w:num w:numId="27">
    <w:abstractNumId w:val="1530188"/>
  </w:num>
  <w:num w:numId="28">
    <w:abstractNumId w:val="1530189"/>
  </w:num>
  <w:num w:numId="29">
    <w:abstractNumId w:val="1530190"/>
  </w:num>
  <w:num w:numId="30">
    <w:abstractNumId w:val="1530191"/>
  </w:num>
  <w:num w:numId="31">
    <w:abstractNumId w:val="1530192"/>
  </w:num>
  <w:num w:numId="32">
    <w:abstractNumId w:val="1530193"/>
  </w:num>
  <w:num w:numId="33">
    <w:abstractNumId w:val="1530194"/>
  </w:num>
  <w:num w:numId="34">
    <w:abstractNumId w:val="1530195"/>
  </w:num>
  <w:num w:numId="35">
    <w:abstractNumId w:val="1530196"/>
  </w:num>
  <w:num w:numId="36">
    <w:abstractNumId w:val="1530197"/>
  </w:num>
  <w:num w:numId="37">
    <w:abstractNumId w:val="1530198"/>
  </w:num>
  <w:num w:numId="38">
    <w:abstractNumId w:val="1530199"/>
  </w:num>
  <w:num w:numId="39">
    <w:abstractNumId w:val="1530200"/>
  </w:num>
  <w:num w:numId="40">
    <w:abstractNumId w:val="1530201"/>
  </w:num>
  <w:num w:numId="41">
    <w:abstractNumId w:val="1530202"/>
  </w:num>
  <w:num w:numId="42">
    <w:abstractNumId w:val="1530203"/>
  </w:num>
  <w:num w:numId="43">
    <w:abstractNumId w:val="1530204"/>
  </w:num>
  <w:num w:numId="44">
    <w:abstractNumId w:val="1530205"/>
  </w:num>
  <w:num w:numId="45">
    <w:abstractNumId w:val="1530206"/>
  </w:num>
  <w:num w:numId="46">
    <w:abstractNumId w:val="1530207"/>
  </w:num>
  <w:num w:numId="47">
    <w:abstractNumId w:val="1530208"/>
  </w:num>
  <w:num w:numId="48">
    <w:abstractNumId w:val="1530209"/>
  </w:num>
  <w:num w:numId="49">
    <w:abstractNumId w:val="1530210"/>
  </w:num>
  <w:num w:numId="50">
    <w:abstractNumId w:val="1530211"/>
  </w:num>
  <w:num w:numId="51">
    <w:abstractNumId w:val="1530212"/>
  </w:num>
  <w:num w:numId="52">
    <w:abstractNumId w:val="1530213"/>
  </w:num>
  <w:num w:numId="53">
    <w:abstractNumId w:val="1530214"/>
  </w:num>
  <w:num w:numId="54">
    <w:abstractNumId w:val="1530215"/>
  </w:num>
  <w:num w:numId="55">
    <w:abstractNumId w:val="1530216"/>
  </w:num>
  <w:num w:numId="56">
    <w:abstractNumId w:val="1530217"/>
  </w:num>
  <w:num w:numId="57">
    <w:abstractNumId w:val="1530218"/>
  </w:num>
  <w:num w:numId="58">
    <w:abstractNumId w:val="1530219"/>
  </w:num>
  <w:num w:numId="59">
    <w:abstractNumId w:val="1530220"/>
  </w:num>
  <w:num w:numId="60">
    <w:abstractNumId w:val="1530221"/>
  </w:num>
  <w:num w:numId="61">
    <w:abstractNumId w:val="1530222"/>
  </w:num>
  <w:num w:numId="62">
    <w:abstractNumId w:val="1530223"/>
  </w:num>
  <w:num w:numId="63">
    <w:abstractNumId w:val="1530224"/>
  </w:num>
  <w:num w:numId="64">
    <w:abstractNumId w:val="1530225"/>
  </w:num>
  <w:num w:numId="65">
    <w:abstractNumId w:val="1530226"/>
  </w:num>
  <w:num w:numId="66">
    <w:abstractNumId w:val="1530227"/>
  </w:num>
  <w:num w:numId="67">
    <w:abstractNumId w:val="1530228"/>
  </w:num>
  <w:num w:numId="68">
    <w:abstractNumId w:val="1530229"/>
  </w:num>
  <w:num w:numId="69">
    <w:abstractNumId w:val="1530230"/>
  </w:num>
  <w:num w:numId="70">
    <w:abstractNumId w:val="1530231"/>
  </w:num>
  <w:num w:numId="71">
    <w:abstractNumId w:val="1530232"/>
  </w:num>
  <w:num w:numId="72">
    <w:abstractNumId w:val="1530233"/>
  </w:num>
  <w:num w:numId="73">
    <w:abstractNumId w:val="1530234"/>
  </w:num>
  <w:num w:numId="74">
    <w:abstractNumId w:val="1530235"/>
  </w:num>
  <w:num w:numId="75">
    <w:abstractNumId w:val="1530236"/>
  </w:num>
  <w:num w:numId="76">
    <w:abstractNumId w:val="1530237"/>
  </w:num>
  <w:num w:numId="77">
    <w:abstractNumId w:val="1530238"/>
  </w:num>
  <w:num w:numId="78">
    <w:abstractNumId w:val="1530239"/>
  </w:num>
  <w:num w:numId="79">
    <w:abstractNumId w:val="1530240"/>
  </w:num>
  <w:num w:numId="80">
    <w:abstractNumId w:val="1530241"/>
  </w:num>
  <w:num w:numId="81">
    <w:abstractNumId w:val="1530242"/>
  </w:num>
  <w:num w:numId="82">
    <w:abstractNumId w:val="1530243"/>
  </w:num>
  <w:num w:numId="83">
    <w:abstractNumId w:val="1530244"/>
  </w:num>
  <w:num w:numId="84">
    <w:abstractNumId w:val="1530245"/>
  </w:num>
  <w:num w:numId="85">
    <w:abstractNumId w:val="1530246"/>
  </w:num>
  <w:num w:numId="86">
    <w:abstractNumId w:val="1530247"/>
  </w:num>
  <w:num w:numId="87">
    <w:abstractNumId w:val="1530248"/>
  </w:num>
  <w:num w:numId="88">
    <w:abstractNumId w:val="1530249"/>
  </w:num>
  <w:num w:numId="89">
    <w:abstractNumId w:val="1530250"/>
  </w:num>
  <w:num w:numId="90">
    <w:abstractNumId w:val="1530251"/>
  </w:num>
  <w:num w:numId="91">
    <w:abstractNumId w:val="1530252"/>
  </w:num>
  <w:num w:numId="92">
    <w:abstractNumId w:val="1530253"/>
  </w:num>
  <w:num w:numId="93">
    <w:abstractNumId w:val="1530254"/>
  </w:num>
  <w:num w:numId="94">
    <w:abstractNumId w:val="1530255"/>
  </w:num>
  <w:num w:numId="95">
    <w:abstractNumId w:val="1530256"/>
  </w:num>
  <w:num w:numId="96">
    <w:abstractNumId w:val="1530257"/>
  </w:num>
  <w:num w:numId="97">
    <w:abstractNumId w:val="1530258"/>
  </w:num>
  <w:num w:numId="98">
    <w:abstractNumId w:val="1530259"/>
  </w:num>
  <w:num w:numId="99">
    <w:abstractNumId w:val="1530260"/>
  </w:num>
  <w:num w:numId="100">
    <w:abstractNumId w:val="1530261"/>
  </w:num>
  <w:num w:numId="101">
    <w:abstractNumId w:val="1530262"/>
  </w:num>
  <w:num w:numId="102">
    <w:abstractNumId w:val="1530263"/>
  </w:num>
  <w:num w:numId="103">
    <w:abstractNumId w:val="1530264"/>
  </w:num>
  <w:num w:numId="104">
    <w:abstractNumId w:val="1530265"/>
  </w:num>
  <w:num w:numId="105">
    <w:abstractNumId w:val="1530266"/>
  </w:num>
  <w:num w:numId="106">
    <w:abstractNumId w:val="1530267"/>
  </w:num>
  <w:num w:numId="107">
    <w:abstractNumId w:val="1530268"/>
  </w:num>
  <w:num w:numId="108">
    <w:abstractNumId w:val="1530269"/>
  </w:num>
  <w:num w:numId="109">
    <w:abstractNumId w:val="1530270"/>
  </w:num>
  <w:num w:numId="110">
    <w:abstractNumId w:val="1530271"/>
  </w:num>
  <w:num w:numId="111">
    <w:abstractNumId w:val="1530272"/>
  </w:num>
  <w:num w:numId="112">
    <w:abstractNumId w:val="1530273"/>
  </w:num>
  <w:num w:numId="113">
    <w:abstractNumId w:val="1530274"/>
  </w:num>
  <w:num w:numId="114">
    <w:abstractNumId w:val="1530275"/>
  </w:num>
  <w:num w:numId="115">
    <w:abstractNumId w:val="1530276"/>
  </w:num>
  <w:num w:numId="116">
    <w:abstractNumId w:val="1530277"/>
  </w:num>
  <w:num w:numId="117">
    <w:abstractNumId w:val="1530278"/>
  </w:num>
  <w:num w:numId="118">
    <w:abstractNumId w:val="1530279"/>
  </w:num>
  <w:num w:numId="119">
    <w:abstractNumId w:val="1530280"/>
  </w:num>
  <w:num w:numId="120">
    <w:abstractNumId w:val="1530281"/>
  </w:num>
  <w:num w:numId="121">
    <w:abstractNumId w:val="1530282"/>
  </w:num>
  <w:num w:numId="122">
    <w:abstractNumId w:val="1530283"/>
  </w:num>
  <w:num w:numId="123">
    <w:abstractNumId w:val="1530284"/>
  </w:num>
  <w:num w:numId="124">
    <w:abstractNumId w:val="1530285"/>
  </w:num>
  <w:num w:numId="125">
    <w:abstractNumId w:val="1530286"/>
  </w:num>
  <w:num w:numId="126">
    <w:abstractNumId w:val="1530287"/>
  </w:num>
  <w:num w:numId="127">
    <w:abstractNumId w:val="1530288"/>
  </w:num>
  <w:num w:numId="128">
    <w:abstractNumId w:val="1530289"/>
  </w:num>
  <w:num w:numId="129">
    <w:abstractNumId w:val="1530290"/>
  </w:num>
  <w:num w:numId="130">
    <w:abstractNumId w:val="1530291"/>
  </w:num>
  <w:num w:numId="131">
    <w:abstractNumId w:val="1530292"/>
  </w:num>
  <w:num w:numId="132">
    <w:abstractNumId w:val="1530293"/>
  </w:num>
  <w:num w:numId="133">
    <w:abstractNumId w:val="1530294"/>
  </w:num>
  <w:num w:numId="134">
    <w:abstractNumId w:val="1530295"/>
  </w:num>
  <w:num w:numId="135">
    <w:abstractNumId w:val="1530296"/>
  </w:num>
  <w:num w:numId="136">
    <w:abstractNumId w:val="1530297"/>
  </w:num>
  <w:num w:numId="137">
    <w:abstractNumId w:val="1530298"/>
  </w:num>
  <w:num w:numId="138">
    <w:abstractNumId w:val="1530299"/>
  </w:num>
  <w:num w:numId="139">
    <w:abstractNumId w:val="1530300"/>
  </w:num>
  <w:num w:numId="140">
    <w:abstractNumId w:val="1530301"/>
  </w:num>
  <w:num w:numId="141">
    <w:abstractNumId w:val="1530302"/>
  </w:num>
  <w:num w:numId="142">
    <w:abstractNumId w:val="1530303"/>
  </w:num>
  <w:num w:numId="143">
    <w:abstractNumId w:val="1530304"/>
  </w:num>
  <w:num w:numId="144">
    <w:abstractNumId w:val="1530305"/>
  </w:num>
  <w:num w:numId="145">
    <w:abstractNumId w:val="1530306"/>
  </w:num>
  <w:num w:numId="146">
    <w:abstractNumId w:val="1530307"/>
  </w:num>
  <w:num w:numId="147">
    <w:abstractNumId w:val="1530308"/>
  </w:num>
  <w:num w:numId="148">
    <w:abstractNumId w:val="1530309"/>
  </w:num>
  <w:num w:numId="149">
    <w:abstractNumId w:val="1530310"/>
  </w:num>
  <w:num w:numId="150">
    <w:abstractNumId w:val="1530311"/>
  </w:num>
  <w:num w:numId="151">
    <w:abstractNumId w:val="1530312"/>
  </w:num>
  <w:num w:numId="152">
    <w:abstractNumId w:val="1530313"/>
  </w:num>
  <w:num w:numId="153">
    <w:abstractNumId w:val="1530314"/>
  </w:num>
  <w:num w:numId="154">
    <w:abstractNumId w:val="1530315"/>
  </w:num>
  <w:num w:numId="155">
    <w:abstractNumId w:val="1530316"/>
  </w:num>
  <w:num w:numId="156">
    <w:abstractNumId w:val="1530317"/>
  </w:num>
  <w:num w:numId="157">
    <w:abstractNumId w:val="1530318"/>
  </w:num>
  <w:num w:numId="158">
    <w:abstractNumId w:val="1530319"/>
  </w:num>
  <w:num w:numId="159">
    <w:abstractNumId w:val="15303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2026-04-20T16:56:33Z</dcterms:created>
  <dc:creator>Apache POI</dc:creator>
</cp:coreProperties>
</file>