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0" w:after="160"/>
      </w:pPr>
      <w:r>
        <w:rPr>
          <w:rFonts w:ascii="Helvetica Neue" w:hAnsi="Helvetica Neue" w:eastAsia="蘋方-繁"/>
          <w:b/>
          <w:color w:val="1F4E79"/>
          <w:sz w:val="40"/>
        </w:rPr>
        <w:t>判定門檻依據總表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建立：2026-08-28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用途：逐項交代每一個判定門檻「為什麼這樣判」與「數值從哪來」，作為企劃書表 3-2 改寫的依據。</w:t>
      </w:r>
    </w:p>
    <w:p>
      <w:pPr>
        <w:ind w:left="340"/>
      </w:pPr>
      <w:r>
        <w:rPr>
          <w:rFonts w:ascii="Helvetica Neue" w:hAnsi="Helvetica Neue" w:eastAsia="蘋方-繁"/>
          <w:b/>
          <w:color w:val="666666"/>
          <w:sz w:val="21"/>
        </w:rPr>
        <w:t>本表的撰寫原則：沒有依據就寫沒有，不得補上看似合理的來源。凡標「工程判斷」者，即為本團隊自訂、無外部依據。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零、先講一個貫穿全表的事實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13 項判定中，沒有任何一個具體數值來自文獻。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有文獻或標準支持的，是「</w:t>
      </w:r>
      <w:r>
        <w:rPr>
          <w:rFonts w:ascii="Helvetica Neue" w:hAnsi="Helvetica Neue" w:eastAsia="蘋方-繁"/>
          <w:b/>
          <w:color w:val="222222"/>
          <w:sz w:val="22"/>
        </w:rPr>
        <w:t>這一項該不該判</w:t>
      </w:r>
      <w:r>
        <w:rPr>
          <w:rFonts w:ascii="Helvetica Neue" w:hAnsi="Helvetica Neue" w:eastAsia="蘋方-繁"/>
          <w:b w:val="0"/>
          <w:color w:val="222222"/>
          <w:sz w:val="22"/>
        </w:rPr>
        <w:t>」（規則本身）；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「</w:t>
      </w:r>
      <w:r>
        <w:rPr>
          <w:rFonts w:ascii="Helvetica Neue" w:hAnsi="Helvetica Neue" w:eastAsia="蘋方-繁"/>
          <w:b/>
          <w:color w:val="222222"/>
          <w:sz w:val="22"/>
        </w:rPr>
        <w:t>判在哪個數值</w:t>
      </w:r>
      <w:r>
        <w:rPr>
          <w:rFonts w:ascii="Helvetica Neue" w:hAnsi="Helvetica Neue" w:eastAsia="蘋方-繁"/>
          <w:b w:val="0"/>
          <w:color w:val="222222"/>
          <w:sz w:val="22"/>
        </w:rPr>
        <w:t>」（門檻值）全部是本團隊自行校準的工程判斷。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企劃書表 3-1 把 III 類定義為「純工程參數，與運動標準無關」，讀起來像是只有少數幾項是工程值。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實際狀況是：</w:t>
      </w:r>
      <w:r>
        <w:rPr>
          <w:rFonts w:ascii="Helvetica Neue" w:hAnsi="Helvetica Neue" w:eastAsia="蘋方-繁"/>
          <w:b/>
          <w:color w:val="222222"/>
          <w:sz w:val="22"/>
        </w:rPr>
        <w:t>規則來源可分級，門檻數值一律是工程值</w:t>
      </w:r>
      <w:r>
        <w:rPr>
          <w:rFonts w:ascii="Helvetica Neue" w:hAnsi="Helvetica Neue" w:eastAsia="蘋方-繁"/>
          <w:b w:val="0"/>
          <w:color w:val="222222"/>
          <w:sz w:val="22"/>
        </w:rPr>
        <w:t>。這個區分原本沒有寫清楚。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一、判定的兩種性質（原本混在一起）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類別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內容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需要傷害依據嗎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A｜動作是否成立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深度、幅度、週期完整、左右交替、計次間隔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不需要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。依據是動作定義與檢測標準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B｜姿勢是否安全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軀幹前傾、塌腰、膝內夾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需要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。這三項才涉及傷害或代償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C｜取景與技術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入鏡、可見度、訊號穩定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不需要。純工程需求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先前的盤點把 A、B 混在「錯誤項」一欄，導致「單側連做」這種動作定義問題被誤放在需要傷害依據的位置。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二、A 類：動作是否成立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A-1　深蹲深度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：髖相對膝的高度，以腿長正規化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depth &gt;= -0.10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squat.js:42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>：平行蹲為目標深度。Escamilla (2001) 就動態深蹲之膝關節生物力學指出，對膝關節健康者建議採平行蹲；Schoenfeld (2010) 以 partial／parallel／full 分類比較力學負荷。</w:t>
      </w:r>
      <w:r>
        <w:rPr>
          <w:rFonts w:ascii="Helvetica Neue" w:hAnsi="Helvetica Neue" w:eastAsia="蘋方-繁"/>
          <w:b/>
          <w:color w:val="222222"/>
          <w:sz w:val="22"/>
        </w:rPr>
        <w:t>兩篇皆已在企劃書引用，查證屬實。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。程式註解記為「Demo 校準 −0.02→−0.10」，理由是低角度鏡頭使髖顯偏高。此值未經真人樣本驗證。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：規則 I 類／數值 III 類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A-2　伏地挺身深度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：肘關節屈曲角度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progress = norm(165 - elbowAngle, 0, 75)</w:t>
      </w:r>
      <w:r>
        <w:rPr>
          <w:rFonts w:ascii="Helvetica Neue" w:hAnsi="Helvetica Neue" w:eastAsia="蘋方-繁"/>
          <w:b w:val="0"/>
          <w:color w:val="222222"/>
          <w:sz w:val="22"/>
        </w:rPr>
        <w:t>，即 165°→0、90°→1（</w:t>
      </w:r>
      <w:r>
        <w:rPr>
          <w:rFonts w:ascii="Menlo" w:hAnsi="Menlo" w:eastAsia="Menlo"/>
          <w:color w:val="C0392B"/>
          <w:sz w:val="22"/>
        </w:rPr>
        <w:t>pushup.js:53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>：肘屈至約 90°（上臂與地面平行）為體適能檢測通行判準——FitnessGram® 90° push-up、President's Challenge right angle push-up、ACSM／YMCA 肌耐力檢測。</w:t>
      </w:r>
      <w:r>
        <w:rPr>
          <w:rFonts w:ascii="Helvetica Neue" w:hAnsi="Helvetica Neue" w:eastAsia="蘋方-繁"/>
          <w:b/>
          <w:color w:val="222222"/>
          <w:sz w:val="22"/>
        </w:rPr>
        <w:t>已查證。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：90° 有標準支持；⚠️ </w:t>
      </w:r>
      <w:r>
        <w:rPr>
          <w:rFonts w:ascii="Helvetica Neue" w:hAnsi="Helvetica Neue" w:eastAsia="蘋方-繁"/>
          <w:b/>
          <w:color w:val="222222"/>
          <w:sz w:val="22"/>
        </w:rPr>
        <w:t>165° 的起始角是工程判斷</w:t>
      </w:r>
      <w:r>
        <w:rPr>
          <w:rFonts w:ascii="Helvetica Neue" w:hAnsi="Helvetica Neue" w:eastAsia="蘋方-繁"/>
          <w:b w:val="0"/>
          <w:color w:val="222222"/>
          <w:sz w:val="22"/>
        </w:rPr>
        <w:t>，本團隊未查得任何來源規定起始角度。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：規則 I 類／起始角 III 類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A-3　開合跳幅度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：手腕高於肩、踝距超過肩寬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armP &gt; 0.6 &amp;&amp; legP &gt;= 0.5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jumpingjack.js:55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僅教學慣例</w:t>
      </w:r>
      <w:r>
        <w:rPr>
          <w:rFonts w:ascii="Helvetica Neue" w:hAnsi="Helvetica Neue" w:eastAsia="蘋方-繁"/>
          <w:b w:val="0"/>
          <w:color w:val="222222"/>
          <w:sz w:val="22"/>
        </w:rPr>
        <w:t>。查得的通行描述為「雙手於頭頂相碰、雙腳跳開超過肩寬」，來源為體適能測試協定（P90X Heart Rate Maximizer）與健身教學材料，</w:t>
      </w:r>
      <w:r>
        <w:rPr>
          <w:rFonts w:ascii="Helvetica Neue" w:hAnsi="Helvetica Neue" w:eastAsia="蘋方-繁"/>
          <w:b/>
          <w:color w:val="222222"/>
          <w:sz w:val="22"/>
        </w:rPr>
        <w:t>未查得認證機構或期刊層級的成文標準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，且</w:t>
      </w:r>
      <w:r>
        <w:rPr>
          <w:rFonts w:ascii="Helvetica Neue" w:hAnsi="Helvetica Neue" w:eastAsia="蘋方-繁"/>
          <w:b/>
          <w:color w:val="222222"/>
          <w:sz w:val="22"/>
        </w:rPr>
        <w:t>比通行描述寬鬆</w:t>
      </w:r>
      <w:r>
        <w:rPr>
          <w:rFonts w:ascii="Helvetica Neue" w:hAnsi="Helvetica Neue" w:eastAsia="蘋方-繁"/>
          <w:b w:val="0"/>
          <w:color w:val="222222"/>
          <w:sz w:val="22"/>
        </w:rPr>
        <w:t>——通行描述要求雙手頭頂相碰，本系統只要求手腕高於肩。此差異已於 2026-08-27 補入企劃書。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：規則 II 類／數值 III 類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A-4　高抬腿膝高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：膝相對髖的高度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targetEnter: 0.80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highknees.js:17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僅教學慣例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。查詢 </w:t>
      </w:r>
      <w:r>
        <w:rPr>
          <w:rFonts w:ascii="Menlo" w:hAnsi="Menlo" w:eastAsia="Menlo"/>
          <w:color w:val="C0392B"/>
          <w:sz w:val="22"/>
        </w:rPr>
        <w:t>high knees exercise standard form knee height hip level ACSM NSCA guideline</w:t>
      </w:r>
      <w:r>
        <w:rPr>
          <w:rFonts w:ascii="Helvetica Neue" w:hAnsi="Helvetica Neue" w:eastAsia="蘋方-繁"/>
          <w:b w:val="0"/>
          <w:color w:val="222222"/>
          <w:sz w:val="22"/>
        </w:rPr>
        <w:t>（2026-08-27），命中 getfitcraft、endomondo、motra、setforset、fitwill、wellfitinsider、physical-therapy.us 等健身教學網站，一致描述「膝抬至髖高、大腿與地面平行」。</w:t>
      </w:r>
      <w:r>
        <w:rPr>
          <w:rFonts w:ascii="Helvetica Neue" w:hAnsi="Helvetica Neue" w:eastAsia="蘋方-繁"/>
          <w:b/>
          <w:color w:val="222222"/>
          <w:sz w:val="22"/>
        </w:rPr>
        <w:t>搜尋結果明確指出此為 "general professional consensus"，非 ACSM／NSCA 官方文件。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。註解記「0.85 在實機常差一口氣不計次」故降為 0.80。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：規則 II 類／數值 III 類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A-5　動作週期完整（half_rep）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：未走完 READY→CONCENTRIC→TARGET→ECCENTRIC 者不計為有效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無外部依據，亦不需要</w:t>
      </w:r>
      <w:r>
        <w:rPr>
          <w:rFonts w:ascii="Helvetica Neue" w:hAnsi="Helvetica Neue" w:eastAsia="蘋方-繁"/>
          <w:b w:val="0"/>
          <w:color w:val="222222"/>
          <w:sz w:val="22"/>
        </w:rPr>
        <w:t>。這是「一次動作」的定義問題——沒走完週期就不構成一次動作。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>：不涉及數值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：動作定義（本表新增之類別，原三級制未涵蓋）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A-6　左右交替（no_alternation）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：需交替之動作若連續同側，該次無效並回溯撤銷前一次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本團隊未查證任何來源，也沒有傷害依據。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 理由是高抬腿的定義本身即為左右交替（本作品自訂之 </w:t>
      </w:r>
      <w:r>
        <w:rPr>
          <w:rFonts w:ascii="Menlo" w:hAnsi="Menlo" w:eastAsia="Menlo"/>
          <w:color w:val="C0392B"/>
          <w:sz w:val="22"/>
        </w:rPr>
        <w:t>meta.desc</w:t>
      </w:r>
      <w:r>
        <w:rPr>
          <w:rFonts w:ascii="Helvetica Neue" w:hAnsi="Helvetica Neue" w:eastAsia="蘋方-繁"/>
          <w:b w:val="0"/>
          <w:color w:val="222222"/>
          <w:sz w:val="22"/>
        </w:rPr>
        <w:t>：「原地交替抬膝至髖部高度」），只抬同一腳即不構成該動作。</w:t>
      </w:r>
      <w:r>
        <w:rPr>
          <w:rFonts w:ascii="Helvetica Neue" w:hAnsi="Helvetica Neue" w:eastAsia="蘋方-繁"/>
          <w:b/>
          <w:color w:val="222222"/>
          <w:sz w:val="22"/>
        </w:rPr>
        <w:t>同時是防作弊需求。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>：不涉及數值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：動作定義＋防作弊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A-7　計次冷卻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：兩次計次之最小間隔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cooldownMs: 300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engine.js:38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完全無依據，本團隊自訂。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 程式註解僅寫「layer6 動態冷卻」，未載任何理由。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⚠️ 歷史紀錄</w:t>
      </w:r>
      <w:r>
        <w:rPr>
          <w:rFonts w:ascii="Helvetica Neue" w:hAnsi="Helvetica Neue" w:eastAsia="蘋方-繁"/>
          <w:b w:val="0"/>
          <w:color w:val="222222"/>
          <w:sz w:val="22"/>
        </w:rPr>
        <w:t>：先前版本曾以「0.6 秒為人類動作節奏下限」描述此類門檻，該說法為撰寫時自行加上、無任何來源，已於 2026-08-25 移除。</w:t>
      </w:r>
      <w:r>
        <w:rPr>
          <w:rFonts w:ascii="Helvetica Neue" w:hAnsi="Helvetica Neue" w:eastAsia="蘋方-繁"/>
          <w:b/>
          <w:color w:val="222222"/>
          <w:sz w:val="22"/>
        </w:rPr>
        <w:t>不得再以類似說法描述本門檻。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：III 類（工程判斷）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A-8　開合跳手腳同步（limb_desync）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：手與腳的進度需同時達標，擋「只揮手」「只張腳」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bothActive = armP &gt;= 0.35 &amp;&amp; legP &gt;= 0.35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jumpingjack.js:54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無外部依據，亦不需要</w:t>
      </w:r>
      <w:r>
        <w:rPr>
          <w:rFonts w:ascii="Helvetica Neue" w:hAnsi="Helvetica Neue" w:eastAsia="蘋方-繁"/>
          <w:b w:val="0"/>
          <w:color w:val="222222"/>
          <w:sz w:val="22"/>
        </w:rPr>
        <w:t>。開合跳的定義即為手腳同時開合。</w:t>
      </w:r>
      <w:r>
        <w:rPr>
          <w:rFonts w:ascii="Helvetica Neue" w:hAnsi="Helvetica Neue" w:eastAsia="蘋方-繁"/>
          <w:b/>
          <w:color w:val="222222"/>
          <w:sz w:val="22"/>
        </w:rPr>
        <w:t>同時是防作弊需求。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。註解載明 0.5→0.35 的調整理由（armP 與 legP 的正規化窗口不對齊，真人不會同時過 0.5）。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：動作定義＋防作弊／數值 III 類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A-9　高抬腿支撐腳（no_support）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：支撐腳需打直站立，擋「坐著交替抬膝」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：支撐腳膝角 &gt; 150°，或踝不可見時 </w:t>
      </w:r>
      <w:r>
        <w:rPr>
          <w:rFonts w:ascii="Menlo" w:hAnsi="Menlo" w:eastAsia="Menlo"/>
          <w:color w:val="C0392B"/>
          <w:sz w:val="22"/>
        </w:rPr>
        <w:t>(standKnee.y - hipC.y) / torsoLength &gt; 0.45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highknees.js:45-47</w:t>
      </w:r>
      <w:r>
        <w:rPr>
          <w:rFonts w:ascii="Helvetica Neue" w:hAnsi="Helvetica Neue" w:eastAsia="蘋方-繁"/>
          <w:b w:val="0"/>
          <w:color w:val="222222"/>
          <w:sz w:val="22"/>
        </w:rPr>
        <w:t>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無外部依據。本團隊自行設計的防作弊規則</w:t>
      </w:r>
      <w:r>
        <w:rPr>
          <w:rFonts w:ascii="Helvetica Neue" w:hAnsi="Helvetica Neue" w:eastAsia="蘋方-繁"/>
          <w:b w:val="0"/>
          <w:color w:val="222222"/>
          <w:sz w:val="22"/>
        </w:rPr>
        <w:t>，目的是擋住「坐在椅子上抬膝」這條繞路。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，150° 與 0.45 皆為本團隊自訂。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：防作弊／數值 III 類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三、B 類：姿勢是否安全（需要傷害依據的三項）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B-1　深蹲軀幹前傾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：肩—髖連線與垂直線的夾角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torsoLean &gt; 45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squat.js:56</w:t>
      </w:r>
      <w:r>
        <w:rPr>
          <w:rFonts w:ascii="Helvetica Neue" w:hAnsi="Helvetica Neue" w:eastAsia="蘋方-繁"/>
          <w:b w:val="0"/>
          <w:color w:val="222222"/>
          <w:sz w:val="22"/>
        </w:rPr>
        <w:t>），</w:t>
      </w:r>
      <w:r>
        <w:rPr>
          <w:rFonts w:ascii="Helvetica Neue" w:hAnsi="Helvetica Neue" w:eastAsia="蘋方-繁"/>
          <w:b/>
          <w:color w:val="222222"/>
          <w:sz w:val="22"/>
        </w:rPr>
        <w:t>block 級，會取消有效次數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>：Myer et al. (2014) 將軀幹前傾與膝內夾、深度不足並列為 back squat 需辨識矯正之技術缺陷。</w:t>
      </w:r>
      <w:r>
        <w:rPr>
          <w:rFonts w:ascii="Helvetica Neue" w:hAnsi="Helvetica Neue" w:eastAsia="蘋方-繁"/>
          <w:b/>
          <w:color w:val="222222"/>
          <w:sz w:val="22"/>
        </w:rPr>
        <w:t>已查證，企劃書第二章已引用。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⚠️ 界線：Myer 該篇討論的是 </w:t>
      </w:r>
      <w:r>
        <w:rPr>
          <w:rFonts w:ascii="Helvetica Neue" w:hAnsi="Helvetica Neue" w:eastAsia="蘋方-繁"/>
          <w:b/>
          <w:color w:val="222222"/>
          <w:sz w:val="22"/>
        </w:rPr>
        <w:t>back squat（負重背蹲舉）</w:t>
      </w:r>
      <w:r>
        <w:rPr>
          <w:rFonts w:ascii="Helvetica Neue" w:hAnsi="Helvetica Neue" w:eastAsia="蘋方-繁"/>
          <w:b w:val="0"/>
          <w:color w:val="222222"/>
          <w:sz w:val="22"/>
        </w:rPr>
        <w:t>，本作品為徒手深蹲。此外推風險本表明列，不得省略。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。程式註解已載明：合成器實測 clean 0.00°／half 0.00°／compensation 46.42°，</w:t>
      </w:r>
      <w:r>
        <w:rPr>
          <w:rFonts w:ascii="Helvetica Neue" w:hAnsi="Helvetica Neue" w:eastAsia="蘋方-繁"/>
          <w:b/>
          <w:color w:val="222222"/>
          <w:sz w:val="22"/>
        </w:rPr>
        <w:t>判別餘裕僅 1.42°</w:t>
      </w:r>
      <w:r>
        <w:rPr>
          <w:rFonts w:ascii="Helvetica Neue" w:hAnsi="Helvetica Neue" w:eastAsia="蘋方-繁"/>
          <w:b w:val="0"/>
          <w:color w:val="222222"/>
          <w:sz w:val="22"/>
        </w:rPr>
        <w:t>，且合成器的正常深蹲軀幹恆為 0°、完全不模擬真人自然前傾。</w:t>
      </w:r>
      <w:r>
        <w:rPr>
          <w:rFonts w:ascii="Helvetica Neue" w:hAnsi="Helvetica Neue" w:eastAsia="蘋方-繁"/>
          <w:b/>
          <w:color w:val="222222"/>
          <w:sz w:val="22"/>
        </w:rPr>
        <w:t>真人正常深蹲的前傾分佈至今未知。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：規則 I 類／數值 III 類（且餘裕極小，列為已知風險 C-3）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B-2　伏地挺身塌腰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：髖偏離肩—踝連線的距離，以軀幹長正規化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sagRatio &gt;= 0.18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pushup.js:59, 61</w:t>
      </w:r>
      <w:r>
        <w:rPr>
          <w:rFonts w:ascii="Helvetica Neue" w:hAnsi="Helvetica Neue" w:eastAsia="蘋方-繁"/>
          <w:b w:val="0"/>
          <w:color w:val="222222"/>
          <w:sz w:val="22"/>
        </w:rPr>
        <w:t>），</w:t>
      </w:r>
      <w:r>
        <w:rPr>
          <w:rFonts w:ascii="Helvetica Neue" w:hAnsi="Helvetica Neue" w:eastAsia="蘋方-繁"/>
          <w:b/>
          <w:color w:val="222222"/>
          <w:sz w:val="22"/>
        </w:rPr>
        <w:t>block 級，會取消有效次數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查證結果不理想，必須據實揭露。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NASM </w:t>
      </w:r>
      <w:r>
        <w:rPr>
          <w:rFonts w:ascii="Helvetica Neue" w:hAnsi="Helvetica Neue" w:eastAsia="蘋方-繁"/>
          <w:b/>
          <w:color w:val="222222"/>
          <w:sz w:val="22"/>
        </w:rPr>
        <w:t>Pushing Assessment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 明列 "low back arches" 為代償項，並說明其成因（髖屈肌與豎脊肌過度活化、深層核心穩定肌不足）可能導致不適或傷害。</w:t>
      </w:r>
      <w:r>
        <w:rPr>
          <w:rFonts w:ascii="Helvetica Neue" w:hAnsi="Helvetica Neue" w:eastAsia="蘋方-繁"/>
          <w:b/>
          <w:color w:val="222222"/>
          <w:sz w:val="22"/>
        </w:rPr>
        <w:t>但該評估使用站姿推舉（press handles forward），不是伏地挺身。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棒式（plank）的塌腰有 PMC 收錄文獻討論脊椎過度伸展與腰椎壓迫。</w:t>
      </w:r>
      <w:r>
        <w:rPr>
          <w:rFonts w:ascii="Helvetica Neue" w:hAnsi="Helvetica Neue" w:eastAsia="蘋方-繁"/>
          <w:b/>
          <w:color w:val="222222"/>
          <w:sz w:val="22"/>
        </w:rPr>
        <w:t>但棒式不是伏地挺身</w:t>
      </w:r>
      <w:r>
        <w:rPr>
          <w:rFonts w:ascii="Helvetica Neue" w:hAnsi="Helvetica Neue" w:eastAsia="蘋方-繁"/>
          <w:b w:val="0"/>
          <w:color w:val="222222"/>
          <w:sz w:val="22"/>
        </w:rPr>
        <w:t>，雖然伏地挺身的起始姿勢即為棒式，力學相似，此仍屬外推。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「五點對齊（踝、膝、髖、肩、頭成一直線）」廣見於健身教學材料，屬教練慣例。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直接針對伏地挺身塌腰造成傷害的研究，本團隊未查得。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，0.18 為本團隊自訂，無任何外部依據。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：規則 II 類（教練慣例＋相鄰動作之外推）／數值 III 類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⚠️ 一致性問題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：本項僅 II 類依據卻設為 </w:t>
      </w:r>
      <w:r>
        <w:rPr>
          <w:rFonts w:ascii="Helvetica Neue" w:hAnsi="Helvetica Neue" w:eastAsia="蘋方-繁"/>
          <w:b/>
          <w:color w:val="222222"/>
          <w:sz w:val="22"/>
        </w:rPr>
        <w:t>block</w:t>
      </w:r>
      <w:r>
        <w:rPr>
          <w:rFonts w:ascii="Helvetica Neue" w:hAnsi="Helvetica Neue" w:eastAsia="蘋方-繁"/>
          <w:b w:val="0"/>
          <w:color w:val="222222"/>
          <w:sz w:val="22"/>
        </w:rPr>
        <w:t>（取消次數）；膝內夾有 I 類依據反而僅為 advisory。此不一致需一併處理——見第四節。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B-3　深蹲膝內夾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判什麼</w:t>
      </w:r>
      <w:r>
        <w:rPr>
          <w:rFonts w:ascii="Helvetica Neue" w:hAnsi="Helvetica Neue" w:eastAsia="蘋方-繁"/>
          <w:b w:val="0"/>
          <w:color w:val="222222"/>
          <w:sz w:val="22"/>
        </w:rPr>
        <w:t>：膝距 ÷ 踝距（KASR）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程式門檻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KNEE_VALGUS_KASR = 0.85</w:t>
      </w:r>
      <w:r>
        <w:rPr>
          <w:rFonts w:ascii="Helvetica Neue" w:hAnsi="Helvetica Neue" w:eastAsia="蘋方-繁"/>
          <w:b w:val="0"/>
          <w:color w:val="222222"/>
          <w:sz w:val="22"/>
        </w:rPr>
        <w:t>（</w:t>
      </w:r>
      <w:r>
        <w:rPr>
          <w:rFonts w:ascii="Menlo" w:hAnsi="Menlo" w:eastAsia="Menlo"/>
          <w:color w:val="C0392B"/>
          <w:sz w:val="22"/>
        </w:rPr>
        <w:t>squat.js</w:t>
      </w:r>
      <w:r>
        <w:rPr>
          <w:rFonts w:ascii="Helvetica Neue" w:hAnsi="Helvetica Neue" w:eastAsia="蘋方-繁"/>
          <w:b w:val="0"/>
          <w:color w:val="222222"/>
          <w:sz w:val="22"/>
        </w:rPr>
        <w:t>），</w:t>
      </w:r>
      <w:r>
        <w:rPr>
          <w:rFonts w:ascii="Helvetica Neue" w:hAnsi="Helvetica Neue" w:eastAsia="蘋方-繁"/>
          <w:b/>
          <w:color w:val="222222"/>
          <w:sz w:val="22"/>
        </w:rPr>
        <w:t>advisory 級，不取消次數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規則依據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：NASM </w:t>
      </w:r>
      <w:r>
        <w:rPr>
          <w:rFonts w:ascii="Helvetica Neue" w:hAnsi="Helvetica Neue" w:eastAsia="蘋方-繁"/>
          <w:b/>
          <w:color w:val="222222"/>
          <w:sz w:val="22"/>
        </w:rPr>
        <w:t>Overhead Squat Assessment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 明列 "knees moving inward" 為代償項，正面觀察判準為「膝蓋應與腳對齊（第二、三趾）」。</w:t>
      </w:r>
      <w:r>
        <w:rPr>
          <w:rFonts w:ascii="Helvetica Neue" w:hAnsi="Helvetica Neue" w:eastAsia="蘋方-繁"/>
          <w:b/>
          <w:color w:val="222222"/>
          <w:sz w:val="22"/>
        </w:rPr>
        <w:t>OHSA 即徒手深蹲，與本作品動作同型，無外推問題。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 Myer et al. (2014) 亦列膝內夾為技術缺陷。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量測法選 KASR：Mizner et al. 建議 KASR 與 FPPA 作為 3D 動力學之 2D 替代指標。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⚠️ 界線：FPPA 的信效度數據（ICC .72–.91）多來自 side-step、landing、cutting 任務，</w:t>
      </w:r>
      <w:r>
        <w:rPr>
          <w:rFonts w:ascii="Helvetica Neue" w:hAnsi="Helvetica Neue" w:eastAsia="蘋方-繁"/>
          <w:b/>
          <w:color w:val="222222"/>
          <w:sz w:val="22"/>
        </w:rPr>
        <w:t>非深蹲</w:t>
      </w:r>
      <w:r>
        <w:rPr>
          <w:rFonts w:ascii="Helvetica Neue" w:hAnsi="Helvetica Neue" w:eastAsia="蘋方-繁"/>
          <w:b w:val="0"/>
          <w:color w:val="222222"/>
          <w:sz w:val="22"/>
        </w:rPr>
        <w:t>。該組數字只能說明「2D 正面測膝外翻可行」，不能作為深蹲上的效度證據。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數值來源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：⚠️ </w:t>
      </w:r>
      <w:r>
        <w:rPr>
          <w:rFonts w:ascii="Helvetica Neue" w:hAnsi="Helvetica Neue" w:eastAsia="蘋方-繁"/>
          <w:b/>
          <w:color w:val="222222"/>
          <w:sz w:val="22"/>
        </w:rPr>
        <w:t>工程判斷</w:t>
      </w:r>
      <w:r>
        <w:rPr>
          <w:rFonts w:ascii="Helvetica Neue" w:hAnsi="Helvetica Neue" w:eastAsia="蘋方-繁"/>
          <w:b w:val="0"/>
          <w:color w:val="222222"/>
          <w:sz w:val="22"/>
        </w:rPr>
        <w:t>，0.85 為本團隊自訂。合成器實測最深處 KASR：clean 2.738／half 1.782／compensation 2.738／valgus 0.352。</w:t>
      </w:r>
      <w:r>
        <w:rPr>
          <w:rFonts w:ascii="Helvetica Neue" w:hAnsi="Helvetica Neue" w:eastAsia="蘋方-繁"/>
          <w:b/>
          <w:color w:val="222222"/>
          <w:sz w:val="22"/>
        </w:rPr>
        <w:t>合成器正常深蹲之膝為外開（KASR≥1），真人不會如此，故此門檻在真人資料上的適切性未知。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• </w:t>
      </w:r>
      <w:r>
        <w:rPr>
          <w:rFonts w:ascii="Helvetica Neue" w:hAnsi="Helvetica Neue" w:eastAsia="蘋方-繁"/>
          <w:b/>
          <w:color w:val="222222"/>
          <w:sz w:val="22"/>
        </w:rPr>
        <w:t>依據等級</w:t>
      </w:r>
      <w:r>
        <w:rPr>
          <w:rFonts w:ascii="Helvetica Neue" w:hAnsi="Helvetica Neue" w:eastAsia="蘋方-繁"/>
          <w:b w:val="0"/>
          <w:color w:val="222222"/>
          <w:sz w:val="22"/>
        </w:rPr>
        <w:t>：規則 I 類／數值 III 類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四、發現的三個不一致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1. </w:t>
      </w:r>
      <w:r>
        <w:rPr>
          <w:rFonts w:ascii="Helvetica Neue" w:hAnsi="Helvetica Neue" w:eastAsia="蘋方-繁"/>
          <w:b/>
          <w:color w:val="222222"/>
          <w:sz w:val="22"/>
        </w:rPr>
        <w:t>依據強度與阻擋強度不對稱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塌腰（II 類依據）為 block、膝內夾（I 類依據）為 advisory。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兩者的門檻數值同樣無依據，處置卻不同。合理的作法是兩者一致——要嘛都在標定完成前僅提示，要嘛都阻擋。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本表建議：標定完成前，兩者皆降為 advisory。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 理由是門檻無依據就不該取消使用者的有效次數。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⚠️ 此變更會使伏地挺身的塌腰不再阻擋計次，影響現有測試與 demo 行為，</w:t>
      </w:r>
      <w:r>
        <w:rPr>
          <w:rFonts w:ascii="Helvetica Neue" w:hAnsi="Helvetica Neue" w:eastAsia="蘋方-繁"/>
          <w:b/>
          <w:color w:val="222222"/>
          <w:sz w:val="22"/>
        </w:rPr>
        <w:t>需使用者決定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2. </w:t>
      </w:r>
      <w:r>
        <w:rPr>
          <w:rFonts w:ascii="Helvetica Neue" w:hAnsi="Helvetica Neue" w:eastAsia="蘋方-繁"/>
          <w:b/>
          <w:color w:val="222222"/>
          <w:sz w:val="22"/>
        </w:rPr>
        <w:t>企劃書表 3-2 只涵蓋 5 項，實際有 13 項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未列者：膝內夾、塌腰、手腳同步、支撐腳、週期完整、左右交替、計次冷卻、取景把關。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而企劃書段 22 明文「每一項門檻均須標明其知識來源等級」。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3. </w:t>
      </w:r>
      <w:r>
        <w:rPr>
          <w:rFonts w:ascii="Helvetica Neue" w:hAnsi="Helvetica Neue" w:eastAsia="蘋方-繁"/>
          <w:b/>
          <w:color w:val="222222"/>
          <w:sz w:val="22"/>
        </w:rPr>
        <w:t>三級溯源制度未區分「規則來源」與「數值來源」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現行分級把兩者混為一談，導致「深蹲深度標 I 類」讀起來像是門檻值有文獻支持，實際上只有「以平行蹲為目標」有文獻，−0.10 這個數字是自訂的。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五、必須改口的既有敘述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位置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現行寫法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問題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表 3-2「深蹲深度…等級 I」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讀作門檻值有文獻依據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應區分規則 I 類、數值 III 類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表 3-2「伏地挺身深度…等級 I」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同上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90° 有標準，165° 起始角無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段 22「每一項門檻均須標明其知識來源等級」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實際只標了 5/13 項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補齊，或改寫該句</w:t>
            </w:r>
          </w:p>
        </w:tc>
      </w:tr>
    </w:tbl>
    <w:p>
      <w:pPr>
        <w:spacing w:after="40"/>
      </w:pP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六、待標定清單（真人測試時一併處理）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門檻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現值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標定方式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深蹲深度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−0.10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校準批標準組的 depth 分佈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深蹲軀幹前傾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45°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真人正常深蹲的前傾分佈（餘裕僅 1.42°，最急）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深蹲膝內夾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KASR 0.85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加拍膝內夾組；UI-PRMD 的 knees-not-aligned 樣本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伏地挺身塌腰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0.18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加拍塌腰組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開合跳幅度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armP 0.6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校準批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高抬腿膝高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0.80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校準批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計次冷卻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300ms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真人最快動作節奏之實測分佈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