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28A88" w14:textId="77777777" w:rsidR="00D44DCB" w:rsidRDefault="00000000">
      <w:pPr>
        <w:spacing w:after="200" w:line="360" w:lineRule="auto"/>
        <w:jc w:val="center"/>
      </w:pPr>
      <w:r>
        <w:rPr>
          <w:rFonts w:ascii="標楷體" w:eastAsia="標楷體" w:hAnsi="標楷體" w:cs="標楷體"/>
          <w:b/>
          <w:bCs/>
          <w:sz w:val="32"/>
          <w:szCs w:val="32"/>
        </w:rPr>
        <w:t>二、作品動機（Why）</w:t>
      </w:r>
    </w:p>
    <w:p w14:paraId="5D228A89" w14:textId="77777777" w:rsidR="00D44DCB" w:rsidRDefault="00000000">
      <w:pPr>
        <w:pStyle w:val="2"/>
        <w:spacing w:before="240" w:after="160" w:line="360" w:lineRule="auto"/>
      </w:pPr>
      <w:r>
        <w:rPr>
          <w:rFonts w:ascii="標楷體" w:eastAsia="標楷體" w:hAnsi="標楷體" w:cs="標楷體"/>
          <w:b/>
          <w:bCs/>
        </w:rPr>
        <w:t>（一）背景</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世界衛生組織建議成人每週應累積 150 至 300 分鐘中等強度有氧活動，並每週至少兩天從事肌力訓練（World Health Organization, 2020），然而 2022 年全球仍有 31.3% 的成人未達建議量，且推估 2030 年將升至約 35%（Strain et al., 2024）。疫情期間居家健身房與線上訓練一度躍居趨勢前段，隨後隨防疫措施鬆綁而明顯回落——以美國為例，居家健身房自 2022 年的第 2 名降至 2023 年的第 13 名，線上直播與隨選運動由第 7 名降至第 21 名，行動運動應用程式由第 12 名降至第 19 名，該調查並指出線上導向趨勢與數位服務在歐洲與美國同步下滑（Kercher et al., 2023）。這正說明居家運動短缺的並非內容或器材，而是隨之而來的專業指導——國內研究亦指出，大學體育課的健身課程通常由一名教師帶領多名學生，逐一給予即時而個別化的回饋在現場難以落實（林暐庭等人，2025）。同一時期，姿勢估計技術已可在一般裝置端即時輸出 33 個全身關鍵點（Bazarevsky et al., 2020; Lugaresi et al., 2019），並經多項研究驗證可用於健身姿勢矯正與訓練進度規劃（Dedhia et al., 2023; Kwon &amp; Kim, 2022）。本作品即建立在此一「需求擴大、指導稀缺、技術已成熟」的落差之上，並直接對應聯合國永續發展目標第三項「良好健康與福祉」（United Nations Department of Economic and Social Affairs, n.d.）。就國內情形而言，依教育部體育署 113 年運動現況調查，我國規律運動人口比例為 35.3%（定義為每週三次以上、每次三十分鐘以上且運動時會喘會流汗）；未運動者的主要原因依序為「因工作沒有時間」（24.0%）、「懶得運動」（22.2%）與「工作太累」（21.1%），三者合計約六成七。其中「沒有時間」與「工作太累」合計 45.1%，均與必須外出、必須到場、必須另行安排時段高度相關；而在家運動已占最常運動地點的 18.3%。居家運動工具的品質，因此直接影響這近兩成人口的訓練成效（教育部體育署，2024）。</w:t>
      </w:r>
    </w:p>
    <w:p w14:paraId="5D228A8B" w14:textId="77777777" w:rsidR="00D44DCB" w:rsidRDefault="00000000">
      <w:pPr>
        <w:pStyle w:val="2"/>
        <w:spacing w:before="240" w:after="160" w:line="360" w:lineRule="auto"/>
      </w:pPr>
      <w:r>
        <w:rPr>
          <w:rFonts w:ascii="標楷體" w:eastAsia="標楷體" w:hAnsi="標楷體" w:cs="標楷體"/>
          <w:b/>
          <w:bCs/>
        </w:rPr>
        <w:t>（二）痛點</w:t>
      </w:r>
    </w:p>
    <w:p w14:paraId="5D228A8C" w14:textId="77777777" w:rsidR="00D44DCB" w:rsidRDefault="00000000">
      <w:pPr>
        <w:spacing w:after="120" w:line="360" w:lineRule="auto"/>
        <w:ind w:firstLine="480"/>
        <w:jc w:val="both"/>
      </w:pPr>
      <w:r>
        <w:rPr>
          <w:rFonts w:ascii="新細明體" w:eastAsia="新細明體" w:hAnsi="新細明體" w:cs="新細明體"/>
          <w:sz w:val="24"/>
          <w:szCs w:val="24"/>
        </w:rPr>
        <w:t xml:space="preserve">第一，居家運動不缺內容，缺的是當下把關。使用者真正需要的是訓練過程中可立即執行的修正建議，而非事後統計（Jaiswal et al., 2023）。第二，現有應用程式多半只計次、不判品質：排名前列之身體活動類應用程式所納入的行為改變技術數量偏少且集中於少數幾類（Conroy et al., 2014; Direito et al., 2014）。第三，錯誤動作會在無人糾正下累積成傷害——美國 1990 至 2007 年間重量訓練相關急診就診累計達 970,801 件且逐年上升（Kerr et al., 2010），而軀幹前傾、膝內夾與深度不足等技術缺陷已被明確列為需辨識與矯正的項目（Myer et al., 2014）。第四，動機難以維持：無監督情境下健身中心會員流失率極高且集中於參與初期（Sperandei et al., 2016），而行為自動化所需時間中位數約為 66 天（Lally et al., 2010）；使用者最容易放棄的階段，正好落在習慣</w:t>
        <w:lastRenderedPageBreak/>
        <w:t>尚未成形的階段。</w:t>
      </w:r>
    </w:p>
    <w:p w14:paraId="5D228A8D" w14:textId="77777777" w:rsidR="00D44DCB" w:rsidRDefault="00000000">
      <w:pPr>
        <w:pStyle w:val="2"/>
        <w:spacing w:before="240" w:after="160" w:line="360" w:lineRule="auto"/>
      </w:pPr>
      <w:r>
        <w:rPr>
          <w:rFonts w:ascii="標楷體" w:eastAsia="標楷體" w:hAnsi="標楷體" w:cs="標楷體"/>
          <w:b/>
          <w:bCs/>
        </w:rPr>
        <w:t>（三）解決的問題方式</w:t>
      </w:r>
    </w:p>
    <w:p w14:paraId="5D228A8E" w14:textId="77777777" w:rsidR="00D44DCB" w:rsidRDefault="00000000">
      <w:pPr>
        <w:spacing w:after="120" w:line="360" w:lineRule="auto"/>
        <w:ind w:firstLine="480"/>
        <w:jc w:val="both"/>
      </w:pPr>
      <w:r>
        <w:rPr>
          <w:rFonts w:ascii="新細明體" w:eastAsia="新細明體" w:hAnsi="新細明體" w:cs="新細明體"/>
          <w:sz w:val="24"/>
          <w:szCs w:val="24"/>
        </w:rPr>
        <w:t>本作品的核心主張是「不是計次，而是品質確認」：一次有效次數須同時滿足完整動作週期、標準深度與無顯著代償，且唯有有效次數能換取遊戲資源。對使用者而言，這個差別在訓練當下就看得到。深蹲蹲到一半起身，畫面上的腿部立刻轉為黃色，語音同步提示「再往下蹲，讓髖部低於膝蓋」；若改以彎腰代替下蹲，軀幹轉紅並提示「背部打直，用臀部往後坐」。結算時，這些動作不會計入有效次數，也換不到任何金幣。相較於僅能輸出通過與否的黑盒分類，可解釋的規則式判定能明確指出具體修正方向，直接回應使用者對可執行建議的需求（Jaiswal et al., 2023）。回饋設計以分段三色骨架與三級語音，落實行為改變技術中實證支持最強的「自我監控」與「行為回饋」——涵蓋 122 項評估的 meta 迴歸顯示，自我監控可解釋研究間最大比例的效果異質性，且與其他源自控制理論的技術併用時效果顯著較高（0.42 對 0.26）（Michie et al., 2009）。全部推論於使用者的瀏覽器內完成，原始影像不上傳、不儲存、不進入任何資料庫（Bazarevsky et al., 2020）；使用者無須以影像換取服務，亦不需安裝任何應用程式。判定門檻的來源分級、驗證方式與各項技術規格，詳見第三章與第四章。</w:t>
      </w:r>
    </w:p>
    <w:p w14:paraId="5D228A8F" w14:textId="77777777" w:rsidR="00D44DCB" w:rsidRDefault="00000000">
      <w:pPr>
        <w:pStyle w:val="2"/>
        <w:spacing w:before="240" w:after="160" w:line="360" w:lineRule="auto"/>
      </w:pPr>
      <w:r>
        <w:rPr>
          <w:rFonts w:ascii="標楷體" w:eastAsia="標楷體" w:hAnsi="標楷體" w:cs="標楷體"/>
          <w:b/>
          <w:bCs/>
        </w:rPr>
        <w:t>（四）特色點</w:t>
      </w:r>
    </w:p>
    <w:p w14:paraId="5D228A90" w14:textId="77777777" w:rsidR="00D44DCB" w:rsidRDefault="00000000">
      <w:pPr>
        <w:spacing w:after="120" w:line="360" w:lineRule="auto"/>
        <w:ind w:firstLine="480"/>
        <w:jc w:val="both"/>
      </w:pPr>
      <w:r>
        <w:rPr>
          <w:rFonts w:ascii="新細明體" w:eastAsia="新細明體" w:hAnsi="新細明體" w:cs="新細明體"/>
          <w:sz w:val="24"/>
          <w:szCs w:val="24"/>
        </w:rPr>
        <w:t>第一，獎勵綁定品質而非數量：基礎獎勵由有效次數產生、加成依姿勢達標率給予，錯誤次數不換取任何獎勵，使遊戲誘因與「把動作做對」完全同向，呼應目標設定理論中具體目標優於「盡力而為」的結論（Locke &amp; Latham, 2002）。第二，島嶼建設把抽象數據轉為可見的成長軌跡：使用者是自己島嶼的建築師，訓練成果轉換為可累積、可自由規劃的建設進度，藉此滿足自我決定理論所指的勝任感與自主性（Ryan &amp; Deci, 2000），此類進度視覺化與成就機制對健康行為參與的正面效果亦有系統性回顧支持（Johnson et al., 2016）。第三，金幣採兩層經濟——先於商店選購建材，再進行建造與升級——使「蓋起一棟房子」成為需要規劃與累積的具體目標，而非一次點擊即完成的消費（Locke &amp; Latham, 2002）。第四，連續訓練天數獎勵密集配置於前期，正對準習慣尚未成形而流失率最高的關鍵期（Lally et al., 2010; Sperandei et al., 2016）。第五，設每日任務、週目標與獎勵上限，避免使用者為刷金幣而過度運動，使訓練量維持在世界衛生組織建議的區間內（World Health Organization, 2020）；因為遊戲化的成效取決於機制是否與健康目標對齊，而非加上點數即必然有效（Hamari et al., 2014; Sardi et al., 2017）。第六，金幣的增加僅能透過訓練結算此一函式入口，系統對外提供之介面不含任何加值方法，使獎勵無法以偽造動作換取。獎勵一旦與運動資料綁定，使用者便存在造假誘因：實驗顯示受試者可刻意誘導手機活動辨識器將靜坐判定為行走，僅以正常活動資料訓練的分類器對此類造假僅約 38% 的辨識率，需納入造假樣本重新訓練後方提升至約 84%（Saeb et al., 2015）；在以點數或獎勵驅動的遠距健康監測系統中，防止使用者以搖晃裝置或請他人代持等方式虛增獎勵，已被視為必須處理的設計課題（Alshurafa et al., 2014）。</w:t>
      </w:r>
    </w:p>
    <w:p w14:paraId="5D228A91" w14:textId="77777777" w:rsidR="00D44DCB" w:rsidRDefault="00D44DCB"/>
    <w:p w14:paraId="5D228AB6" w14:textId="77777777" w:rsidR="00D44DCB" w:rsidRDefault="00000000">
      <w:pPr>
        <w:pStyle w:val="1"/>
        <w:spacing w:before="360" w:after="200" w:line="360" w:lineRule="auto"/>
      </w:pPr>
      <w:r>
        <w:rPr>
          <w:rFonts w:ascii="標楷體" w:eastAsia="標楷體" w:hAnsi="標楷體" w:cs="標楷體"/>
          <w:b/>
          <w:bCs/>
          <w:i w:val="0"/>
          <w:sz w:val="28"/>
          <w:szCs w:val="32"/>
        </w:rPr>
        <w:t>本章引用文獻（APA 第 7 版，請併入第十章「參考文獻」，不計入本章頁數）</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教育部體育署（2024）。《中華民國 113 年運動現況調查結案報告書》。世新大學執行。</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林暐庭、楊捷閔、徐誠佑、鄭磬蔚、姜建均、林威成（2025）。AI 影像辨識技術應用於健身課程。學校體育，207，49–63。</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Alshurafa, N., Eastwood, J.-A., Pourhomayoun, M., Nyamathi, S., Bao, L., Mortazavi, B., &amp; Sarrafzadeh, M. (2014). Anti-cheating: Detecting self-inflicted and impersonator cheaters for remote health monitoring systems with wearable sensors. In </w:t>
      </w:r>
      <w:r>
        <w:rPr>
          <w:rFonts w:ascii="新細明體" w:eastAsia="新細明體" w:hAnsi="新細明體" w:cs="新細明體"/>
          <w:i/>
        </w:rPr>
        <w:t>2014 11th International Conference on Wearable and Implantable Body Sensor Networks</w:t>
      </w:r>
      <w:r>
        <w:rPr>
          <w:rFonts w:ascii="新細明體" w:eastAsia="新細明體" w:hAnsi="新細明體" w:cs="新細明體"/>
          <w:i w:val="0"/>
        </w:rPr>
        <w:t xml:space="preserve"> (pp. 92–97). IEEE. https://doi.org/10.1109/BSN.2014.38</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Bazarevsky, V., Grishchenko, I., Raveendran, K., Zhu, T., Zhang, F., &amp; Grundmann, M. (2020). </w:t>
      </w:r>
      <w:r>
        <w:rPr>
          <w:rFonts w:ascii="新細明體" w:eastAsia="新細明體" w:hAnsi="新細明體" w:cs="新細明體"/>
          <w:i/>
        </w:rPr>
        <w:t>BlazePose: On-device real-time body pose tracking</w:t>
      </w:r>
      <w:r>
        <w:rPr>
          <w:rFonts w:ascii="新細明體" w:eastAsia="新細明體" w:hAnsi="新細明體" w:cs="新細明體"/>
          <w:i w:val="0"/>
        </w:rPr>
        <w:t xml:space="preserve"> (arXiv:2006.10204). arXiv. https://doi.org/10.48550/arXiv.2006.10204</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Conroy, D. E., Yang, C.-H., &amp; Maher, J. P. (2014). Behavior change techniques in top-ranked mobile apps for physical activity. </w:t>
      </w:r>
      <w:r>
        <w:rPr>
          <w:rFonts w:ascii="新細明體" w:eastAsia="新細明體" w:hAnsi="新細明體" w:cs="新細明體"/>
          <w:i/>
        </w:rPr>
        <w:t>American Journal of Preventive Medicine, 46</w:t>
      </w:r>
      <w:r>
        <w:rPr>
          <w:rFonts w:ascii="新細明體" w:eastAsia="新細明體" w:hAnsi="新細明體" w:cs="新細明體"/>
          <w:i w:val="0"/>
        </w:rPr>
        <w:t>(6), 649–652. https://doi.org/10.1016/j.amepre.2014.01.010</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Dedhia, U., Bhoir, P., Ranka, P., &amp; Kanani, P. (2023). Pose estimation and virtual gym assistant using MediaPipe and machine learning. In </w:t>
      </w:r>
      <w:r>
        <w:rPr>
          <w:rFonts w:ascii="新細明體" w:eastAsia="新細明體" w:hAnsi="新細明體" w:cs="新細明體"/>
          <w:i/>
        </w:rPr>
        <w:t>2023 International Conference on Network, Multimedia and Information Technology (NMITCON)</w:t>
      </w:r>
      <w:r>
        <w:rPr>
          <w:rFonts w:ascii="新細明體" w:eastAsia="新細明體" w:hAnsi="新細明體" w:cs="新細明體"/>
          <w:i w:val="0"/>
        </w:rPr>
        <w:t xml:space="preserve"> (pp. 1–7). IEEE. https://doi.org/10.1109/NMITCON58196.2023.10275938</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Direito, A., Pfaeffli Dale, L., Shields, E., Dobson, R., Whittaker, R., &amp; Maddison, R. (2014). Do physical activity and dietary smartphone applications incorporate evidence-based behaviour change techniques? </w:t>
      </w:r>
      <w:r>
        <w:rPr>
          <w:rFonts w:ascii="新細明體" w:eastAsia="新細明體" w:hAnsi="新細明體" w:cs="新細明體"/>
          <w:i/>
        </w:rPr>
        <w:t>BMC Public Health, 14</w:t>
      </w:r>
      <w:r>
        <w:rPr>
          <w:rFonts w:ascii="新細明體" w:eastAsia="新細明體" w:hAnsi="新細明體" w:cs="新細明體"/>
          <w:i w:val="0"/>
        </w:rPr>
        <w:t>, Article 646. https://doi.org/10.1186/1471-2458-14-646</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Hamari, J., Koivisto, J., &amp; Sarsa, H. (2014). Does gamification work? — A literature review of empirical studies on gamification. In </w:t>
      </w:r>
      <w:r>
        <w:rPr>
          <w:rFonts w:ascii="新細明體" w:eastAsia="新細明體" w:hAnsi="新細明體" w:cs="新細明體"/>
          <w:i/>
        </w:rPr>
        <w:t>2014 47th Hawaii International Conference on System Sciences</w:t>
      </w:r>
      <w:r>
        <w:rPr>
          <w:rFonts w:ascii="新細明體" w:eastAsia="新細明體" w:hAnsi="新細明體" w:cs="新細明體"/>
          <w:i w:val="0"/>
        </w:rPr>
        <w:t xml:space="preserve"> (pp. 3025–3034). IEEE. https://doi.org/10.1109/HICSS.2014.377</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Jaiswal, A., Chauhan, G., &amp; Srivastava, N. (2023). Using learnable physics for real-time exercise form recommendations. In </w:t>
      </w:r>
      <w:r>
        <w:rPr>
          <w:rFonts w:ascii="新細明體" w:eastAsia="新細明體" w:hAnsi="新細明體" w:cs="新細明體"/>
          <w:i/>
        </w:rPr>
        <w:t>Proceedings of the 17th ACM Conference on Recommender Systems</w:t>
      </w:r>
      <w:r>
        <w:rPr>
          <w:rFonts w:ascii="新細明體" w:eastAsia="新細明體" w:hAnsi="新細明體" w:cs="新細明體"/>
          <w:i w:val="0"/>
        </w:rPr>
        <w:t xml:space="preserve"> (pp. 688–695). Association for Computing Machinery. https://doi.org/10.1145/3604915.3608816</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Johnson, D., Deterding, S., Kuhn, K.-A., Staneva, A., Stoyanov, S., &amp; Hides, L. (2016). Gamification for health and wellbeing: A systematic review of the literature. </w:t>
      </w:r>
      <w:r>
        <w:rPr>
          <w:rFonts w:ascii="新細明體" w:eastAsia="新細明體" w:hAnsi="新細明體" w:cs="新細明體"/>
          <w:i/>
        </w:rPr>
        <w:t>Internet Interventions, 6</w:t>
      </w:r>
      <w:r>
        <w:rPr>
          <w:rFonts w:ascii="新細明體" w:eastAsia="新細明體" w:hAnsi="新細明體" w:cs="新細明體"/>
          <w:i w:val="0"/>
        </w:rPr>
        <w:t>, 89–106. https://doi.org/10.1016/j.invent.2016.10.002</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Kercher, V. M., Kercher, K., Levy, P., Bennion, T., Alexander, C., Amaral, P. C., Batrakoulis, A., Chávez, L. F. J. G., Cortés-Almanzar, P., Haro, J. L., Zavalza, A. R. P., Rodríguez, L. E. A., Franco, S., Santos-Rocha, R., Ramalho, F., Simões, V., Vieira, I., Ramos, L., Veiga, O. L., ... Romero-Caballero, A. (2023). 2023 fitness trends from around the globe. </w:t>
      </w:r>
      <w:r>
        <w:rPr>
          <w:rFonts w:ascii="新細明體" w:eastAsia="新細明體" w:hAnsi="新細明體" w:cs="新細明體"/>
          <w:i/>
        </w:rPr>
        <w:t>ACSM's Health &amp; Fitness Journal, 27</w:t>
      </w:r>
      <w:r>
        <w:rPr>
          <w:rFonts w:ascii="新細明體" w:eastAsia="新細明體" w:hAnsi="新細明體" w:cs="新細明體"/>
          <w:i w:val="0"/>
        </w:rPr>
        <w:t>(1), 19–30. https://doi.org/10.1249/FIT.0000000000000836</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Kerr, Z. Y., Collins, C. L., &amp; Comstock, R. D. (2010). Epidemiology of weight training-related injuries presenting to United States emergency departments, 1990 to 2007. </w:t>
      </w:r>
      <w:r>
        <w:rPr>
          <w:rFonts w:ascii="新細明體" w:eastAsia="新細明體" w:hAnsi="新細明體" w:cs="新細明體"/>
          <w:i/>
        </w:rPr>
        <w:t>The American Journal of Sports Medicine, 38</w:t>
      </w:r>
      <w:r>
        <w:rPr>
          <w:rFonts w:ascii="新細明體" w:eastAsia="新細明體" w:hAnsi="新細明體" w:cs="新細明體"/>
          <w:i w:val="0"/>
        </w:rPr>
        <w:t>(4), 765–771. https://doi.org/10.1177/0363546509351560</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Kwon, Y., &amp; Kim, D. (2022). Real-time workout posture correction using OpenCV and MediaPipe. </w:t>
      </w:r>
      <w:r>
        <w:rPr>
          <w:rFonts w:ascii="新細明體" w:eastAsia="新細明體" w:hAnsi="新細明體" w:cs="新細明體"/>
          <w:i/>
        </w:rPr>
        <w:t>The Journal of Korean Institute of Information Technology, 20</w:t>
      </w:r>
      <w:r>
        <w:rPr>
          <w:rFonts w:ascii="新細明體" w:eastAsia="新細明體" w:hAnsi="新細明體" w:cs="新細明體"/>
          <w:i w:val="0"/>
        </w:rPr>
        <w:t>(1), 199–208. https://doi.org/10.14801/jkiit.2022.20.1.199</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Lally, P., van Jaarsveld, C. H. M., Potts, H. W. W., &amp; Wardle, J. (2010). How are habits formed: Modelling habit formation in the real world. </w:t>
      </w:r>
      <w:r>
        <w:rPr>
          <w:rFonts w:ascii="新細明體" w:eastAsia="新細明體" w:hAnsi="新細明體" w:cs="新細明體"/>
          <w:i/>
        </w:rPr>
        <w:t>European Journal of Social Psychology, 40</w:t>
      </w:r>
      <w:r>
        <w:rPr>
          <w:rFonts w:ascii="新細明體" w:eastAsia="新細明體" w:hAnsi="新細明體" w:cs="新細明體"/>
          <w:i w:val="0"/>
        </w:rPr>
        <w:t>(6), 998–1009. https://doi.org/10.1002/ejsp.674</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Locke, E. A., &amp; Latham, G. P. (2002). Building a practically useful theory of goal setting and task motivation: A 35-year odyssey. </w:t>
      </w:r>
      <w:r>
        <w:rPr>
          <w:rFonts w:ascii="新細明體" w:eastAsia="新細明體" w:hAnsi="新細明體" w:cs="新細明體"/>
          <w:i/>
        </w:rPr>
        <w:t>American Psychologist, 57</w:t>
      </w:r>
      <w:r>
        <w:rPr>
          <w:rFonts w:ascii="新細明體" w:eastAsia="新細明體" w:hAnsi="新細明體" w:cs="新細明體"/>
          <w:i w:val="0"/>
        </w:rPr>
        <w:t>(9), 705–717. https://doi.org/10.1037/0003-066X.57.9.705</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Lugaresi, C., Tang, J., Nash, H., McClanahan, C., Uboweja, E., Hays, M., Zhang, F., Chang, C.-L., Yong, M. G., Lee, J., Chang, W.-T., Hua, W., Georg, M., &amp; Grundmann, M. (2019). </w:t>
      </w:r>
      <w:r>
        <w:rPr>
          <w:rFonts w:ascii="新細明體" w:eastAsia="新細明體" w:hAnsi="新細明體" w:cs="新細明體"/>
          <w:i/>
        </w:rPr>
        <w:t>MediaPipe: A framework for building perception pipelines</w:t>
      </w:r>
      <w:r>
        <w:rPr>
          <w:rFonts w:ascii="新細明體" w:eastAsia="新細明體" w:hAnsi="新細明體" w:cs="新細明體"/>
          <w:i w:val="0"/>
        </w:rPr>
        <w:t xml:space="preserve"> (arXiv:1906.08172). arXiv. https://doi.org/10.48550/arXiv.1906.08172</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Michie, S., Abraham, C., Whittington, C., McAteer, J., &amp; Gupta, S. (2009). Effective techniques in healthy eating and physical activity interventions: A meta-regression. </w:t>
      </w:r>
      <w:r>
        <w:rPr>
          <w:rFonts w:ascii="新細明體" w:eastAsia="新細明體" w:hAnsi="新細明體" w:cs="新細明體"/>
          <w:i/>
        </w:rPr>
        <w:t>Health Psychology, 28</w:t>
      </w:r>
      <w:r>
        <w:rPr>
          <w:rFonts w:ascii="新細明體" w:eastAsia="新細明體" w:hAnsi="新細明體" w:cs="新細明體"/>
          <w:i w:val="0"/>
        </w:rPr>
        <w:t>(6), 690–701. https://doi.org/10.1037/a0016136</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Myer, G. D., Kushner, A. M., Brent, J. L., Schoenfeld, B. J., Hugentobler, J., Lloyd, R. S., Vermeil, A., Chu, D. A., Harbin, J., &amp; McGill, S. M. (2014). The back squat: A proposed assessment of functional deficits and technical factors that limit performance. </w:t>
      </w:r>
      <w:r>
        <w:rPr>
          <w:rFonts w:ascii="新細明體" w:eastAsia="新細明體" w:hAnsi="新細明體" w:cs="新細明體"/>
          <w:i/>
        </w:rPr>
        <w:t>Strength and Conditioning Journal, 36</w:t>
      </w:r>
      <w:r>
        <w:rPr>
          <w:rFonts w:ascii="新細明體" w:eastAsia="新細明體" w:hAnsi="新細明體" w:cs="新細明體"/>
          <w:i w:val="0"/>
        </w:rPr>
        <w:t>(6), 4–27. https://doi.org/10.1519/SSC.0000000000000103</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Ryan, R. M., &amp; Deci, E. L. (2000). Self-determination theory and the facilitation of intrinsic motivation, social development, and well-being. </w:t>
      </w:r>
      <w:r>
        <w:rPr>
          <w:rFonts w:ascii="新細明體" w:eastAsia="新細明體" w:hAnsi="新細明體" w:cs="新細明體"/>
          <w:i/>
        </w:rPr>
        <w:t>American Psychologist, 55</w:t>
      </w:r>
      <w:r>
        <w:rPr>
          <w:rFonts w:ascii="新細明體" w:eastAsia="新細明體" w:hAnsi="新細明體" w:cs="新細明體"/>
          <w:i w:val="0"/>
        </w:rPr>
        <w:t>(1), 68–78. https://doi.org/10.1037/0003-066X.55.1.68</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Saeb, S., Körding, K., &amp; Mohr, D. C. (2015). Making activity recognition robust against deceptive behavior. </w:t>
      </w:r>
      <w:r>
        <w:rPr>
          <w:rFonts w:ascii="新細明體" w:eastAsia="新細明體" w:hAnsi="新細明體" w:cs="新細明體"/>
          <w:i/>
        </w:rPr>
        <w:t>PLOS ONE, 10</w:t>
      </w:r>
      <w:r>
        <w:rPr>
          <w:rFonts w:ascii="新細明體" w:eastAsia="新細明體" w:hAnsi="新細明體" w:cs="新細明體"/>
          <w:i w:val="0"/>
        </w:rPr>
        <w:t>(12), Article e0144795. https://doi.org/10.1371/journal.pone.0144795</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Sardi, L., Idri, A., &amp; Fernández-Alemán, J. L. (2017). A systematic review of gamification in e-Health. </w:t>
      </w:r>
      <w:r>
        <w:rPr>
          <w:rFonts w:ascii="新細明體" w:eastAsia="新細明體" w:hAnsi="新細明體" w:cs="新細明體"/>
          <w:i/>
        </w:rPr>
        <w:t>Journal of Biomedical Informatics, 71</w:t>
      </w:r>
      <w:r>
        <w:rPr>
          <w:rFonts w:ascii="新細明體" w:eastAsia="新細明體" w:hAnsi="新細明體" w:cs="新細明體"/>
          <w:i w:val="0"/>
        </w:rPr>
        <w:t>, 31–48. https://doi.org/10.1016/j.jbi.2017.05.011</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Sperandei, S., Vieira, M. C., &amp; Reis, A. C. (2016). Adherence to physical activity in an unsupervised setting: Explanatory variables for high attrition rates among fitness center members. </w:t>
      </w:r>
      <w:r>
        <w:rPr>
          <w:rFonts w:ascii="新細明體" w:eastAsia="新細明體" w:hAnsi="新細明體" w:cs="新細明體"/>
          <w:i/>
        </w:rPr>
        <w:t>Journal of Science and Medicine in Sport, 19</w:t>
      </w:r>
      <w:r>
        <w:rPr>
          <w:rFonts w:ascii="新細明體" w:eastAsia="新細明體" w:hAnsi="新細明體" w:cs="新細明體"/>
          <w:i w:val="0"/>
        </w:rPr>
        <w:t>(11), 916–920. https://doi.org/10.1016/j.jsams.2015.12.522</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Strain, T., Flaxman, S., Guthold, R., Semenova, E., Cowan, M., Riley, L. M., Bull, F. C., &amp; Stevens, G. A. (2024). National, regional, and global trends in insufficient physical activity among adults from 2000 to 2022: A pooled analysis of 507 population-based surveys with 5.7 million participants. </w:t>
      </w:r>
      <w:r>
        <w:rPr>
          <w:rFonts w:ascii="新細明體" w:eastAsia="新細明體" w:hAnsi="新細明體" w:cs="新細明體"/>
          <w:i/>
        </w:rPr>
        <w:t>The Lancet Global Health, 12</w:t>
      </w:r>
      <w:r>
        <w:rPr>
          <w:rFonts w:ascii="新細明體" w:eastAsia="新細明體" w:hAnsi="新細明體" w:cs="新細明體"/>
          <w:i w:val="0"/>
        </w:rPr>
        <w:t>(8), e1232–e1243. https://doi.org/10.1016/S2214-109X(24)00150-5</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United Nations Department of Economic and Social Affairs. (n.d.). </w:t>
      </w:r>
      <w:r>
        <w:rPr>
          <w:rFonts w:ascii="新細明體" w:eastAsia="新細明體" w:hAnsi="新細明體" w:cs="新細明體"/>
          <w:i/>
        </w:rPr>
        <w:t>Goal 3: Ensure healthy lives and promote well-being for all at all ages</w:t>
      </w:r>
      <w:r>
        <w:rPr>
          <w:rFonts w:ascii="新細明體" w:eastAsia="新細明體" w:hAnsi="新細明體" w:cs="新細明體"/>
          <w:i w:val="0"/>
        </w:rPr>
        <w:t>. Retrieved August 19, 2026, from https://sdgs.un.org/goals/goal3</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World Health Organization. (2020). </w:t>
      </w:r>
      <w:r>
        <w:rPr>
          <w:rFonts w:ascii="新細明體" w:eastAsia="新細明體" w:hAnsi="新細明體" w:cs="新細明體"/>
          <w:i/>
        </w:rPr>
        <w:t>WHO guidelines on physical activity and sedentary behaviour</w:t>
      </w:r>
      <w:r>
        <w:rPr>
          <w:rFonts w:ascii="新細明體" w:eastAsia="新細明體" w:hAnsi="新細明體" w:cs="新細明體"/>
          <w:i w:val="0"/>
        </w:rPr>
        <w:t>. https://www.who.int/publications/i/item/9789240015128</w:t>
      </w:r>
    </w:p>
    <w:p w14:paraId="5D228A88" w14:textId="77777777" w:rsidR="00D44DCB" w:rsidRDefault="00000000">
      <w:pPr>
        <w:spacing w:after="200" w:line="360" w:lineRule="auto"/>
        <w:jc w:val="center"/>
      </w:pPr>
      <w:r>
        <w:rPr>
          <w:rFonts w:ascii="標楷體" w:eastAsia="標楷體" w:hAnsi="標楷體" w:cs="標楷體"/>
          <w:b/>
          <w:bCs/>
          <w:sz w:val="32"/>
          <w:szCs w:val="32"/>
        </w:rPr>
        <w:t>三、執行計劃（How）</w:t>
      </w:r>
    </w:p>
    <w:p w14:paraId="5D228AB6" w14:textId="77777777" w:rsidR="00D44DCB" w:rsidRDefault="00000000">
      <w:pPr>
        <w:pStyle w:val="1"/>
        <w:spacing w:before="360" w:after="200" w:line="360" w:lineRule="auto"/>
      </w:pPr>
      <w:r>
        <w:rPr>
          <w:rFonts w:ascii="標楷體" w:eastAsia="標楷體" w:hAnsi="標楷體" w:cs="標楷體"/>
          <w:b/>
          <w:bCs/>
          <w:sz w:val="28"/>
          <w:szCs w:val="32"/>
        </w:rPr>
        <w:t>（一）技術架構</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本作品採「裝置端 AI 感知 ＋ 可解釋規則判定」之混合架構，全流程於瀏覽器內執行，不需伺服器亦不上傳任何影像。</w:t>
      </w:r>
    </w:p>
    <w:p w14:paraId="5D228ABB" w14:textId="77777777" w:rsidR="00D44DCB" w:rsidRDefault="00000000">
      <w:pPr>
        <w:pStyle w:val="2"/>
        <w:spacing w:before="240" w:after="160" w:line="360" w:lineRule="auto"/>
      </w:pPr>
      <w:r>
        <w:rPr>
          <w:rFonts w:ascii="標楷體" w:eastAsia="標楷體" w:hAnsi="標楷體" w:cs="標楷體"/>
          <w:b/>
          <w:bCs/>
        </w:rPr>
        <w:t>1. 兩層結構</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感知層以 MediaPipe Pose Landmarker 取得單人 33 個人體關鍵點座標，該模型可於行動裝置即時執行且不需連網（Bazarevsky et al., 2020；Lugaresi et al., 2019）。判定層則由本團隊自行建構：將關鍵點向量化後計算關節夾角與相對高度，再以幾何條件判斷動作是否完成完整週期、是否達到標準深度、是否出現代償姿勢。</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此架構的設計取捨在於輸出內容。端到端深度學習模型僅能輸出品質分數，無法指出錯誤所在；規則式判定則可直接對應到具體關節與幾何條件，使系統得以回覆「軀幹前傾過度」或「動作未達標準深度」等可執行的修正指引。使用者於訓練當下需要的是可立即執行的修正建議，而非事後統計（Jaiswal et al., 2023）。</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界線說明｜感知層使用 Google 釋出之預訓練權重，本團隊未進行訓練或微調，其準確率繼承自原模型，本團隊未獨立驗證其在低角度居家鏡頭條件下的表現。判定層不含機器學習成分，故不存在訓練資料集。</w:t>
      </w:r>
    </w:p>
    <w:p w14:paraId="5D228ABB" w14:textId="77777777" w:rsidR="00D44DCB" w:rsidRDefault="00000000">
      <w:pPr>
        <w:pStyle w:val="2"/>
        <w:spacing w:before="240" w:after="160" w:line="360" w:lineRule="auto"/>
      </w:pPr>
      <w:r>
        <w:rPr>
          <w:rFonts w:ascii="標楷體" w:eastAsia="標楷體" w:hAnsi="標楷體" w:cs="標楷體"/>
          <w:b/>
          <w:bCs/>
        </w:rPr>
        <w:t>2. 資料流</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鏡頭影像（僅存於裝置記憶體）　→ MediaPipe Pose：33 個關鍵點（x, y, visibility）　→ One-Euro 濾波：抑制關鍵點抖動　→ 體型正規化：轉為與身高、鏡頭距離無關的相對量　→ 取景把關：關鍵部位未入鏡則凍結判定　→ 動作狀態機：READY → CONCENTRIC → TARGET → ECCENTRIC → 結算　→ 防作弊層：判定該次有效或無效，並輸出錯誤原因　→ 即時回饋 ＆ 訓練結算</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訊號平滑採 One-Euro Filter，該演算法在低延遲前提下抑制輸入抖動，適用於即時互動系統（Casiez et al., 2012）。體型正規化以肩寬、髖寬、軀幹長與腿長為基準，使判定門檻不因使用者身高或鏡頭遠近而改變。</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界線說明｜判定僅使用二維投影座標，不使用深度資訊。單鏡頭之深度估計在居家環境下不可靠，故各動作訂有建議機位，偏離機位將影響判定精度。</w:t>
      </w:r>
    </w:p>
    <w:p w14:paraId="5D228AB6" w14:textId="77777777" w:rsidR="00D44DCB" w:rsidRDefault="00000000">
      <w:pPr>
        <w:pStyle w:val="1"/>
        <w:spacing w:before="360" w:after="200" w:line="360" w:lineRule="auto"/>
      </w:pPr>
      <w:r>
        <w:rPr>
          <w:rFonts w:ascii="標楷體" w:eastAsia="標楷體" w:hAnsi="標楷體" w:cs="標楷體"/>
          <w:b/>
          <w:bCs/>
          <w:sz w:val="28"/>
          <w:szCs w:val="32"/>
        </w:rPr>
        <w:t>（二）動作判定依據的三級溯源制度</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本作品對判定門檻建立分級規範：每一項門檻均須標明其知識來源等級，工程校準值不得以文獻結論之形式呈現。</w:t>
      </w:r>
    </w:p>
    <w:p w14:paraId="5D228ABF" w14:textId="77777777" w:rsidR="00D44DCB" w:rsidRDefault="00000000">
      <w:pPr>
        <w:spacing w:after="120" w:line="360" w:lineRule="auto"/>
        <w:jc w:val="center"/>
      </w:pPr>
      <w:r>
        <w:rPr>
          <w:rFonts w:ascii="新細明體" w:eastAsia="新細明體" w:hAnsi="新細明體" w:cs="新細明體"/>
          <w:b/>
          <w:bCs/>
          <w:sz w:val="24"/>
          <w:szCs w:val="24"/>
        </w:rPr>
        <w:t>表 3-1　判定門檻之知識來源分級</w:t>
      </w:r>
    </w:p>
    <w:tbl>
      <w:tblPr>
        <w:tblW w:w="96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3200"/>
        <w:gridCol w:w="3200"/>
        <w:gridCol w:w="3200"/>
      </w:tblGrid>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等級</w:t>
            </w:r>
          </w:p>
        </w:tc>
        <w:tc>
          <w:tcPr>
            <w:tcW w:w="1600" w:type="dxa"/>
            <w:shd w:val="clear" w:color="auto" w:fill="D9E2F3"/>
            <w:tcMar>
              <w:top w:w="40" w:type="dxa"/>
              <w:left w:w="80" w:type="dxa"/>
              <w:bottom w:w="40" w:type="dxa"/>
              <w:right w:w="80" w:type="dxa"/>
            </w:tcMar>
          </w:tcPr>
          <w:p>
            <w:r>
              <w:t>定義</w:t>
            </w:r>
          </w:p>
        </w:tc>
        <w:tc>
          <w:tcPr>
            <w:tcW w:w="3600" w:type="dxa"/>
            <w:shd w:val="clear" w:color="auto" w:fill="D9E2F3"/>
            <w:tcMar>
              <w:top w:w="40" w:type="dxa"/>
              <w:left w:w="80" w:type="dxa"/>
              <w:bottom w:w="40" w:type="dxa"/>
              <w:right w:w="80" w:type="dxa"/>
            </w:tcMar>
          </w:tcPr>
          <w:p>
            <w:r>
              <w:t>撰寫規範</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I 類</w:t>
            </w:r>
          </w:p>
        </w:tc>
        <w:tc>
          <w:tcPr>
            <w:tcW w:w="1600" w:type="dxa"/>
            <w:shd w:val="clear" w:color="auto" w:fill="D9E2F3"/>
            <w:tcMar>
              <w:top w:w="40" w:type="dxa"/>
              <w:left w:w="80" w:type="dxa"/>
              <w:bottom w:w="40" w:type="dxa"/>
              <w:right w:w="80" w:type="dxa"/>
            </w:tcMar>
          </w:tcPr>
          <w:p>
            <w:r>
              <w:t>對應該運動領域公認標準</w:t>
            </w:r>
          </w:p>
        </w:tc>
        <w:tc>
          <w:tcPr>
            <w:tcW w:w="3600" w:type="dxa"/>
            <w:shd w:val="clear" w:color="auto" w:fill="D9E2F3"/>
            <w:tcMar>
              <w:top w:w="40" w:type="dxa"/>
              <w:left w:w="80" w:type="dxa"/>
              <w:bottom w:w="40" w:type="dxa"/>
              <w:right w:w="80" w:type="dxa"/>
            </w:tcMar>
          </w:tcPr>
          <w:p>
            <w:r>
              <w:t>引用標準，並記錄本系統取值與標準之對應關係</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II 類</w:t>
            </w:r>
          </w:p>
        </w:tc>
        <w:tc>
          <w:tcPr>
            <w:tcW w:w="1600" w:type="dxa"/>
            <w:shd w:val="clear" w:color="auto" w:fill="D9E2F3"/>
            <w:tcMar>
              <w:top w:w="40" w:type="dxa"/>
              <w:left w:w="80" w:type="dxa"/>
              <w:bottom w:w="40" w:type="dxa"/>
              <w:right w:w="80" w:type="dxa"/>
            </w:tcMar>
          </w:tcPr>
          <w:p>
            <w:r>
              <w:t>領域教練慣例，無正式成文標準</w:t>
            </w:r>
          </w:p>
        </w:tc>
        <w:tc>
          <w:tcPr>
            <w:tcW w:w="3600" w:type="dxa"/>
            <w:shd w:val="clear" w:color="auto" w:fill="D9E2F3"/>
            <w:tcMar>
              <w:top w:w="40" w:type="dxa"/>
              <w:left w:w="80" w:type="dxa"/>
              <w:bottom w:w="40" w:type="dxa"/>
              <w:right w:w="80" w:type="dxa"/>
            </w:tcMar>
          </w:tcPr>
          <w:p>
            <w:r>
              <w:t>標明為慣例，不引用論文</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III 類</w:t>
            </w:r>
          </w:p>
        </w:tc>
        <w:tc>
          <w:tcPr>
            <w:tcW w:w="1600" w:type="dxa"/>
            <w:shd w:val="clear" w:color="auto" w:fill="D9E2F3"/>
            <w:tcMar>
              <w:top w:w="40" w:type="dxa"/>
              <w:left w:w="80" w:type="dxa"/>
              <w:bottom w:w="40" w:type="dxa"/>
              <w:right w:w="80" w:type="dxa"/>
            </w:tcMar>
          </w:tcPr>
          <w:p>
            <w:r>
              <w:t>純工程參數，與運動標準無關</w:t>
            </w:r>
          </w:p>
        </w:tc>
        <w:tc>
          <w:tcPr>
            <w:tcW w:w="3600" w:type="dxa"/>
            <w:shd w:val="clear" w:color="auto" w:fill="D9E2F3"/>
            <w:tcMar>
              <w:top w:w="40" w:type="dxa"/>
              <w:left w:w="80" w:type="dxa"/>
              <w:bottom w:w="40" w:type="dxa"/>
              <w:right w:w="80" w:type="dxa"/>
            </w:tcMar>
          </w:tcPr>
          <w:p>
            <w:r>
              <w:t>標明為實測校準，附邊界值</w:t>
            </w:r>
          </w:p>
        </w:tc>
      </w:tr>
    </w:tbl>
    <w:p w14:paraId="5D228ABB" w14:textId="77777777" w:rsidR="00D44DCB" w:rsidRDefault="00000000">
      <w:pPr>
        <w:pStyle w:val="2"/>
        <w:spacing w:before="240" w:after="160" w:line="360" w:lineRule="auto"/>
      </w:pPr>
      <w:r>
        <w:rPr>
          <w:rFonts w:ascii="標楷體" w:eastAsia="標楷體" w:hAnsi="標楷體" w:cs="標楷體"/>
          <w:b/>
          <w:bCs/>
        </w:rPr>
        <w:t>1. 各動作門檻之知識來源</w:t>
      </w:r>
    </w:p>
    <w:p w14:paraId="5D228ABF" w14:textId="77777777" w:rsidR="00D44DCB" w:rsidRDefault="00000000">
      <w:pPr>
        <w:spacing w:after="120" w:line="360" w:lineRule="auto"/>
        <w:jc w:val="center"/>
      </w:pPr>
      <w:r>
        <w:rPr>
          <w:rFonts w:ascii="新細明體" w:eastAsia="新細明體" w:hAnsi="新細明體" w:cs="新細明體"/>
          <w:b/>
          <w:bCs/>
          <w:sz w:val="24"/>
          <w:szCs w:val="24"/>
        </w:rPr>
        <w:t>表 3-2　各動作判定門檻之知識來源</w:t>
      </w:r>
    </w:p>
    <w:tbl>
      <w:tblPr>
        <w:tblW w:w="96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3200"/>
        <w:gridCol w:w="3200"/>
        <w:gridCol w:w="3200"/>
      </w:tblGrid>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動作</w:t>
            </w:r>
          </w:p>
        </w:tc>
        <w:tc>
          <w:tcPr>
            <w:tcW w:w="1600" w:type="dxa"/>
            <w:shd w:val="clear" w:color="auto" w:fill="D9E2F3"/>
            <w:tcMar>
              <w:top w:w="40" w:type="dxa"/>
              <w:left w:w="80" w:type="dxa"/>
              <w:bottom w:w="40" w:type="dxa"/>
              <w:right w:w="80" w:type="dxa"/>
            </w:tcMar>
          </w:tcPr>
          <w:p>
            <w:r>
              <w:t>領域依據</w:t>
            </w:r>
          </w:p>
        </w:tc>
        <w:tc>
          <w:tcPr>
            <w:tcW w:w="3600" w:type="dxa"/>
            <w:shd w:val="clear" w:color="auto" w:fill="D9E2F3"/>
            <w:tcMar>
              <w:top w:w="40" w:type="dxa"/>
              <w:left w:w="80" w:type="dxa"/>
              <w:bottom w:w="40" w:type="dxa"/>
              <w:right w:w="80" w:type="dxa"/>
            </w:tcMar>
          </w:tcPr>
          <w:p>
            <w:r>
              <w:t>等級</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深蹲深度</w:t>
            </w:r>
          </w:p>
        </w:tc>
        <w:tc>
          <w:tcPr>
            <w:tcW w:w="1600" w:type="dxa"/>
            <w:shd w:val="clear" w:color="auto" w:fill="D9E2F3"/>
            <w:tcMar>
              <w:top w:w="40" w:type="dxa"/>
              <w:left w:w="80" w:type="dxa"/>
              <w:bottom w:w="40" w:type="dxa"/>
              <w:right w:w="80" w:type="dxa"/>
            </w:tcMar>
          </w:tcPr>
          <w:p>
            <w:r>
              <w:t>以平行蹲為目標深度，實際判定門檻略淺於平行（詳下節校準說明）。Escamilla（2001）就動態深蹲之膝關節生物力學指出，對膝關節健康之運動者建議採平行蹲而非深蹲，因更大屈膝角度下半月板與交叉／側副韌帶之受傷風險可能較高；Schoenfeld（2010）亦以 partial／parallel／full 之深度分類比較各深度的力學負荷與肌肉活化</w:t>
            </w:r>
          </w:p>
        </w:tc>
        <w:tc>
          <w:tcPr>
            <w:tcW w:w="3600" w:type="dxa"/>
            <w:shd w:val="clear" w:color="auto" w:fill="D9E2F3"/>
            <w:tcMar>
              <w:top w:w="40" w:type="dxa"/>
              <w:left w:w="80" w:type="dxa"/>
              <w:bottom w:w="40" w:type="dxa"/>
              <w:right w:w="80" w:type="dxa"/>
            </w:tcMar>
          </w:tcPr>
          <w:p>
            <w:r>
              <w:t>I</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伏地挺身深度</w:t>
            </w:r>
          </w:p>
        </w:tc>
        <w:tc>
          <w:tcPr>
            <w:tcW w:w="1600" w:type="dxa"/>
            <w:shd w:val="clear" w:color="auto" w:fill="D9E2F3"/>
            <w:tcMar>
              <w:top w:w="40" w:type="dxa"/>
              <w:left w:w="80" w:type="dxa"/>
              <w:bottom w:w="40" w:type="dxa"/>
              <w:right w:w="80" w:type="dxa"/>
            </w:tcMar>
          </w:tcPr>
          <w:p>
            <w:r>
              <w:t>肘關節屈曲至約 90 度（上臂與地面平行），為體適能檢測之通行判準（FitnessGram® 90° push-up、President's Challenge right angle push-up、ACSM／YMCA 肌耐力檢測）</w:t>
            </w:r>
          </w:p>
        </w:tc>
        <w:tc>
          <w:tcPr>
            <w:tcW w:w="3600" w:type="dxa"/>
            <w:shd w:val="clear" w:color="auto" w:fill="D9E2F3"/>
            <w:tcMar>
              <w:top w:w="40" w:type="dxa"/>
              <w:left w:w="80" w:type="dxa"/>
              <w:bottom w:w="40" w:type="dxa"/>
              <w:right w:w="80" w:type="dxa"/>
            </w:tcMar>
          </w:tcPr>
          <w:p>
            <w:r>
              <w:t>I</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高抬腿膝高</w:t>
            </w:r>
          </w:p>
        </w:tc>
        <w:tc>
          <w:tcPr>
            <w:tcW w:w="1600" w:type="dxa"/>
            <w:shd w:val="clear" w:color="auto" w:fill="D9E2F3"/>
            <w:tcMar>
              <w:top w:w="40" w:type="dxa"/>
              <w:left w:w="80" w:type="dxa"/>
              <w:bottom w:w="40" w:type="dxa"/>
              <w:right w:w="80" w:type="dxa"/>
            </w:tcMar>
          </w:tcPr>
          <w:p>
            <w:r>
              <w:t>膝抬至髖高</w:t>
            </w:r>
          </w:p>
        </w:tc>
        <w:tc>
          <w:tcPr>
            <w:tcW w:w="3600" w:type="dxa"/>
            <w:shd w:val="clear" w:color="auto" w:fill="D9E2F3"/>
            <w:tcMar>
              <w:top w:w="40" w:type="dxa"/>
              <w:left w:w="80" w:type="dxa"/>
              <w:bottom w:w="40" w:type="dxa"/>
              <w:right w:w="80" w:type="dxa"/>
            </w:tcMar>
          </w:tcPr>
          <w:p>
            <w:r>
              <w:t>II</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開合跳幅度</w:t>
            </w:r>
          </w:p>
        </w:tc>
        <w:tc>
          <w:tcPr>
            <w:tcW w:w="1600" w:type="dxa"/>
            <w:shd w:val="clear" w:color="auto" w:fill="D9E2F3"/>
            <w:tcMar>
              <w:top w:w="40" w:type="dxa"/>
              <w:left w:w="80" w:type="dxa"/>
              <w:bottom w:w="40" w:type="dxa"/>
              <w:right w:w="80" w:type="dxa"/>
            </w:tcMar>
          </w:tcPr>
          <w:p>
            <w:r>
              <w:t>手過肩、腳距超過肩寬</w:t>
            </w:r>
          </w:p>
        </w:tc>
        <w:tc>
          <w:tcPr>
            <w:tcW w:w="3600" w:type="dxa"/>
            <w:shd w:val="clear" w:color="auto" w:fill="D9E2F3"/>
            <w:tcMar>
              <w:top w:w="40" w:type="dxa"/>
              <w:left w:w="80" w:type="dxa"/>
              <w:bottom w:w="40" w:type="dxa"/>
              <w:right w:w="80" w:type="dxa"/>
            </w:tcMar>
          </w:tcPr>
          <w:p>
            <w:r>
              <w:t>II</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軀幹前傾阻擋</w:t>
            </w:r>
          </w:p>
        </w:tc>
        <w:tc>
          <w:tcPr>
            <w:tcW w:w="1600" w:type="dxa"/>
            <w:shd w:val="clear" w:color="auto" w:fill="D9E2F3"/>
            <w:tcMar>
              <w:top w:w="40" w:type="dxa"/>
              <w:left w:w="80" w:type="dxa"/>
              <w:bottom w:w="40" w:type="dxa"/>
              <w:right w:w="80" w:type="dxa"/>
            </w:tcMar>
          </w:tcPr>
          <w:p>
            <w:r>
              <w:t>用於區分自然前傾與彎腰代償之工程門檻，無對應運動標準</w:t>
            </w:r>
          </w:p>
        </w:tc>
        <w:tc>
          <w:tcPr>
            <w:tcW w:w="3600" w:type="dxa"/>
            <w:shd w:val="clear" w:color="auto" w:fill="D9E2F3"/>
            <w:tcMar>
              <w:top w:w="40" w:type="dxa"/>
              <w:left w:w="80" w:type="dxa"/>
              <w:bottom w:w="40" w:type="dxa"/>
              <w:right w:w="80" w:type="dxa"/>
            </w:tcMar>
          </w:tcPr>
          <w:p>
            <w:r>
              <w:t>III</w:t>
            </w:r>
          </w:p>
        </w:tc>
      </w:tr>
    </w:tbl>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採平行蹲而非更深深度作為目標，係依據上述文獻之建議，而非為降低判定難度所作之妥協。</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界線說明｜本系統之實際判定門檻略淺於平行蹲（達標時髖仍略高於膝），此為居家鏡頭條件下之校準結果，理由見下節。目標深度與實際門檻之差距不予隱藏：文件中同時列出領域標準值、本系統實際值與校準理由，使該取捨可被檢驗。</w:t>
      </w:r>
    </w:p>
    <w:p w14:paraId="5D228ABB" w14:textId="77777777" w:rsidR="00D44DCB" w:rsidRDefault="00000000">
      <w:pPr>
        <w:pStyle w:val="2"/>
        <w:spacing w:before="240" w:after="160" w:line="360" w:lineRule="auto"/>
      </w:pPr>
      <w:r>
        <w:rPr>
          <w:rFonts w:ascii="標楷體" w:eastAsia="標楷體" w:hAnsi="標楷體" w:cs="標楷體"/>
          <w:b/>
          <w:bCs/>
        </w:rPr>
        <w:t>2. 居家場景之門檻校準</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實驗室之理想機位與居家筆電鏡頭屬不同條件：低角度仰拍造成視角畸變，側面拍攝則有肢體遮擋。若逕行套用實驗室標準，將產生大量誤拒，使用者動作正確卻不被計次，反而損害系統可信度。</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本作品之門檻因此經居家場景校準，並完整記錄每一項校準值所對應的領域標準與校準理由。以深蹲為例：目標深度為平行蹲（髖與膝約略同高），實際達標門檻則容許髖略高於膝，其差距係為吸收低角度仰拍所致之視角畸變。</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此類校準值屬工程判斷，其適切性須以真人樣本驗證後方能確認；在驗證完成前，本作品不宣稱該門檻已達最適設定。</w:t>
      </w:r>
    </w:p>
    <w:p w14:paraId="5D228ABB" w14:textId="77777777" w:rsidR="00D44DCB" w:rsidRDefault="00000000">
      <w:pPr>
        <w:pStyle w:val="2"/>
        <w:spacing w:before="240" w:after="160" w:line="360" w:lineRule="auto"/>
      </w:pPr>
      <w:r>
        <w:rPr>
          <w:rFonts w:ascii="標楷體" w:eastAsia="標楷體" w:hAnsi="標楷體" w:cs="標楷體"/>
          <w:b/>
          <w:bCs/>
        </w:rPr>
        <w:t>3. 標準卡制度</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每項動作建立一份標準卡，內容包含：關鍵關節與判定角度、達標容許區間、常見錯誤及其幾何特徵、知識來源等級。標準卡為動作擴充之最小單位——新增動作即新增一張標準卡，不需更動判定引擎，使動作庫之擴充工作得以分割並行。</w:t>
      </w:r>
    </w:p>
    <w:p w14:paraId="5D228AB6" w14:textId="77777777" w:rsidR="00D44DCB" w:rsidRDefault="00000000">
      <w:pPr>
        <w:pStyle w:val="1"/>
        <w:spacing w:before="360" w:after="200" w:line="360" w:lineRule="auto"/>
      </w:pPr>
      <w:r>
        <w:rPr>
          <w:rFonts w:ascii="標楷體" w:eastAsia="標楷體" w:hAnsi="標楷體" w:cs="標楷體"/>
          <w:b/>
          <w:bCs/>
          <w:sz w:val="28"/>
          <w:szCs w:val="32"/>
        </w:rPr>
        <w:t>（三）驗證計畫</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本作品建立三階段驗證架構，各階段之外部性逐級提高。</w:t>
      </w:r>
    </w:p>
    <w:p w14:paraId="5D228ABF" w14:textId="77777777" w:rsidR="00D44DCB" w:rsidRDefault="00000000">
      <w:pPr>
        <w:spacing w:after="120" w:line="360" w:lineRule="auto"/>
        <w:jc w:val="center"/>
      </w:pPr>
      <w:r>
        <w:rPr>
          <w:rFonts w:ascii="新細明體" w:eastAsia="新細明體" w:hAnsi="新細明體" w:cs="新細明體"/>
          <w:b/>
          <w:bCs/>
          <w:sz w:val="24"/>
          <w:szCs w:val="24"/>
        </w:rPr>
        <w:t>表 3-3　三階段驗證架構</w:t>
      </w:r>
    </w:p>
    <w:tbl>
      <w:tblPr>
        <w:tblW w:w="96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2400"/>
        <w:gridCol w:w="2400"/>
        <w:gridCol w:w="2400"/>
        <w:gridCol w:w="2400"/>
      </w:tblGrid>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階段</w:t>
            </w:r>
          </w:p>
        </w:tc>
        <w:tc>
          <w:tcPr>
            <w:tcW w:w="1600" w:type="dxa"/>
            <w:shd w:val="clear" w:color="auto" w:fill="D9E2F3"/>
            <w:tcMar>
              <w:top w:w="40" w:type="dxa"/>
              <w:left w:w="80" w:type="dxa"/>
              <w:bottom w:w="40" w:type="dxa"/>
              <w:right w:w="80" w:type="dxa"/>
            </w:tcMar>
          </w:tcPr>
          <w:p>
            <w:r>
              <w:t>資料來源</w:t>
            </w:r>
          </w:p>
        </w:tc>
        <w:tc>
          <w:tcPr>
            <w:tcW w:w="3600" w:type="dxa"/>
            <w:shd w:val="clear" w:color="auto" w:fill="D9E2F3"/>
            <w:tcMar>
              <w:top w:w="40" w:type="dxa"/>
              <w:left w:w="80" w:type="dxa"/>
              <w:bottom w:w="40" w:type="dxa"/>
              <w:right w:w="80" w:type="dxa"/>
            </w:tcMar>
          </w:tcPr>
          <w:p>
            <w:r>
              <w:t>驗證目標</w:t>
            </w:r>
          </w:p>
        </w:tc>
        <w:tc>
          <w:tcPr>
            <w:tcW w:w="1600" w:type="dxa"/>
            <w:shd w:val="clear" w:color="auto" w:fill="D9E2F3"/>
            <w:tcMar>
              <w:top w:w="40" w:type="dxa"/>
              <w:left w:w="80" w:type="dxa"/>
              <w:bottom w:w="40" w:type="dxa"/>
              <w:right w:w="80" w:type="dxa"/>
            </w:tcMar>
          </w:tcPr>
          <w:p>
            <w:r>
              <w:t>狀態</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一</w:t>
            </w:r>
          </w:p>
        </w:tc>
        <w:tc>
          <w:tcPr>
            <w:tcW w:w="1600" w:type="dxa"/>
            <w:shd w:val="clear" w:color="auto" w:fill="D9E2F3"/>
            <w:tcMar>
              <w:top w:w="40" w:type="dxa"/>
              <w:left w:w="80" w:type="dxa"/>
              <w:bottom w:w="40" w:type="dxa"/>
              <w:right w:w="80" w:type="dxa"/>
            </w:tcMar>
          </w:tcPr>
          <w:p>
            <w:r>
              <w:t>自動化測試（合成骨架）</w:t>
            </w:r>
          </w:p>
        </w:tc>
        <w:tc>
          <w:tcPr>
            <w:tcW w:w="3600" w:type="dxa"/>
            <w:shd w:val="clear" w:color="auto" w:fill="D9E2F3"/>
            <w:tcMar>
              <w:top w:w="40" w:type="dxa"/>
              <w:left w:w="80" w:type="dxa"/>
              <w:bottom w:w="40" w:type="dxa"/>
              <w:right w:w="80" w:type="dxa"/>
            </w:tcMar>
          </w:tcPr>
          <w:p>
            <w:r>
              <w:t>規則邏輯正確性與回歸保護</w:t>
            </w:r>
          </w:p>
        </w:tc>
        <w:tc>
          <w:tcPr>
            <w:tcW w:w="1600" w:type="dxa"/>
            <w:shd w:val="clear" w:color="auto" w:fill="D9E2F3"/>
            <w:tcMar>
              <w:top w:w="40" w:type="dxa"/>
              <w:left w:w="80" w:type="dxa"/>
              <w:bottom w:w="40" w:type="dxa"/>
              <w:right w:w="80" w:type="dxa"/>
            </w:tcMar>
          </w:tcPr>
          <w:p>
            <w:r>
              <w:t>持續執行中</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二</w:t>
            </w:r>
          </w:p>
        </w:tc>
        <w:tc>
          <w:tcPr>
            <w:tcW w:w="1600" w:type="dxa"/>
            <w:shd w:val="clear" w:color="auto" w:fill="D9E2F3"/>
            <w:tcMar>
              <w:top w:w="40" w:type="dxa"/>
              <w:left w:w="80" w:type="dxa"/>
              <w:bottom w:w="40" w:type="dxa"/>
              <w:right w:w="80" w:type="dxa"/>
            </w:tcMar>
          </w:tcPr>
          <w:p>
            <w:r>
              <w:t>專業示範影片</w:t>
            </w:r>
          </w:p>
        </w:tc>
        <w:tc>
          <w:tcPr>
            <w:tcW w:w="3600" w:type="dxa"/>
            <w:shd w:val="clear" w:color="auto" w:fill="D9E2F3"/>
            <w:tcMar>
              <w:top w:w="40" w:type="dxa"/>
              <w:left w:w="80" w:type="dxa"/>
              <w:bottom w:w="40" w:type="dxa"/>
              <w:right w:w="80" w:type="dxa"/>
            </w:tcMar>
          </w:tcPr>
          <w:p>
            <w:r>
              <w:t>標準動作之角度分佈，作為門檻訂定之外部參考</w:t>
            </w:r>
          </w:p>
        </w:tc>
        <w:tc>
          <w:tcPr>
            <w:tcW w:w="1600" w:type="dxa"/>
            <w:shd w:val="clear" w:color="auto" w:fill="D9E2F3"/>
            <w:tcMar>
              <w:top w:w="40" w:type="dxa"/>
              <w:left w:w="80" w:type="dxa"/>
              <w:bottom w:w="40" w:type="dxa"/>
              <w:right w:w="80" w:type="dxa"/>
            </w:tcMar>
          </w:tcPr>
          <w:p>
            <w:r>
              <w:t>已完成初步量測</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三</w:t>
            </w:r>
          </w:p>
        </w:tc>
        <w:tc>
          <w:tcPr>
            <w:tcW w:w="1600" w:type="dxa"/>
            <w:shd w:val="clear" w:color="auto" w:fill="D9E2F3"/>
            <w:tcMar>
              <w:top w:w="40" w:type="dxa"/>
              <w:left w:w="80" w:type="dxa"/>
              <w:bottom w:w="40" w:type="dxa"/>
              <w:right w:w="80" w:type="dxa"/>
            </w:tcMar>
          </w:tcPr>
          <w:p>
            <w:r>
              <w:t>自蒐真人樣本</w:t>
            </w:r>
          </w:p>
        </w:tc>
        <w:tc>
          <w:tcPr>
            <w:tcW w:w="3600" w:type="dxa"/>
            <w:shd w:val="clear" w:color="auto" w:fill="D9E2F3"/>
            <w:tcMar>
              <w:top w:w="40" w:type="dxa"/>
              <w:left w:w="80" w:type="dxa"/>
              <w:bottom w:w="40" w:type="dxa"/>
              <w:right w:w="80" w:type="dxa"/>
            </w:tcMar>
          </w:tcPr>
          <w:p>
            <w:r>
              <w:t>真實居家鏡頭條件下之判定表現</w:t>
            </w:r>
          </w:p>
        </w:tc>
        <w:tc>
          <w:tcPr>
            <w:tcW w:w="1600" w:type="dxa"/>
            <w:shd w:val="clear" w:color="auto" w:fill="D9E2F3"/>
            <w:tcMar>
              <w:top w:w="40" w:type="dxa"/>
              <w:left w:w="80" w:type="dxa"/>
              <w:bottom w:w="40" w:type="dxa"/>
              <w:right w:w="80" w:type="dxa"/>
            </w:tcMar>
          </w:tcPr>
          <w:p>
            <w:r>
              <w:t>規劃中・尚未執行</w:t>
            </w:r>
          </w:p>
        </w:tc>
      </w:tr>
    </w:tbl>
    <w:p w14:paraId="5D228ABB" w14:textId="77777777" w:rsidR="00D44DCB" w:rsidRDefault="00000000">
      <w:pPr>
        <w:pStyle w:val="2"/>
        <w:spacing w:before="240" w:after="160" w:line="360" w:lineRule="auto"/>
      </w:pPr>
      <w:r>
        <w:rPr>
          <w:rFonts w:ascii="標楷體" w:eastAsia="標楷體" w:hAnsi="標楷體" w:cs="標楷體"/>
          <w:b/>
          <w:bCs/>
        </w:rPr>
        <w:t>1. 階段一：自動化測試</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以固定隨機種子產生合成骨架序列，涵蓋各動作之標準樣本與典型錯誤樣本，並施加縮放、平移、雜訊、關節遮擋與出框裁切等多維度擾動。測試採固定種子，結果可完整重現。</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界線說明｜合成骨架產生器由本團隊撰寫，與判定引擎共享同一組幾何假設。此階段測試證明的是規則邏輯之自洽性與回歸保護能力，不等同於真人辨識準確率。此為規則式系統驗證之固有限制，須以外部資料補足。</w:t>
      </w:r>
    </w:p>
    <w:p w14:paraId="5D228ABB" w14:textId="77777777" w:rsidR="00D44DCB" w:rsidRDefault="00000000">
      <w:pPr>
        <w:pStyle w:val="2"/>
        <w:spacing w:before="240" w:after="160" w:line="360" w:lineRule="auto"/>
      </w:pPr>
      <w:r>
        <w:rPr>
          <w:rFonts w:ascii="標楷體" w:eastAsia="標楷體" w:hAnsi="標楷體" w:cs="標楷體"/>
          <w:b/>
          <w:bCs/>
        </w:rPr>
        <w:t>2. 階段二：專業示範影片之角度分佈</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以本作品自身之模型與參數量測專業示範影片，取得標準動作在各判定量上的實際分佈，作為門檻訂定之外部參考點。</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界線說明｜示範影片之機位未受控，其量測值適用於界定「標準動作之角度範圍」，不足以作為門檻校準之唯一依據。影片版權屬原作者，僅用於內部量測統計，不重製亦不納入作品內容。</w:t>
      </w:r>
    </w:p>
    <w:p w14:paraId="5D228ABB" w14:textId="77777777" w:rsidR="00D44DCB" w:rsidRDefault="00000000">
      <w:pPr>
        <w:pStyle w:val="2"/>
        <w:spacing w:before="240" w:after="160" w:line="360" w:lineRule="auto"/>
      </w:pPr>
      <w:r>
        <w:rPr>
          <w:rFonts w:ascii="標楷體" w:eastAsia="標楷體" w:hAnsi="標楷體" w:cs="標楷體"/>
          <w:b/>
          <w:bCs/>
        </w:rPr>
        <w:t>3. 階段三：真人樣本驗證（規劃中）</w:t>
      </w:r>
    </w:p>
    <w:p w14:paraId="5D228ABF" w14:textId="77777777" w:rsidR="00D44DCB" w:rsidRDefault="00000000">
      <w:pPr>
        <w:spacing w:after="120" w:line="360" w:lineRule="auto"/>
        <w:jc w:val="center"/>
      </w:pPr>
      <w:r>
        <w:rPr>
          <w:rFonts w:ascii="新細明體" w:eastAsia="新細明體" w:hAnsi="新細明體" w:cs="新細明體"/>
          <w:b/>
          <w:bCs/>
          <w:sz w:val="24"/>
          <w:szCs w:val="24"/>
        </w:rPr>
        <w:t>表 3-4　真人樣本驗證規劃</w:t>
      </w:r>
    </w:p>
    <w:tbl>
      <w:tblPr>
        <w:tblW w:w="96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4800"/>
        <w:gridCol w:w="4800"/>
      </w:tblGrid>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項目</w:t>
            </w:r>
          </w:p>
        </w:tc>
        <w:tc>
          <w:tcPr>
            <w:tcW w:w="1600" w:type="dxa"/>
            <w:shd w:val="clear" w:color="auto" w:fill="D9E2F3"/>
            <w:tcMar>
              <w:top w:w="40" w:type="dxa"/>
              <w:left w:w="80" w:type="dxa"/>
              <w:bottom w:w="40" w:type="dxa"/>
              <w:right w:w="80" w:type="dxa"/>
            </w:tcMar>
          </w:tcPr>
          <w:p>
            <w:r>
              <w:t>規劃內容</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受試者</w:t>
            </w:r>
          </w:p>
        </w:tc>
        <w:tc>
          <w:tcPr>
            <w:tcW w:w="1600" w:type="dxa"/>
            <w:shd w:val="clear" w:color="auto" w:fill="D9E2F3"/>
            <w:tcMar>
              <w:top w:w="40" w:type="dxa"/>
              <w:left w:w="80" w:type="dxa"/>
              <w:bottom w:w="40" w:type="dxa"/>
              <w:right w:w="80" w:type="dxa"/>
            </w:tcMar>
          </w:tcPr>
          <w:p>
            <w:r>
              <w:t>5 至 8 人，體型差距刻意拉開，以驗證體型正規化層之一致性</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分組</w:t>
            </w:r>
          </w:p>
        </w:tc>
        <w:tc>
          <w:tcPr>
            <w:tcW w:w="1600" w:type="dxa"/>
            <w:shd w:val="clear" w:color="auto" w:fill="D9E2F3"/>
            <w:tcMar>
              <w:top w:w="40" w:type="dxa"/>
              <w:left w:w="80" w:type="dxa"/>
              <w:bottom w:w="40" w:type="dxa"/>
              <w:right w:w="80" w:type="dxa"/>
            </w:tcMar>
          </w:tcPr>
          <w:p>
            <w:r>
              <w:t>校準組（可反覆使用）／測試組（標定門檻期間不使用，僅量測一次）</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每人每動作</w:t>
            </w:r>
          </w:p>
        </w:tc>
        <w:tc>
          <w:tcPr>
            <w:tcW w:w="1600" w:type="dxa"/>
            <w:shd w:val="clear" w:color="auto" w:fill="D9E2F3"/>
            <w:tcMar>
              <w:top w:w="40" w:type="dxa"/>
              <w:left w:w="80" w:type="dxa"/>
              <w:bottom w:w="40" w:type="dxa"/>
              <w:right w:w="80" w:type="dxa"/>
            </w:tcMar>
          </w:tcPr>
          <w:p>
            <w:r>
              <w:t>標準動作 10 次 ＋ 指定錯誤樣態 10 次</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拍攝批次</w:t>
            </w:r>
          </w:p>
        </w:tc>
        <w:tc>
          <w:tcPr>
            <w:tcW w:w="1600" w:type="dxa"/>
            <w:shd w:val="clear" w:color="auto" w:fill="D9E2F3"/>
            <w:tcMar>
              <w:top w:w="40" w:type="dxa"/>
              <w:left w:w="80" w:type="dxa"/>
              <w:bottom w:w="40" w:type="dxa"/>
              <w:right w:w="80" w:type="dxa"/>
            </w:tcMar>
          </w:tcPr>
          <w:p>
            <w:r>
              <w:t>校準批（機位固定並記錄）＋ 韌性批（低角度、一般室內燈光、站位不一）</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產出</w:t>
            </w:r>
          </w:p>
        </w:tc>
        <w:tc>
          <w:tcPr>
            <w:tcW w:w="1600" w:type="dxa"/>
            <w:shd w:val="clear" w:color="auto" w:fill="D9E2F3"/>
            <w:tcMar>
              <w:top w:w="40" w:type="dxa"/>
              <w:left w:w="80" w:type="dxa"/>
              <w:bottom w:w="40" w:type="dxa"/>
              <w:right w:w="80" w:type="dxa"/>
            </w:tcMar>
          </w:tcPr>
          <w:p>
            <w:r>
              <w:t>各動作之混淆矩陣、門檻分佈直方圖、逐案例分析</w:t>
            </w:r>
          </w:p>
        </w:tc>
      </w:tr>
    </w:tbl>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校準集與測試集嚴格分離：若以同一批受試者之資料調整門檻並計算準確率，該數值必然偏高。此分離原則參照機器學習領域之標準實務。</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界線說明｜本階段量測之標籤依拍攝時之動作指令設定，未經專業教練獨立標註。所得結果應表述為「對預設錯誤樣態之辨識結果」，不得表述為動作品質判定之準確率。若驗證結果低於預期，將據實揭露並以資料重新標定門檻。</w:t>
      </w:r>
    </w:p>
    <w:p w14:paraId="5D228AB6" w14:textId="77777777" w:rsidR="00D44DCB" w:rsidRDefault="00000000">
      <w:pPr>
        <w:pStyle w:val="1"/>
        <w:spacing w:before="360" w:after="200" w:line="360" w:lineRule="auto"/>
      </w:pPr>
      <w:r>
        <w:rPr>
          <w:rFonts w:ascii="標楷體" w:eastAsia="標楷體" w:hAnsi="標楷體" w:cs="標楷體"/>
          <w:b/>
          <w:bCs/>
          <w:sz w:val="28"/>
          <w:szCs w:val="32"/>
        </w:rPr>
        <w:t>（四）開發時程</w:t>
      </w:r>
    </w:p>
    <w:p w14:paraId="5D228ABF" w14:textId="77777777" w:rsidR="00D44DCB" w:rsidRDefault="00000000">
      <w:pPr>
        <w:spacing w:after="120" w:line="360" w:lineRule="auto"/>
        <w:jc w:val="center"/>
      </w:pPr>
      <w:r>
        <w:rPr>
          <w:rFonts w:ascii="新細明體" w:eastAsia="新細明體" w:hAnsi="新細明體" w:cs="新細明體"/>
          <w:b/>
          <w:bCs/>
          <w:sz w:val="24"/>
          <w:szCs w:val="24"/>
        </w:rPr>
        <w:t>表 3-5　開發時程與整合作業</w:t>
      </w:r>
    </w:p>
    <w:tbl>
      <w:tblPr>
        <w:tblW w:w="96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3200"/>
        <w:gridCol w:w="3200"/>
        <w:gridCol w:w="3200"/>
      </w:tblGrid>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期間</w:t>
            </w:r>
          </w:p>
        </w:tc>
        <w:tc>
          <w:tcPr>
            <w:tcW w:w="1600" w:type="dxa"/>
            <w:shd w:val="clear" w:color="auto" w:fill="D9E2F3"/>
            <w:tcMar>
              <w:top w:w="40" w:type="dxa"/>
              <w:left w:w="80" w:type="dxa"/>
              <w:bottom w:w="40" w:type="dxa"/>
              <w:right w:w="80" w:type="dxa"/>
            </w:tcMar>
          </w:tcPr>
          <w:p>
            <w:r>
              <w:t>AI 健身辨識端</w:t>
            </w:r>
          </w:p>
        </w:tc>
        <w:tc>
          <w:tcPr>
            <w:tcW w:w="3600" w:type="dxa"/>
            <w:shd w:val="clear" w:color="auto" w:fill="D9E2F3"/>
            <w:tcMar>
              <w:top w:w="40" w:type="dxa"/>
              <w:left w:w="80" w:type="dxa"/>
              <w:bottom w:w="40" w:type="dxa"/>
              <w:right w:w="80" w:type="dxa"/>
            </w:tcMar>
          </w:tcPr>
          <w:p>
            <w:r>
              <w:t>整合作業</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八月下旬</w:t>
            </w:r>
          </w:p>
        </w:tc>
        <w:tc>
          <w:tcPr>
            <w:tcW w:w="1600" w:type="dxa"/>
            <w:shd w:val="clear" w:color="auto" w:fill="D9E2F3"/>
            <w:tcMar>
              <w:top w:w="40" w:type="dxa"/>
              <w:left w:w="80" w:type="dxa"/>
              <w:bottom w:w="40" w:type="dxa"/>
              <w:right w:w="80" w:type="dxa"/>
            </w:tcMar>
          </w:tcPr>
          <w:p>
            <w:r>
              <w:t>整合插槽整備、判定層缺陷修正</w:t>
            </w:r>
          </w:p>
        </w:tc>
        <w:tc>
          <w:tcPr>
            <w:tcW w:w="3600" w:type="dxa"/>
            <w:shd w:val="clear" w:color="auto" w:fill="D9E2F3"/>
            <w:tcMar>
              <w:top w:w="40" w:type="dxa"/>
              <w:left w:w="80" w:type="dxa"/>
              <w:bottom w:w="40" w:type="dxa"/>
              <w:right w:w="80" w:type="dxa"/>
            </w:tcMar>
          </w:tcPr>
          <w:p>
            <w:r>
              <w:t>遊戲端專案交付</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九月上旬</w:t>
            </w:r>
          </w:p>
        </w:tc>
        <w:tc>
          <w:tcPr>
            <w:tcW w:w="1600" w:type="dxa"/>
            <w:shd w:val="clear" w:color="auto" w:fill="D9E2F3"/>
            <w:tcMar>
              <w:top w:w="40" w:type="dxa"/>
              <w:left w:w="80" w:type="dxa"/>
              <w:bottom w:w="40" w:type="dxa"/>
              <w:right w:w="80" w:type="dxa"/>
            </w:tcMar>
          </w:tcPr>
          <w:p>
            <w:r>
              <w:t>真人樣本拍攝與標註</w:t>
            </w:r>
          </w:p>
        </w:tc>
        <w:tc>
          <w:tcPr>
            <w:tcW w:w="3600" w:type="dxa"/>
            <w:shd w:val="clear" w:color="auto" w:fill="D9E2F3"/>
            <w:tcMar>
              <w:top w:w="40" w:type="dxa"/>
              <w:left w:w="80" w:type="dxa"/>
              <w:bottom w:w="40" w:type="dxa"/>
              <w:right w:w="80" w:type="dxa"/>
            </w:tcMar>
          </w:tcPr>
          <w:p>
            <w:r>
              <w:t>系統整合、視覺對齊</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九月中下旬</w:t>
            </w:r>
          </w:p>
        </w:tc>
        <w:tc>
          <w:tcPr>
            <w:tcW w:w="1600" w:type="dxa"/>
            <w:shd w:val="clear" w:color="auto" w:fill="D9E2F3"/>
            <w:tcMar>
              <w:top w:w="40" w:type="dxa"/>
              <w:left w:w="80" w:type="dxa"/>
              <w:bottom w:w="40" w:type="dxa"/>
              <w:right w:w="80" w:type="dxa"/>
            </w:tcMar>
          </w:tcPr>
          <w:p>
            <w:r>
              <w:t>動作庫擴充、結算流程打磨</w:t>
            </w:r>
          </w:p>
        </w:tc>
        <w:tc>
          <w:tcPr>
            <w:tcW w:w="3600" w:type="dxa"/>
            <w:shd w:val="clear" w:color="auto" w:fill="D9E2F3"/>
            <w:tcMar>
              <w:top w:w="40" w:type="dxa"/>
              <w:left w:w="80" w:type="dxa"/>
              <w:bottom w:w="40" w:type="dxa"/>
              <w:right w:w="80" w:type="dxa"/>
            </w:tcMar>
          </w:tcPr>
          <w:p>
            <w:r>
              <w:t>整合驗收、流程彩排</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十月一日</w:t>
            </w:r>
          </w:p>
        </w:tc>
        <w:tc>
          <w:tcPr>
            <w:tcW w:w="1600" w:type="dxa"/>
            <w:shd w:val="clear" w:color="auto" w:fill="D9E2F3"/>
            <w:tcMar>
              <w:top w:w="40" w:type="dxa"/>
              <w:left w:w="80" w:type="dxa"/>
              <w:bottom w:w="40" w:type="dxa"/>
              <w:right w:w="80" w:type="dxa"/>
            </w:tcMar>
          </w:tcPr>
          <w:p>
            <w:r>
              <w:t>—</w:t>
            </w:r>
          </w:p>
        </w:tc>
        <w:tc>
          <w:tcPr>
            <w:tcW w:w="3600" w:type="dxa"/>
            <w:shd w:val="clear" w:color="auto" w:fill="D9E2F3"/>
            <w:tcMar>
              <w:top w:w="40" w:type="dxa"/>
              <w:left w:w="80" w:type="dxa"/>
              <w:bottom w:w="40" w:type="dxa"/>
              <w:right w:w="80" w:type="dxa"/>
            </w:tcMar>
          </w:tcPr>
          <w:p>
            <w:r>
              <w:t>企劃書與海報交件</w:t>
            </w:r>
          </w:p>
        </w:tc>
      </w:tr>
    </w:tbl>
    <w:p w14:paraId="5D228AB6" w14:textId="77777777" w:rsidR="00D44DCB" w:rsidRDefault="00000000">
      <w:pPr>
        <w:pStyle w:val="1"/>
        <w:spacing w:before="360" w:after="200" w:line="360" w:lineRule="auto"/>
      </w:pPr>
      <w:r>
        <w:rPr>
          <w:rFonts w:ascii="標楷體" w:eastAsia="標楷體" w:hAnsi="標楷體" w:cs="標楷體"/>
          <w:b/>
          <w:bCs/>
          <w:i w:val="0"/>
          <w:sz w:val="28"/>
          <w:szCs w:val="32"/>
        </w:rPr>
        <w:t>本章引用文獻（APA 第 7 版，請併入第十章「參考文獻」，不計入本章頁數）</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Bazarevsky, V., Grishchenko, I., Raveendran, K., Zhu, T., Zhang, F., &amp; Grundmann, M. (2020). </w:t>
      </w:r>
      <w:r>
        <w:rPr>
          <w:rFonts w:ascii="新細明體" w:eastAsia="新細明體" w:hAnsi="新細明體" w:cs="新細明體"/>
          <w:i/>
        </w:rPr>
        <w:t>BlazePose: On-device real-time body pose tracking</w:t>
      </w:r>
      <w:r>
        <w:rPr>
          <w:rFonts w:ascii="新細明體" w:eastAsia="新細明體" w:hAnsi="新細明體" w:cs="新細明體"/>
          <w:i w:val="0"/>
        </w:rPr>
        <w:t xml:space="preserve"> (arXiv:2006.10204). arXiv. https://doi.org/10.48550/arXiv.2006.10204</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Casiez, G., Roussel, N., &amp; Vogel, D. (2012). 1 € filter: A simple speed-based low-pass filter for noisy input in interactive systems. In </w:t>
      </w:r>
      <w:r>
        <w:rPr>
          <w:rFonts w:ascii="新細明體" w:eastAsia="新細明體" w:hAnsi="新細明體" w:cs="新細明體"/>
          <w:i/>
        </w:rPr>
        <w:t>Proceedings of the SIGCHI Conference on Human Factors in Computing Systems</w:t>
      </w:r>
      <w:r>
        <w:rPr>
          <w:rFonts w:ascii="新細明體" w:eastAsia="新細明體" w:hAnsi="新細明體" w:cs="新細明體"/>
          <w:i w:val="0"/>
        </w:rPr>
        <w:t xml:space="preserve"> (pp. 2527–2530). Association for Computing Machinery. https://doi.org/10.1145/2207676.2208639</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Escamilla, R. F. (2001). Knee biomechanics of the dynamic squat exercise. </w:t>
      </w:r>
      <w:r>
        <w:rPr>
          <w:rFonts w:ascii="新細明體" w:eastAsia="新細明體" w:hAnsi="新細明體" w:cs="新細明體"/>
          <w:i/>
        </w:rPr>
        <w:t>Medicine &amp; Science in Sports &amp; Exercise, 33</w:t>
      </w:r>
      <w:r>
        <w:rPr>
          <w:rFonts w:ascii="新細明體" w:eastAsia="新細明體" w:hAnsi="新細明體" w:cs="新細明體"/>
          <w:i w:val="0"/>
        </w:rPr>
        <w:t>(1), 127–141. https://doi.org/10.1097/00005768-200101000-00020</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Jaiswal, A., Chauhan, G., &amp; Srivastava, N. (2023). Using learnable physics for real-time exercise form recommendations. In </w:t>
      </w:r>
      <w:r>
        <w:rPr>
          <w:rFonts w:ascii="新細明體" w:eastAsia="新細明體" w:hAnsi="新細明體" w:cs="新細明體"/>
          <w:i/>
        </w:rPr>
        <w:t>Proceedings of the 17th ACM Conference on Recommender Systems</w:t>
      </w:r>
      <w:r>
        <w:rPr>
          <w:rFonts w:ascii="新細明體" w:eastAsia="新細明體" w:hAnsi="新細明體" w:cs="新細明體"/>
          <w:i w:val="0"/>
        </w:rPr>
        <w:t xml:space="preserve"> (pp. 688–695). Association for Computing Machinery. https://doi.org/10.1145/3604915.3608816</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Lugaresi, C., Tang, J., Nash, H., McClanahan, C., Uboweja, E., Hays, M., Zhang, F., Chang, C.-L., Yong, M. G., Lee, J., Chang, W.-T., Hua, W., Georg, M., &amp; Grundmann, M. (2019). </w:t>
      </w:r>
      <w:r>
        <w:rPr>
          <w:rFonts w:ascii="新細明體" w:eastAsia="新細明體" w:hAnsi="新細明體" w:cs="新細明體"/>
          <w:i/>
        </w:rPr>
        <w:t>MediaPipe: A framework for building perception pipelines</w:t>
      </w:r>
      <w:r>
        <w:rPr>
          <w:rFonts w:ascii="新細明體" w:eastAsia="新細明體" w:hAnsi="新細明體" w:cs="新細明體"/>
          <w:i w:val="0"/>
        </w:rPr>
        <w:t xml:space="preserve"> (arXiv:1906.08172). arXiv. https://doi.org/10.48550/arXiv.1906.08172</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Schoenfeld, B. J. (2010). Squatting kinematics and kinetics and their application to exercise performance. </w:t>
      </w:r>
      <w:r>
        <w:rPr>
          <w:rFonts w:ascii="新細明體" w:eastAsia="新細明體" w:hAnsi="新細明體" w:cs="新細明體"/>
          <w:i/>
        </w:rPr>
        <w:t>Journal of Strength and Conditioning Research, 24</w:t>
      </w:r>
      <w:r>
        <w:rPr>
          <w:rFonts w:ascii="新細明體" w:eastAsia="新細明體" w:hAnsi="新細明體" w:cs="新細明體"/>
          <w:i w:val="0"/>
        </w:rPr>
        <w:t>(12), 3497–3506. https://doi.org/10.1519/JSC.0b013e3181bac2d7</w:t>
      </w:r>
    </w:p>
    <w:p w14:paraId="5D228A88" w14:textId="77777777" w:rsidR="00D44DCB" w:rsidRDefault="00000000">
      <w:pPr>
        <w:spacing w:after="200" w:line="360" w:lineRule="auto"/>
        <w:jc w:val="center"/>
      </w:pPr>
      <w:r>
        <w:rPr>
          <w:rFonts w:ascii="標楷體" w:eastAsia="標楷體" w:hAnsi="標楷體" w:cs="標楷體"/>
          <w:b/>
          <w:bCs/>
          <w:sz w:val="32"/>
          <w:szCs w:val="32"/>
        </w:rPr>
        <w:t>四、功能介紹、系統架構、操作介面及規格說明</w:t>
      </w:r>
    </w:p>
    <w:p w14:paraId="5D228AB6" w14:textId="77777777" w:rsidR="00D44DCB" w:rsidRDefault="00000000">
      <w:pPr>
        <w:pStyle w:val="1"/>
        <w:spacing w:before="360" w:after="200" w:line="360" w:lineRule="auto"/>
      </w:pPr>
      <w:r>
        <w:rPr>
          <w:rFonts w:ascii="標楷體" w:eastAsia="標楷體" w:hAnsi="標楷體" w:cs="標楷體"/>
          <w:b/>
          <w:bCs/>
          <w:sz w:val="28"/>
          <w:szCs w:val="32"/>
        </w:rPr>
        <w:t>（一）產品全貌</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使用者開啟網站後，畫面底部是一列五個分頁的導覽列，操作方式與一般手機應用程式一致。首屏預設停在「今日」：上方是問候語與日期，中央一張今日任務卡顯示今天要完成的動作與進度環，下方依序是島嶼入口與本週目標的七日足跡，最底部只有一個按鈕——開始訓練。整個流程不需要註冊、不需要安裝，開啟瀏覽器即可使用。</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本作品為單一網站應用程式，以底部分頁列切換五項功能。訓練分頁為資源之唯一產出來源，島嶼分頁為資源之主要去處，此單向流動使運動參與與遊戲進展之間形成不可繞過的因果關係。</w:t>
      </w:r>
    </w:p>
    <w:p w14:paraId="5D228ABF" w14:textId="77777777" w:rsidR="00D44DCB" w:rsidRDefault="00000000">
      <w:pPr>
        <w:spacing w:after="120" w:line="360" w:lineRule="auto"/>
        <w:jc w:val="center"/>
      </w:pPr>
      <w:r>
        <w:rPr>
          <w:rFonts w:ascii="新細明體" w:eastAsia="新細明體" w:hAnsi="新細明體" w:cs="新細明體"/>
          <w:b/>
          <w:bCs/>
          <w:sz w:val="24"/>
          <w:szCs w:val="24"/>
        </w:rPr>
        <w:t>表 4-1　功能分頁與職責劃分</w:t>
      </w:r>
    </w:p>
    <w:tbl>
      <w:tblPr>
        <w:tblW w:w="96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3200"/>
        <w:gridCol w:w="3200"/>
        <w:gridCol w:w="3200"/>
      </w:tblGrid>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分頁</w:t>
            </w:r>
          </w:p>
        </w:tc>
        <w:tc>
          <w:tcPr>
            <w:tcW w:w="1600" w:type="dxa"/>
            <w:shd w:val="clear" w:color="auto" w:fill="D9E2F3"/>
            <w:tcMar>
              <w:top w:w="40" w:type="dxa"/>
              <w:left w:w="80" w:type="dxa"/>
              <w:bottom w:w="40" w:type="dxa"/>
              <w:right w:w="80" w:type="dxa"/>
            </w:tcMar>
          </w:tcPr>
          <w:p>
            <w:r>
              <w:t>核心職責</w:t>
            </w:r>
          </w:p>
        </w:tc>
        <w:tc>
          <w:tcPr>
            <w:tcW w:w="3600" w:type="dxa"/>
            <w:shd w:val="clear" w:color="auto" w:fill="D9E2F3"/>
            <w:tcMar>
              <w:top w:w="40" w:type="dxa"/>
              <w:left w:w="80" w:type="dxa"/>
              <w:bottom w:w="40" w:type="dxa"/>
              <w:right w:w="80" w:type="dxa"/>
            </w:tcMar>
          </w:tcPr>
          <w:p>
            <w:r>
              <w:t>開發端</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今日</w:t>
            </w:r>
          </w:p>
        </w:tc>
        <w:tc>
          <w:tcPr>
            <w:tcW w:w="1600" w:type="dxa"/>
            <w:shd w:val="clear" w:color="auto" w:fill="D9E2F3"/>
            <w:tcMar>
              <w:top w:w="40" w:type="dxa"/>
              <w:left w:w="80" w:type="dxa"/>
              <w:bottom w:w="40" w:type="dxa"/>
              <w:right w:w="80" w:type="dxa"/>
            </w:tcMar>
          </w:tcPr>
          <w:p>
            <w:r>
              <w:t>首屏：今日任務、進度環、連續天數、週目標足跡</w:t>
            </w:r>
          </w:p>
        </w:tc>
        <w:tc>
          <w:tcPr>
            <w:tcW w:w="3600" w:type="dxa"/>
            <w:shd w:val="clear" w:color="auto" w:fill="D9E2F3"/>
            <w:tcMar>
              <w:top w:w="40" w:type="dxa"/>
              <w:left w:w="80" w:type="dxa"/>
              <w:bottom w:w="40" w:type="dxa"/>
              <w:right w:w="80" w:type="dxa"/>
            </w:tcMar>
          </w:tcPr>
          <w:p>
            <w:r>
              <w:t>健身端</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島嶼</w:t>
            </w:r>
          </w:p>
        </w:tc>
        <w:tc>
          <w:tcPr>
            <w:tcW w:w="1600" w:type="dxa"/>
            <w:shd w:val="clear" w:color="auto" w:fill="D9E2F3"/>
            <w:tcMar>
              <w:top w:w="40" w:type="dxa"/>
              <w:left w:w="80" w:type="dxa"/>
              <w:bottom w:w="40" w:type="dxa"/>
              <w:right w:w="80" w:type="dxa"/>
            </w:tcMar>
          </w:tcPr>
          <w:p>
            <w:r>
              <w:t>以金幣與材料建設島嶼，將運動成果視覺化</w:t>
            </w:r>
          </w:p>
        </w:tc>
        <w:tc>
          <w:tcPr>
            <w:tcW w:w="3600" w:type="dxa"/>
            <w:shd w:val="clear" w:color="auto" w:fill="D9E2F3"/>
            <w:tcMar>
              <w:top w:w="40" w:type="dxa"/>
              <w:left w:w="80" w:type="dxa"/>
              <w:bottom w:w="40" w:type="dxa"/>
              <w:right w:w="80" w:type="dxa"/>
            </w:tcMar>
          </w:tcPr>
          <w:p>
            <w:r>
              <w:t>遊戲端</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訓練</w:t>
            </w:r>
          </w:p>
        </w:tc>
        <w:tc>
          <w:tcPr>
            <w:tcW w:w="1600" w:type="dxa"/>
            <w:shd w:val="clear" w:color="auto" w:fill="D9E2F3"/>
            <w:tcMar>
              <w:top w:w="40" w:type="dxa"/>
              <w:left w:w="80" w:type="dxa"/>
              <w:bottom w:w="40" w:type="dxa"/>
              <w:right w:w="80" w:type="dxa"/>
            </w:tcMar>
          </w:tcPr>
          <w:p>
            <w:r>
              <w:t>核心：即時判定、矯正與結算</w:t>
            </w:r>
          </w:p>
        </w:tc>
        <w:tc>
          <w:tcPr>
            <w:tcW w:w="3600" w:type="dxa"/>
            <w:shd w:val="clear" w:color="auto" w:fill="D9E2F3"/>
            <w:tcMar>
              <w:top w:w="40" w:type="dxa"/>
              <w:left w:w="80" w:type="dxa"/>
              <w:bottom w:w="40" w:type="dxa"/>
              <w:right w:w="80" w:type="dxa"/>
            </w:tcMar>
          </w:tcPr>
          <w:p>
            <w:r>
              <w:t>健身端</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健康</w:t>
            </w:r>
          </w:p>
        </w:tc>
        <w:tc>
          <w:tcPr>
            <w:tcW w:w="1600" w:type="dxa"/>
            <w:shd w:val="clear" w:color="auto" w:fill="D9E2F3"/>
            <w:tcMar>
              <w:top w:w="40" w:type="dxa"/>
              <w:left w:w="80" w:type="dxa"/>
              <w:bottom w:w="40" w:type="dxa"/>
              <w:right w:w="80" w:type="dxa"/>
            </w:tcMar>
          </w:tcPr>
          <w:p>
            <w:r>
              <w:t>訓練數據之長期趨勢與前後對比</w:t>
            </w:r>
          </w:p>
        </w:tc>
        <w:tc>
          <w:tcPr>
            <w:tcW w:w="3600" w:type="dxa"/>
            <w:shd w:val="clear" w:color="auto" w:fill="D9E2F3"/>
            <w:tcMar>
              <w:top w:w="40" w:type="dxa"/>
              <w:left w:w="80" w:type="dxa"/>
              <w:bottom w:w="40" w:type="dxa"/>
              <w:right w:w="80" w:type="dxa"/>
            </w:tcMar>
          </w:tcPr>
          <w:p>
            <w:r>
              <w:t>健身端</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設定</w:t>
            </w:r>
          </w:p>
        </w:tc>
        <w:tc>
          <w:tcPr>
            <w:tcW w:w="1600" w:type="dxa"/>
            <w:shd w:val="clear" w:color="auto" w:fill="D9E2F3"/>
            <w:tcMar>
              <w:top w:w="40" w:type="dxa"/>
              <w:left w:w="80" w:type="dxa"/>
              <w:bottom w:w="40" w:type="dxa"/>
              <w:right w:w="80" w:type="dxa"/>
            </w:tcMar>
          </w:tcPr>
          <w:p>
            <w:r>
              <w:t>身體數據、偏好、隱私與帳號</w:t>
            </w:r>
          </w:p>
        </w:tc>
        <w:tc>
          <w:tcPr>
            <w:tcW w:w="3600" w:type="dxa"/>
            <w:shd w:val="clear" w:color="auto" w:fill="D9E2F3"/>
            <w:tcMar>
              <w:top w:w="40" w:type="dxa"/>
              <w:left w:w="80" w:type="dxa"/>
              <w:bottom w:w="40" w:type="dxa"/>
              <w:right w:w="80" w:type="dxa"/>
            </w:tcMar>
          </w:tcPr>
          <w:p>
            <w:r>
              <w:t>健身端</w:t>
            </w:r>
          </w:p>
        </w:tc>
      </w:tr>
    </w:tbl>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手機版與電腦版採同一套介面，分頁位置與操作邏輯一致。</w:t>
      </w:r>
    </w:p>
    <w:p w14:paraId="5D228AB6" w14:textId="77777777" w:rsidR="00D44DCB" w:rsidRDefault="00000000">
      <w:pPr>
        <w:pStyle w:val="1"/>
        <w:spacing w:before="360" w:after="200" w:line="360" w:lineRule="auto"/>
      </w:pPr>
      <w:r>
        <w:rPr>
          <w:rFonts w:ascii="標楷體" w:eastAsia="標楷體" w:hAnsi="標楷體" w:cs="標楷體"/>
          <w:b/>
          <w:bCs/>
          <w:sz w:val="28"/>
          <w:szCs w:val="32"/>
        </w:rPr>
        <w:t>（二）核心機制：品質確認取代次數累積</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現有身體活動類應用程式多以次數或時間為成果單位。針對排名前列之身體活動應用程式的分析顯示，其線上描述所載之行為改變技術數量普遍偏少，多數少於四項（Conroy et al., 2014）。本作品之核心主張為「不是計次，而是品質確認」：一次有效次數須同時滿足完整動作週期、標準深度與無顯著代償，且唯有有效次數方能換取遊戲資源。</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正向循環之設計如下：</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今日任務 → 一鍵進入訓練 → 即時判定與矯正 → 結算（僅有效次數換得資源）　↑                                              ↓　下一個目標 ← 島嶼建設消費 ← 獎勵轉換演出 ←──────────┘</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各環節之設計依據：</w:t>
      </w:r>
    </w:p>
    <w:p w14:paraId="5D228ABF" w14:textId="77777777" w:rsidR="00D44DCB" w:rsidRDefault="00000000">
      <w:pPr>
        <w:spacing w:after="120" w:line="360" w:lineRule="auto"/>
        <w:jc w:val="center"/>
      </w:pPr>
      <w:r>
        <w:rPr>
          <w:rFonts w:ascii="新細明體" w:eastAsia="新細明體" w:hAnsi="新細明體" w:cs="新細明體"/>
          <w:b/>
          <w:bCs/>
          <w:sz w:val="24"/>
          <w:szCs w:val="24"/>
        </w:rPr>
        <w:t>表 4-2　訓練流程各環節之設計依據</w:t>
      </w:r>
    </w:p>
    <w:tbl>
      <w:tblPr>
        <w:tblW w:w="96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3200"/>
        <w:gridCol w:w="3200"/>
        <w:gridCol w:w="3200"/>
      </w:tblGrid>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環節</w:t>
            </w:r>
          </w:p>
        </w:tc>
        <w:tc>
          <w:tcPr>
            <w:tcW w:w="1600" w:type="dxa"/>
            <w:shd w:val="clear" w:color="auto" w:fill="D9E2F3"/>
            <w:tcMar>
              <w:top w:w="40" w:type="dxa"/>
              <w:left w:w="80" w:type="dxa"/>
              <w:bottom w:w="40" w:type="dxa"/>
              <w:right w:w="80" w:type="dxa"/>
            </w:tcMar>
          </w:tcPr>
          <w:p>
            <w:r>
              <w:t>設計目的</w:t>
            </w:r>
          </w:p>
        </w:tc>
        <w:tc>
          <w:tcPr>
            <w:tcW w:w="3600" w:type="dxa"/>
            <w:shd w:val="clear" w:color="auto" w:fill="D9E2F3"/>
            <w:tcMar>
              <w:top w:w="40" w:type="dxa"/>
              <w:left w:w="80" w:type="dxa"/>
              <w:bottom w:w="40" w:type="dxa"/>
              <w:right w:w="80" w:type="dxa"/>
            </w:tcMar>
          </w:tcPr>
          <w:p>
            <w:r>
              <w:t>依據</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今日任務為具體數量目標</w:t>
            </w:r>
          </w:p>
        </w:tc>
        <w:tc>
          <w:tcPr>
            <w:tcW w:w="1600" w:type="dxa"/>
            <w:shd w:val="clear" w:color="auto" w:fill="D9E2F3"/>
            <w:tcMar>
              <w:top w:w="40" w:type="dxa"/>
              <w:left w:w="80" w:type="dxa"/>
              <w:bottom w:w="40" w:type="dxa"/>
              <w:right w:w="80" w:type="dxa"/>
            </w:tcMar>
          </w:tcPr>
          <w:p>
            <w:r>
              <w:t>明確目標較「盡力而為」更能提升表現</w:t>
            </w:r>
          </w:p>
        </w:tc>
        <w:tc>
          <w:tcPr>
            <w:tcW w:w="3600" w:type="dxa"/>
            <w:shd w:val="clear" w:color="auto" w:fill="D9E2F3"/>
            <w:tcMar>
              <w:top w:w="40" w:type="dxa"/>
              <w:left w:w="80" w:type="dxa"/>
              <w:bottom w:w="40" w:type="dxa"/>
              <w:right w:w="80" w:type="dxa"/>
            </w:tcMar>
          </w:tcPr>
          <w:p>
            <w:r>
              <w:t>Locke &amp; Latham (2002)</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獎勵綁定動作品質</w:t>
            </w:r>
          </w:p>
        </w:tc>
        <w:tc>
          <w:tcPr>
            <w:tcW w:w="1600" w:type="dxa"/>
            <w:shd w:val="clear" w:color="auto" w:fill="D9E2F3"/>
            <w:tcMar>
              <w:top w:w="40" w:type="dxa"/>
              <w:left w:w="80" w:type="dxa"/>
              <w:bottom w:w="40" w:type="dxa"/>
              <w:right w:w="80" w:type="dxa"/>
            </w:tcMar>
          </w:tcPr>
          <w:p>
            <w:r>
              <w:t>使遊戲誘因與「把動作做對」同向</w:t>
            </w:r>
          </w:p>
        </w:tc>
        <w:tc>
          <w:tcPr>
            <w:tcW w:w="3600" w:type="dxa"/>
            <w:shd w:val="clear" w:color="auto" w:fill="D9E2F3"/>
            <w:tcMar>
              <w:top w:w="40" w:type="dxa"/>
              <w:left w:w="80" w:type="dxa"/>
              <w:bottom w:w="40" w:type="dxa"/>
              <w:right w:w="80" w:type="dxa"/>
            </w:tcMar>
          </w:tcPr>
          <w:p>
            <w:r>
              <w:t>同上</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即時矯正而非事後統計</w:t>
            </w:r>
          </w:p>
        </w:tc>
        <w:tc>
          <w:tcPr>
            <w:tcW w:w="1600" w:type="dxa"/>
            <w:shd w:val="clear" w:color="auto" w:fill="D9E2F3"/>
            <w:tcMar>
              <w:top w:w="40" w:type="dxa"/>
              <w:left w:w="80" w:type="dxa"/>
              <w:bottom w:w="40" w:type="dxa"/>
              <w:right w:w="80" w:type="dxa"/>
            </w:tcMar>
          </w:tcPr>
          <w:p>
            <w:r>
              <w:t>訓練當下需要可立即執行之修正建議</w:t>
            </w:r>
          </w:p>
        </w:tc>
        <w:tc>
          <w:tcPr>
            <w:tcW w:w="3600" w:type="dxa"/>
            <w:shd w:val="clear" w:color="auto" w:fill="D9E2F3"/>
            <w:tcMar>
              <w:top w:w="40" w:type="dxa"/>
              <w:left w:w="80" w:type="dxa"/>
              <w:bottom w:w="40" w:type="dxa"/>
              <w:right w:w="80" w:type="dxa"/>
            </w:tcMar>
          </w:tcPr>
          <w:p>
            <w:r>
              <w:t>Jaiswal et al. (2023)</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島嶼建設呈現累積成果</w:t>
            </w:r>
          </w:p>
        </w:tc>
        <w:tc>
          <w:tcPr>
            <w:tcW w:w="1600" w:type="dxa"/>
            <w:shd w:val="clear" w:color="auto" w:fill="D9E2F3"/>
            <w:tcMar>
              <w:top w:w="40" w:type="dxa"/>
              <w:left w:w="80" w:type="dxa"/>
              <w:bottom w:w="40" w:type="dxa"/>
              <w:right w:w="80" w:type="dxa"/>
            </w:tcMar>
          </w:tcPr>
          <w:p>
            <w:r>
              <w:t>使抽象努力轉為可見之能力增長，回應勝任感需求</w:t>
            </w:r>
          </w:p>
        </w:tc>
        <w:tc>
          <w:tcPr>
            <w:tcW w:w="3600" w:type="dxa"/>
            <w:shd w:val="clear" w:color="auto" w:fill="D9E2F3"/>
            <w:tcMar>
              <w:top w:w="40" w:type="dxa"/>
              <w:left w:w="80" w:type="dxa"/>
              <w:bottom w:w="40" w:type="dxa"/>
              <w:right w:w="80" w:type="dxa"/>
            </w:tcMar>
          </w:tcPr>
          <w:p>
            <w:r>
              <w:t>Ryan &amp; Deci (2000)</w:t>
            </w:r>
          </w:p>
        </w:tc>
      </w:tr>
    </w:tbl>
    <w:p w14:paraId="5D228AB6" w14:textId="77777777" w:rsidR="00D44DCB" w:rsidRDefault="00000000">
      <w:pPr>
        <w:pStyle w:val="1"/>
        <w:spacing w:before="360" w:after="200" w:line="360" w:lineRule="auto"/>
      </w:pPr>
      <w:r>
        <w:rPr>
          <w:rFonts w:ascii="標楷體" w:eastAsia="標楷體" w:hAnsi="標楷體" w:cs="標楷體"/>
          <w:b/>
          <w:bCs/>
          <w:sz w:val="28"/>
          <w:szCs w:val="32"/>
        </w:rPr>
        <w:t>（三）動作判定規格</w:t>
      </w:r>
    </w:p>
    <w:p w14:paraId="5D228ABF" w14:textId="77777777" w:rsidR="00D44DCB" w:rsidRDefault="00000000">
      <w:pPr>
        <w:spacing w:after="120" w:line="360" w:lineRule="auto"/>
        <w:jc w:val="center"/>
      </w:pPr>
      <w:r>
        <w:rPr>
          <w:rFonts w:ascii="新細明體" w:eastAsia="新細明體" w:hAnsi="新細明體" w:cs="新細明體"/>
          <w:b/>
          <w:bCs/>
          <w:sz w:val="24"/>
          <w:szCs w:val="24"/>
        </w:rPr>
        <w:t>表 4-3　各動作之判定規格</w:t>
      </w:r>
    </w:p>
    <w:tbl>
      <w:tblPr>
        <w:tblW w:w="96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1920"/>
        <w:gridCol w:w="1920"/>
        <w:gridCol w:w="1920"/>
        <w:gridCol w:w="1920"/>
        <w:gridCol w:w="1920"/>
      </w:tblGrid>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階段</w:t>
            </w:r>
          </w:p>
        </w:tc>
        <w:tc>
          <w:tcPr>
            <w:tcW w:w="1600" w:type="dxa"/>
            <w:shd w:val="clear" w:color="auto" w:fill="D9E2F3"/>
            <w:tcMar>
              <w:top w:w="40" w:type="dxa"/>
              <w:left w:w="80" w:type="dxa"/>
              <w:bottom w:w="40" w:type="dxa"/>
              <w:right w:w="80" w:type="dxa"/>
            </w:tcMar>
          </w:tcPr>
          <w:p>
            <w:r>
              <w:t>動作</w:t>
            </w:r>
          </w:p>
        </w:tc>
        <w:tc>
          <w:tcPr>
            <w:tcW w:w="3600" w:type="dxa"/>
            <w:shd w:val="clear" w:color="auto" w:fill="D9E2F3"/>
            <w:tcMar>
              <w:top w:w="40" w:type="dxa"/>
              <w:left w:w="80" w:type="dxa"/>
              <w:bottom w:w="40" w:type="dxa"/>
              <w:right w:w="80" w:type="dxa"/>
            </w:tcMar>
          </w:tcPr>
          <w:p>
            <w:r>
              <w:t>判定關鍵</w:t>
            </w:r>
          </w:p>
        </w:tc>
        <w:tc>
          <w:tcPr>
            <w:tcW w:w="1600" w:type="dxa"/>
            <w:shd w:val="clear" w:color="auto" w:fill="D9E2F3"/>
            <w:tcMar>
              <w:top w:w="40" w:type="dxa"/>
              <w:left w:w="80" w:type="dxa"/>
              <w:bottom w:w="40" w:type="dxa"/>
              <w:right w:w="80" w:type="dxa"/>
            </w:tcMar>
          </w:tcPr>
          <w:p>
            <w:r>
              <w:t>建議機位</w:t>
            </w:r>
          </w:p>
        </w:tc>
        <w:tc>
          <w:tcPr>
            <w:tcW w:w="2000" w:type="dxa"/>
            <w:shd w:val="clear" w:color="auto" w:fill="D9E2F3"/>
            <w:tcMar>
              <w:top w:w="40" w:type="dxa"/>
              <w:left w:w="80" w:type="dxa"/>
              <w:bottom w:w="40" w:type="dxa"/>
              <w:right w:w="80" w:type="dxa"/>
            </w:tcMar>
          </w:tcPr>
          <w:p>
            <w:r>
              <w:t>狀態</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一</w:t>
            </w:r>
          </w:p>
        </w:tc>
        <w:tc>
          <w:tcPr>
            <w:tcW w:w="1600" w:type="dxa"/>
            <w:shd w:val="clear" w:color="auto" w:fill="D9E2F3"/>
            <w:tcMar>
              <w:top w:w="40" w:type="dxa"/>
              <w:left w:w="80" w:type="dxa"/>
              <w:bottom w:w="40" w:type="dxa"/>
              <w:right w:w="80" w:type="dxa"/>
            </w:tcMar>
          </w:tcPr>
          <w:p>
            <w:r>
              <w:t>深蹲</w:t>
            </w:r>
          </w:p>
        </w:tc>
        <w:tc>
          <w:tcPr>
            <w:tcW w:w="3600" w:type="dxa"/>
            <w:shd w:val="clear" w:color="auto" w:fill="D9E2F3"/>
            <w:tcMar>
              <w:top w:w="40" w:type="dxa"/>
              <w:left w:w="80" w:type="dxa"/>
              <w:bottom w:w="40" w:type="dxa"/>
              <w:right w:w="80" w:type="dxa"/>
            </w:tcMar>
          </w:tcPr>
          <w:p>
            <w:r>
              <w:t>髖相對膝高度、軀幹前傾</w:t>
            </w:r>
          </w:p>
        </w:tc>
        <w:tc>
          <w:tcPr>
            <w:tcW w:w="1600" w:type="dxa"/>
            <w:shd w:val="clear" w:color="auto" w:fill="D9E2F3"/>
            <w:tcMar>
              <w:top w:w="40" w:type="dxa"/>
              <w:left w:w="80" w:type="dxa"/>
              <w:bottom w:w="40" w:type="dxa"/>
              <w:right w:w="80" w:type="dxa"/>
            </w:tcMar>
          </w:tcPr>
          <w:p>
            <w:r>
              <w:t>正面</w:t>
            </w:r>
          </w:p>
        </w:tc>
        <w:tc>
          <w:tcPr>
            <w:tcW w:w="2000" w:type="dxa"/>
            <w:shd w:val="clear" w:color="auto" w:fill="D9E2F3"/>
            <w:tcMar>
              <w:top w:w="40" w:type="dxa"/>
              <w:left w:w="80" w:type="dxa"/>
              <w:bottom w:w="40" w:type="dxa"/>
              <w:right w:w="80" w:type="dxa"/>
            </w:tcMar>
          </w:tcPr>
          <w:p>
            <w:r>
              <w:t>已實作</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一</w:t>
            </w:r>
          </w:p>
        </w:tc>
        <w:tc>
          <w:tcPr>
            <w:tcW w:w="1600" w:type="dxa"/>
            <w:shd w:val="clear" w:color="auto" w:fill="D9E2F3"/>
            <w:tcMar>
              <w:top w:w="40" w:type="dxa"/>
              <w:left w:w="80" w:type="dxa"/>
              <w:bottom w:w="40" w:type="dxa"/>
              <w:right w:w="80" w:type="dxa"/>
            </w:tcMar>
          </w:tcPr>
          <w:p>
            <w:r>
              <w:t>開合跳</w:t>
            </w:r>
          </w:p>
        </w:tc>
        <w:tc>
          <w:tcPr>
            <w:tcW w:w="3600" w:type="dxa"/>
            <w:shd w:val="clear" w:color="auto" w:fill="D9E2F3"/>
            <w:tcMar>
              <w:top w:w="40" w:type="dxa"/>
              <w:left w:w="80" w:type="dxa"/>
              <w:bottom w:w="40" w:type="dxa"/>
              <w:right w:w="80" w:type="dxa"/>
            </w:tcMar>
          </w:tcPr>
          <w:p>
            <w:r>
              <w:t>手過肩、腳距、手腳同步</w:t>
            </w:r>
          </w:p>
        </w:tc>
        <w:tc>
          <w:tcPr>
            <w:tcW w:w="1600" w:type="dxa"/>
            <w:shd w:val="clear" w:color="auto" w:fill="D9E2F3"/>
            <w:tcMar>
              <w:top w:w="40" w:type="dxa"/>
              <w:left w:w="80" w:type="dxa"/>
              <w:bottom w:w="40" w:type="dxa"/>
              <w:right w:w="80" w:type="dxa"/>
            </w:tcMar>
          </w:tcPr>
          <w:p>
            <w:r>
              <w:t>正面</w:t>
            </w:r>
          </w:p>
        </w:tc>
        <w:tc>
          <w:tcPr>
            <w:tcW w:w="2000" w:type="dxa"/>
            <w:shd w:val="clear" w:color="auto" w:fill="D9E2F3"/>
            <w:tcMar>
              <w:top w:w="40" w:type="dxa"/>
              <w:left w:w="80" w:type="dxa"/>
              <w:bottom w:w="40" w:type="dxa"/>
              <w:right w:w="80" w:type="dxa"/>
            </w:tcMar>
          </w:tcPr>
          <w:p>
            <w:r>
              <w:t>已實作</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一</w:t>
            </w:r>
          </w:p>
        </w:tc>
        <w:tc>
          <w:tcPr>
            <w:tcW w:w="1600" w:type="dxa"/>
            <w:shd w:val="clear" w:color="auto" w:fill="D9E2F3"/>
            <w:tcMar>
              <w:top w:w="40" w:type="dxa"/>
              <w:left w:w="80" w:type="dxa"/>
              <w:bottom w:w="40" w:type="dxa"/>
              <w:right w:w="80" w:type="dxa"/>
            </w:tcMar>
          </w:tcPr>
          <w:p>
            <w:r>
              <w:t>高抬腿</w:t>
            </w:r>
          </w:p>
        </w:tc>
        <w:tc>
          <w:tcPr>
            <w:tcW w:w="3600" w:type="dxa"/>
            <w:shd w:val="clear" w:color="auto" w:fill="D9E2F3"/>
            <w:tcMar>
              <w:top w:w="40" w:type="dxa"/>
              <w:left w:w="80" w:type="dxa"/>
              <w:bottom w:w="40" w:type="dxa"/>
              <w:right w:w="80" w:type="dxa"/>
            </w:tcMar>
          </w:tcPr>
          <w:p>
            <w:r>
              <w:t>膝相對髖高度、左右交替</w:t>
            </w:r>
          </w:p>
        </w:tc>
        <w:tc>
          <w:tcPr>
            <w:tcW w:w="1600" w:type="dxa"/>
            <w:shd w:val="clear" w:color="auto" w:fill="D9E2F3"/>
            <w:tcMar>
              <w:top w:w="40" w:type="dxa"/>
              <w:left w:w="80" w:type="dxa"/>
              <w:bottom w:w="40" w:type="dxa"/>
              <w:right w:w="80" w:type="dxa"/>
            </w:tcMar>
          </w:tcPr>
          <w:p>
            <w:r>
              <w:t>正面</w:t>
            </w:r>
          </w:p>
        </w:tc>
        <w:tc>
          <w:tcPr>
            <w:tcW w:w="2000" w:type="dxa"/>
            <w:shd w:val="clear" w:color="auto" w:fill="D9E2F3"/>
            <w:tcMar>
              <w:top w:w="40" w:type="dxa"/>
              <w:left w:w="80" w:type="dxa"/>
              <w:bottom w:w="40" w:type="dxa"/>
              <w:right w:w="80" w:type="dxa"/>
            </w:tcMar>
          </w:tcPr>
          <w:p>
            <w:r>
              <w:t>已實作</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一</w:t>
            </w:r>
          </w:p>
        </w:tc>
        <w:tc>
          <w:tcPr>
            <w:tcW w:w="1600" w:type="dxa"/>
            <w:shd w:val="clear" w:color="auto" w:fill="D9E2F3"/>
            <w:tcMar>
              <w:top w:w="40" w:type="dxa"/>
              <w:left w:w="80" w:type="dxa"/>
              <w:bottom w:w="40" w:type="dxa"/>
              <w:right w:w="80" w:type="dxa"/>
            </w:tcMar>
          </w:tcPr>
          <w:p>
            <w:r>
              <w:t>伏地挺身</w:t>
            </w:r>
          </w:p>
        </w:tc>
        <w:tc>
          <w:tcPr>
            <w:tcW w:w="3600" w:type="dxa"/>
            <w:shd w:val="clear" w:color="auto" w:fill="D9E2F3"/>
            <w:tcMar>
              <w:top w:w="40" w:type="dxa"/>
              <w:left w:w="80" w:type="dxa"/>
              <w:bottom w:w="40" w:type="dxa"/>
              <w:right w:w="80" w:type="dxa"/>
            </w:tcMar>
          </w:tcPr>
          <w:p>
            <w:r>
              <w:t>肘角、軀幹直線</w:t>
            </w:r>
          </w:p>
        </w:tc>
        <w:tc>
          <w:tcPr>
            <w:tcW w:w="1600" w:type="dxa"/>
            <w:shd w:val="clear" w:color="auto" w:fill="D9E2F3"/>
            <w:tcMar>
              <w:top w:w="40" w:type="dxa"/>
              <w:left w:w="80" w:type="dxa"/>
              <w:bottom w:w="40" w:type="dxa"/>
              <w:right w:w="80" w:type="dxa"/>
            </w:tcMar>
          </w:tcPr>
          <w:p>
            <w:r>
              <w:t>側面</w:t>
            </w:r>
          </w:p>
        </w:tc>
        <w:tc>
          <w:tcPr>
            <w:tcW w:w="2000" w:type="dxa"/>
            <w:shd w:val="clear" w:color="auto" w:fill="D9E2F3"/>
            <w:tcMar>
              <w:top w:w="40" w:type="dxa"/>
              <w:left w:w="80" w:type="dxa"/>
              <w:bottom w:w="40" w:type="dxa"/>
              <w:right w:w="80" w:type="dxa"/>
            </w:tcMar>
          </w:tcPr>
          <w:p>
            <w:r>
              <w:t>已實作</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二</w:t>
            </w:r>
          </w:p>
        </w:tc>
        <w:tc>
          <w:tcPr>
            <w:tcW w:w="1600" w:type="dxa"/>
            <w:shd w:val="clear" w:color="auto" w:fill="D9E2F3"/>
            <w:tcMar>
              <w:top w:w="40" w:type="dxa"/>
              <w:left w:w="80" w:type="dxa"/>
              <w:bottom w:w="40" w:type="dxa"/>
              <w:right w:w="80" w:type="dxa"/>
            </w:tcMar>
          </w:tcPr>
          <w:p>
            <w:r>
              <w:t>弓箭步</w:t>
            </w:r>
          </w:p>
        </w:tc>
        <w:tc>
          <w:tcPr>
            <w:tcW w:w="3600" w:type="dxa"/>
            <w:shd w:val="clear" w:color="auto" w:fill="D9E2F3"/>
            <w:tcMar>
              <w:top w:w="40" w:type="dxa"/>
              <w:left w:w="80" w:type="dxa"/>
              <w:bottom w:w="40" w:type="dxa"/>
              <w:right w:w="80" w:type="dxa"/>
            </w:tcMar>
          </w:tcPr>
          <w:p>
            <w:r>
              <w:t>前膝角度、後膝下降、軀幹直立</w:t>
            </w:r>
          </w:p>
        </w:tc>
        <w:tc>
          <w:tcPr>
            <w:tcW w:w="1600" w:type="dxa"/>
            <w:shd w:val="clear" w:color="auto" w:fill="D9E2F3"/>
            <w:tcMar>
              <w:top w:w="40" w:type="dxa"/>
              <w:left w:w="80" w:type="dxa"/>
              <w:bottom w:w="40" w:type="dxa"/>
              <w:right w:w="80" w:type="dxa"/>
            </w:tcMar>
          </w:tcPr>
          <w:p>
            <w:r>
              <w:t>側面</w:t>
            </w:r>
          </w:p>
        </w:tc>
        <w:tc>
          <w:tcPr>
            <w:tcW w:w="2000" w:type="dxa"/>
            <w:shd w:val="clear" w:color="auto" w:fill="D9E2F3"/>
            <w:tcMar>
              <w:top w:w="40" w:type="dxa"/>
              <w:left w:w="80" w:type="dxa"/>
              <w:bottom w:w="40" w:type="dxa"/>
              <w:right w:w="80" w:type="dxa"/>
            </w:tcMar>
          </w:tcPr>
          <w:p>
            <w:r>
              <w:t>規劃中・未完成</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二</w:t>
            </w:r>
          </w:p>
        </w:tc>
        <w:tc>
          <w:tcPr>
            <w:tcW w:w="1600" w:type="dxa"/>
            <w:shd w:val="clear" w:color="auto" w:fill="D9E2F3"/>
            <w:tcMar>
              <w:top w:w="40" w:type="dxa"/>
              <w:left w:w="80" w:type="dxa"/>
              <w:bottom w:w="40" w:type="dxa"/>
              <w:right w:w="80" w:type="dxa"/>
            </w:tcMar>
          </w:tcPr>
          <w:p>
            <w:r>
              <w:t>仰臥起坐</w:t>
            </w:r>
          </w:p>
        </w:tc>
        <w:tc>
          <w:tcPr>
            <w:tcW w:w="3600" w:type="dxa"/>
            <w:shd w:val="clear" w:color="auto" w:fill="D9E2F3"/>
            <w:tcMar>
              <w:top w:w="40" w:type="dxa"/>
              <w:left w:w="80" w:type="dxa"/>
              <w:bottom w:w="40" w:type="dxa"/>
              <w:right w:w="80" w:type="dxa"/>
            </w:tcMar>
          </w:tcPr>
          <w:p>
            <w:r>
              <w:t>軀幹抬起角度、頸部代償</w:t>
            </w:r>
          </w:p>
        </w:tc>
        <w:tc>
          <w:tcPr>
            <w:tcW w:w="1600" w:type="dxa"/>
            <w:shd w:val="clear" w:color="auto" w:fill="D9E2F3"/>
            <w:tcMar>
              <w:top w:w="40" w:type="dxa"/>
              <w:left w:w="80" w:type="dxa"/>
              <w:bottom w:w="40" w:type="dxa"/>
              <w:right w:w="80" w:type="dxa"/>
            </w:tcMar>
          </w:tcPr>
          <w:p>
            <w:r>
              <w:t>側面</w:t>
            </w:r>
          </w:p>
        </w:tc>
        <w:tc>
          <w:tcPr>
            <w:tcW w:w="2000" w:type="dxa"/>
            <w:shd w:val="clear" w:color="auto" w:fill="D9E2F3"/>
            <w:tcMar>
              <w:top w:w="40" w:type="dxa"/>
              <w:left w:w="80" w:type="dxa"/>
              <w:bottom w:w="40" w:type="dxa"/>
              <w:right w:w="80" w:type="dxa"/>
            </w:tcMar>
          </w:tcPr>
          <w:p>
            <w:r>
              <w:t>規劃中・未完成</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三</w:t>
            </w:r>
          </w:p>
        </w:tc>
        <w:tc>
          <w:tcPr>
            <w:tcW w:w="1600" w:type="dxa"/>
            <w:shd w:val="clear" w:color="auto" w:fill="D9E2F3"/>
            <w:tcMar>
              <w:top w:w="40" w:type="dxa"/>
              <w:left w:w="80" w:type="dxa"/>
              <w:bottom w:w="40" w:type="dxa"/>
              <w:right w:w="80" w:type="dxa"/>
            </w:tcMar>
          </w:tcPr>
          <w:p>
            <w:r>
              <w:t>臀橋、波比跳、捲腹、側弓步</w:t>
            </w:r>
          </w:p>
        </w:tc>
        <w:tc>
          <w:tcPr>
            <w:tcW w:w="3600" w:type="dxa"/>
            <w:shd w:val="clear" w:color="auto" w:fill="D9E2F3"/>
            <w:tcMar>
              <w:top w:w="40" w:type="dxa"/>
              <w:left w:w="80" w:type="dxa"/>
              <w:bottom w:w="40" w:type="dxa"/>
              <w:right w:w="80" w:type="dxa"/>
            </w:tcMar>
          </w:tcPr>
          <w:p>
            <w:r>
              <w:t>各具獨立標準卡</w:t>
            </w:r>
          </w:p>
        </w:tc>
        <w:tc>
          <w:tcPr>
            <w:tcW w:w="1600" w:type="dxa"/>
            <w:shd w:val="clear" w:color="auto" w:fill="D9E2F3"/>
            <w:tcMar>
              <w:top w:w="40" w:type="dxa"/>
              <w:left w:w="80" w:type="dxa"/>
              <w:bottom w:w="40" w:type="dxa"/>
              <w:right w:w="80" w:type="dxa"/>
            </w:tcMar>
          </w:tcPr>
          <w:p>
            <w:r>
              <w:t>各動作指定</w:t>
            </w:r>
          </w:p>
        </w:tc>
        <w:tc>
          <w:tcPr>
            <w:tcW w:w="2000" w:type="dxa"/>
            <w:shd w:val="clear" w:color="auto" w:fill="D9E2F3"/>
            <w:tcMar>
              <w:top w:w="40" w:type="dxa"/>
              <w:left w:w="80" w:type="dxa"/>
              <w:bottom w:w="40" w:type="dxa"/>
              <w:right w:w="80" w:type="dxa"/>
            </w:tcMar>
          </w:tcPr>
          <w:p>
            <w:r>
              <w:t>未來藍圖・規劃中</w:t>
            </w:r>
          </w:p>
        </w:tc>
      </w:tr>
    </w:tbl>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界線說明｜各動作共用同一套感知與結算框架，惟每項新增動作均需獨立之判定規則、正負樣本、錯誤詞典與驗證，動作數量不等同於整體完成度。</w:t>
      </w:r>
    </w:p>
    <w:p w14:paraId="5D228AB6" w14:textId="77777777" w:rsidR="00D44DCB" w:rsidRDefault="00000000">
      <w:pPr>
        <w:pStyle w:val="1"/>
        <w:spacing w:before="360" w:after="200" w:line="360" w:lineRule="auto"/>
      </w:pPr>
      <w:r>
        <w:rPr>
          <w:rFonts w:ascii="標楷體" w:eastAsia="標楷體" w:hAnsi="標楷體" w:cs="標楷體"/>
          <w:b/>
          <w:bCs/>
          <w:sz w:val="28"/>
          <w:szCs w:val="32"/>
        </w:rPr>
        <w:t>（四）即時矯正機制</w:t>
      </w:r>
    </w:p>
    <w:p w14:paraId="5D228ABB" w14:textId="77777777" w:rsidR="00D44DCB" w:rsidRDefault="00000000">
      <w:pPr>
        <w:pStyle w:val="2"/>
        <w:spacing w:before="240" w:after="160" w:line="360" w:lineRule="auto"/>
      </w:pPr>
      <w:r>
        <w:rPr>
          <w:rFonts w:ascii="標楷體" w:eastAsia="標楷體" w:hAnsi="標楷體" w:cs="標楷體"/>
          <w:b/>
          <w:bCs/>
        </w:rPr>
        <w:t>1. 使用者在訓練畫面上看到什麼</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訓練進行時，鏡頭畫面上覆蓋一層人形骨架。骨架依身體部位分段著色：動作正確的部位為綠色，開始偏離時轉黃，明確做錯則轉紅。使用者不需要理解任何數值，一眼就能看出「是哪裡出了問題」，而不是只得到一個籠統的分數。</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畫面右側另有一條深度量表，顯示這一下做到什麼程度、距離達標線還有多遠。顏色與量表分開的用意在於：「動作做錯了」與「還沒做到位」是兩件不同的事，前者要修正姿勢，後者只需再往下一點——若混為一談，使用者會不知道該調整什麼。</w:t>
      </w:r>
    </w:p>
    <w:p w14:paraId="5D228ABB" w14:textId="77777777" w:rsidR="00D44DCB" w:rsidRDefault="00000000">
      <w:pPr>
        <w:pStyle w:val="2"/>
        <w:spacing w:before="240" w:after="160" w:line="360" w:lineRule="auto"/>
      </w:pPr>
      <w:r>
        <w:rPr>
          <w:rFonts w:ascii="標楷體" w:eastAsia="標楷體" w:hAnsi="標楷體" w:cs="標楷體"/>
          <w:b/>
          <w:bCs/>
        </w:rPr>
        <w:t>2. 顏色顯示模式</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提供三色、單色與高對比三種模式。</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本作品之預設回饋以綠色與紅色承載最關鍵的語意對立，而該組合恰為色覺缺陷者最不易分辨者。為使核心功能不因使用者之色覺條件而失效，高對比模式改採 Okabe-Ito 色彩通用設計配色（Okabe &amp; Ito, 2008；經 Wong, 2011 推廣），該配色系統之設計目標即為在三種主要色覺缺陷下皆可區分；單色模式則不以色相區分，改以亮度與不透明度呈現，另適用於強光環境。</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界線說明｜配色選用依循上述色彩系統之設計原則，其於實際使用者之辨識效果尚待可用性測試確認。</w:t>
      </w:r>
    </w:p>
    <w:p w14:paraId="5D228ABB" w14:textId="77777777" w:rsidR="00D44DCB" w:rsidRDefault="00000000">
      <w:pPr>
        <w:pStyle w:val="2"/>
        <w:spacing w:before="240" w:after="160" w:line="360" w:lineRule="auto"/>
      </w:pPr>
      <w:r>
        <w:rPr>
          <w:rFonts w:ascii="標楷體" w:eastAsia="標楷體" w:hAnsi="標楷體" w:cs="標楷體"/>
          <w:b/>
          <w:bCs/>
        </w:rPr>
        <w:t>3. 分級語音引導</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危險代償（如塌腰、以彎腰替代下蹲）採高優先級立即播報並中斷當前語句；一般修正指引排入佇列依序播報；結算總評於訓練結束後播報。語音與提示音採不同通道，倒數提示不會打斷口語說明。</w:t>
      </w:r>
    </w:p>
    <w:p w14:paraId="5D228ABB" w14:textId="77777777" w:rsidR="00D44DCB" w:rsidRDefault="00000000">
      <w:pPr>
        <w:pStyle w:val="2"/>
        <w:spacing w:before="240" w:after="160" w:line="360" w:lineRule="auto"/>
      </w:pPr>
      <w:r>
        <w:rPr>
          <w:rFonts w:ascii="標楷體" w:eastAsia="標楷體" w:hAnsi="標楷體" w:cs="標楷體"/>
          <w:b/>
          <w:bCs/>
        </w:rPr>
        <w:t>4. 哪些動作換不到獎勵</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僅有正確動作可換取獎勵」是本作品的核心承諾。以下行為在系統中均無法取得有效次數：原地晃動身體、深蹲只蹲一半、伏地挺身未下壓到底、高抬腿只抬同一隻腳、以超越人體極限的速度連續計次、以及關鍵部位未入鏡時的動作。判定流程為此設有六層把關，逐層檢查關鍵點完整性、可見度、訊號穩定性、動作週期完整性、最深處的姿勢品質與計次間隔：</w:t>
      </w:r>
    </w:p>
    <w:p w14:paraId="5D228ABF" w14:textId="77777777" w:rsidR="00D44DCB" w:rsidRDefault="00000000">
      <w:pPr>
        <w:spacing w:after="120" w:line="360" w:lineRule="auto"/>
        <w:jc w:val="center"/>
      </w:pPr>
      <w:r>
        <w:rPr>
          <w:rFonts w:ascii="新細明體" w:eastAsia="新細明體" w:hAnsi="新細明體" w:cs="新細明體"/>
          <w:b/>
          <w:bCs/>
          <w:sz w:val="24"/>
          <w:szCs w:val="24"/>
        </w:rPr>
        <w:t>表 4-4　有效次數之防護層級</w:t>
      </w:r>
    </w:p>
    <w:tbl>
      <w:tblPr>
        <w:tblW w:w="96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3200"/>
        <w:gridCol w:w="3200"/>
        <w:gridCol w:w="3200"/>
      </w:tblGrid>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層</w:t>
            </w:r>
          </w:p>
        </w:tc>
        <w:tc>
          <w:tcPr>
            <w:tcW w:w="1600" w:type="dxa"/>
            <w:shd w:val="clear" w:color="auto" w:fill="D9E2F3"/>
            <w:tcMar>
              <w:top w:w="40" w:type="dxa"/>
              <w:left w:w="80" w:type="dxa"/>
              <w:bottom w:w="40" w:type="dxa"/>
              <w:right w:w="80" w:type="dxa"/>
            </w:tcMar>
          </w:tcPr>
          <w:p>
            <w:r>
              <w:t>機制</w:t>
            </w:r>
          </w:p>
        </w:tc>
        <w:tc>
          <w:tcPr>
            <w:tcW w:w="3600" w:type="dxa"/>
            <w:shd w:val="clear" w:color="auto" w:fill="D9E2F3"/>
            <w:tcMar>
              <w:top w:w="40" w:type="dxa"/>
              <w:left w:w="80" w:type="dxa"/>
              <w:bottom w:w="40" w:type="dxa"/>
              <w:right w:w="80" w:type="dxa"/>
            </w:tcMar>
          </w:tcPr>
          <w:p>
            <w:r>
              <w:t>阻擋對象</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一</w:t>
            </w:r>
          </w:p>
        </w:tc>
        <w:tc>
          <w:tcPr>
            <w:tcW w:w="1600" w:type="dxa"/>
            <w:shd w:val="clear" w:color="auto" w:fill="D9E2F3"/>
            <w:tcMar>
              <w:top w:w="40" w:type="dxa"/>
              <w:left w:w="80" w:type="dxa"/>
              <w:bottom w:w="40" w:type="dxa"/>
              <w:right w:w="80" w:type="dxa"/>
            </w:tcMar>
          </w:tcPr>
          <w:p>
            <w:r>
              <w:t>關鍵點完整性檢查</w:t>
            </w:r>
          </w:p>
        </w:tc>
        <w:tc>
          <w:tcPr>
            <w:tcW w:w="3600" w:type="dxa"/>
            <w:shd w:val="clear" w:color="auto" w:fill="D9E2F3"/>
            <w:tcMar>
              <w:top w:w="40" w:type="dxa"/>
              <w:left w:w="80" w:type="dxa"/>
              <w:bottom w:w="40" w:type="dxa"/>
              <w:right w:w="80" w:type="dxa"/>
            </w:tcMar>
          </w:tcPr>
          <w:p>
            <w:r>
              <w:t>關鍵部位未入鏡時不予判定</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二</w:t>
            </w:r>
          </w:p>
        </w:tc>
        <w:tc>
          <w:tcPr>
            <w:tcW w:w="1600" w:type="dxa"/>
            <w:shd w:val="clear" w:color="auto" w:fill="D9E2F3"/>
            <w:tcMar>
              <w:top w:w="40" w:type="dxa"/>
              <w:left w:w="80" w:type="dxa"/>
              <w:bottom w:w="40" w:type="dxa"/>
              <w:right w:w="80" w:type="dxa"/>
            </w:tcMar>
          </w:tcPr>
          <w:p>
            <w:r>
              <w:t>可見度門檻</w:t>
            </w:r>
          </w:p>
        </w:tc>
        <w:tc>
          <w:tcPr>
            <w:tcW w:w="3600" w:type="dxa"/>
            <w:shd w:val="clear" w:color="auto" w:fill="D9E2F3"/>
            <w:tcMar>
              <w:top w:w="40" w:type="dxa"/>
              <w:left w:w="80" w:type="dxa"/>
              <w:bottom w:w="40" w:type="dxa"/>
              <w:right w:w="80" w:type="dxa"/>
            </w:tcMar>
          </w:tcPr>
          <w:p>
            <w:r>
              <w:t>遮擋、出框</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三</w:t>
            </w:r>
          </w:p>
        </w:tc>
        <w:tc>
          <w:tcPr>
            <w:tcW w:w="1600" w:type="dxa"/>
            <w:shd w:val="clear" w:color="auto" w:fill="D9E2F3"/>
            <w:tcMar>
              <w:top w:w="40" w:type="dxa"/>
              <w:left w:w="80" w:type="dxa"/>
              <w:bottom w:w="40" w:type="dxa"/>
              <w:right w:w="80" w:type="dxa"/>
            </w:tcMar>
          </w:tcPr>
          <w:p>
            <w:r>
              <w:t>訊號平滑</w:t>
            </w:r>
          </w:p>
        </w:tc>
        <w:tc>
          <w:tcPr>
            <w:tcW w:w="3600" w:type="dxa"/>
            <w:shd w:val="clear" w:color="auto" w:fill="D9E2F3"/>
            <w:tcMar>
              <w:top w:w="40" w:type="dxa"/>
              <w:left w:w="80" w:type="dxa"/>
              <w:bottom w:w="40" w:type="dxa"/>
              <w:right w:w="80" w:type="dxa"/>
            </w:tcMar>
          </w:tcPr>
          <w:p>
            <w:r>
              <w:t>抖動造成之假計次</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四</w:t>
            </w:r>
          </w:p>
        </w:tc>
        <w:tc>
          <w:tcPr>
            <w:tcW w:w="1600" w:type="dxa"/>
            <w:shd w:val="clear" w:color="auto" w:fill="D9E2F3"/>
            <w:tcMar>
              <w:top w:w="40" w:type="dxa"/>
              <w:left w:w="80" w:type="dxa"/>
              <w:bottom w:w="40" w:type="dxa"/>
              <w:right w:w="80" w:type="dxa"/>
            </w:tcMar>
          </w:tcPr>
          <w:p>
            <w:r>
              <w:t>完整週期狀態機</w:t>
            </w:r>
          </w:p>
        </w:tc>
        <w:tc>
          <w:tcPr>
            <w:tcW w:w="3600" w:type="dxa"/>
            <w:shd w:val="clear" w:color="auto" w:fill="D9E2F3"/>
            <w:tcMar>
              <w:top w:w="40" w:type="dxa"/>
              <w:left w:w="80" w:type="dxa"/>
              <w:bottom w:w="40" w:type="dxa"/>
              <w:right w:w="80" w:type="dxa"/>
            </w:tcMar>
          </w:tcPr>
          <w:p>
            <w:r>
              <w:t>未完成完整動作週期</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五</w:t>
            </w:r>
          </w:p>
        </w:tc>
        <w:tc>
          <w:tcPr>
            <w:tcW w:w="1600" w:type="dxa"/>
            <w:shd w:val="clear" w:color="auto" w:fill="D9E2F3"/>
            <w:tcMar>
              <w:top w:w="40" w:type="dxa"/>
              <w:left w:w="80" w:type="dxa"/>
              <w:bottom w:w="40" w:type="dxa"/>
              <w:right w:w="80" w:type="dxa"/>
            </w:tcMar>
          </w:tcPr>
          <w:p>
            <w:r>
              <w:t>品質閘門（動作最深處採樣）</w:t>
            </w:r>
          </w:p>
        </w:tc>
        <w:tc>
          <w:tcPr>
            <w:tcW w:w="3600" w:type="dxa"/>
            <w:shd w:val="clear" w:color="auto" w:fill="D9E2F3"/>
            <w:tcMar>
              <w:top w:w="40" w:type="dxa"/>
              <w:left w:w="80" w:type="dxa"/>
              <w:bottom w:w="40" w:type="dxa"/>
              <w:right w:w="80" w:type="dxa"/>
            </w:tcMar>
          </w:tcPr>
          <w:p>
            <w:r>
              <w:t>半程動作、代償姿勢</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六</w:t>
            </w:r>
          </w:p>
        </w:tc>
        <w:tc>
          <w:tcPr>
            <w:tcW w:w="1600" w:type="dxa"/>
            <w:shd w:val="clear" w:color="auto" w:fill="D9E2F3"/>
            <w:tcMar>
              <w:top w:w="40" w:type="dxa"/>
              <w:left w:w="80" w:type="dxa"/>
              <w:bottom w:w="40" w:type="dxa"/>
              <w:right w:w="80" w:type="dxa"/>
            </w:tcMar>
          </w:tcPr>
          <w:p>
            <w:r>
              <w:t>計次冷卻</w:t>
            </w:r>
          </w:p>
        </w:tc>
        <w:tc>
          <w:tcPr>
            <w:tcW w:w="3600" w:type="dxa"/>
            <w:shd w:val="clear" w:color="auto" w:fill="D9E2F3"/>
            <w:tcMar>
              <w:top w:w="40" w:type="dxa"/>
              <w:left w:w="80" w:type="dxa"/>
              <w:bottom w:w="40" w:type="dxa"/>
              <w:right w:w="80" w:type="dxa"/>
            </w:tcMar>
          </w:tcPr>
          <w:p>
            <w:r>
              <w:t>超越人類生理極限之重複計次</w:t>
            </w:r>
          </w:p>
        </w:tc>
      </w:tr>
    </w:tbl>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未觀察影格處理｜一次動作進行中若出現任何未被判定到的影格，該次一律不計為有效。設計理由為：未被觀察之瞬間可能存在姿勢錯誤，未經完整觀察即予通過等同放行。</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交替動作之回溯機制｜需左右交替之動作，其第一次動作無前例可資比對。本作品採回溯撤銷設計：第一次先行計入但標記為未經證實，若次一動作仍為同側，則連同第一次一併作廢。此設計使單側連續動作無法取得任何有效次數，而正常交替之使用者不受影響。</w:t>
      </w:r>
    </w:p>
    <w:p w14:paraId="5D228ABB" w14:textId="77777777" w:rsidR="00D44DCB" w:rsidRDefault="00000000">
      <w:pPr>
        <w:pStyle w:val="2"/>
        <w:spacing w:before="240" w:after="160" w:line="360" w:lineRule="auto"/>
      </w:pPr>
      <w:r>
        <w:rPr>
          <w:rFonts w:ascii="標楷體" w:eastAsia="標楷體" w:hAnsi="標楷體" w:cs="標楷體"/>
          <w:b/>
          <w:bCs/>
        </w:rPr>
        <w:t>5. 取景把關</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辨識品質之前提為輸入品質。訓練開始前設有取景檢查關卡，逐項確認關鍵部位入鏡；訓練過程中若取景條件劣化，系統凍結判定並提示，而非於不可信之輸入上勉強給出結果。同時提供逃生出口，避免使用者因取景條件無法達成而受困。</w:t>
      </w:r>
    </w:p>
    <w:p w14:paraId="5D228AB6" w14:textId="77777777" w:rsidR="00D44DCB" w:rsidRDefault="00000000">
      <w:pPr>
        <w:pStyle w:val="1"/>
        <w:spacing w:before="360" w:after="200" w:line="360" w:lineRule="auto"/>
      </w:pPr>
      <w:r>
        <w:rPr>
          <w:rFonts w:ascii="標楷體" w:eastAsia="標楷體" w:hAnsi="標楷體" w:cs="標楷體"/>
          <w:b/>
          <w:bCs/>
          <w:sz w:val="28"/>
          <w:szCs w:val="32"/>
        </w:rPr>
        <w:t>（五）訓練結算與量化指標</w:t>
      </w:r>
    </w:p>
    <w:p w14:paraId="5D228ABB" w14:textId="77777777" w:rsidR="00D44DCB" w:rsidRDefault="00000000">
      <w:pPr>
        <w:pStyle w:val="2"/>
        <w:spacing w:before="240" w:after="160" w:line="360" w:lineRule="auto"/>
      </w:pPr>
      <w:r>
        <w:rPr>
          <w:rFonts w:ascii="標楷體" w:eastAsia="標楷體" w:hAnsi="標楷體" w:cs="標楷體"/>
          <w:b/>
          <w:bCs/>
        </w:rPr>
        <w:t>1. 兩幕式結算</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第一幕｜成績單：有效與無效次數分開呈現、姿勢達標率、實際訓練時間、本次主要問題、常見錯誤統計、綜合評級。有效與無效分開呈現為刻意設計——使用者需要看見「做了 30 次，其中 22 次有效」，而非模糊的總數。</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第二幕｜獎勵轉換：金幣數字滾動、金幣飛向島嶼、建設進度推進。此幕承擔將數值轉為可感知回饋之功能。演出支援跳過，並尊重系統之減少動態效果設定。</w:t>
      </w:r>
    </w:p>
    <w:p w14:paraId="5D228ABB" w14:textId="77777777" w:rsidR="00D44DCB" w:rsidRDefault="00000000">
      <w:pPr>
        <w:pStyle w:val="2"/>
        <w:spacing w:before="240" w:after="160" w:line="360" w:lineRule="auto"/>
      </w:pPr>
      <w:r>
        <w:rPr>
          <w:rFonts w:ascii="標楷體" w:eastAsia="標楷體" w:hAnsi="標楷體" w:cs="標楷體"/>
          <w:b/>
          <w:bCs/>
        </w:rPr>
        <w:t>2. 訓練後呈現的數據</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結算頁與健康頁所呈現的每一項數據，均由系統逐次判定累計而得，使用者可回溯任何一次動作被判定為有效或無效的原因。</w:t>
      </w:r>
    </w:p>
    <w:p w14:paraId="5D228ABF" w14:textId="77777777" w:rsidR="00D44DCB" w:rsidRDefault="00000000">
      <w:pPr>
        <w:spacing w:after="120" w:line="360" w:lineRule="auto"/>
        <w:jc w:val="center"/>
      </w:pPr>
      <w:r>
        <w:rPr>
          <w:rFonts w:ascii="新細明體" w:eastAsia="新細明體" w:hAnsi="新細明體" w:cs="新細明體"/>
          <w:b/>
          <w:bCs/>
          <w:sz w:val="24"/>
          <w:szCs w:val="24"/>
        </w:rPr>
        <w:t>表 4-5　可追溯之量化指標與計算方式</w:t>
      </w:r>
    </w:p>
    <w:tbl>
      <w:tblPr>
        <w:tblW w:w="96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4800"/>
        <w:gridCol w:w="4800"/>
      </w:tblGrid>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指標</w:t>
            </w:r>
          </w:p>
        </w:tc>
        <w:tc>
          <w:tcPr>
            <w:tcW w:w="1600" w:type="dxa"/>
            <w:shd w:val="clear" w:color="auto" w:fill="D9E2F3"/>
            <w:tcMar>
              <w:top w:w="40" w:type="dxa"/>
              <w:left w:w="80" w:type="dxa"/>
              <w:bottom w:w="40" w:type="dxa"/>
              <w:right w:w="80" w:type="dxa"/>
            </w:tcMar>
          </w:tcPr>
          <w:p>
            <w:r>
              <w:t>計算方式</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有效／無效次數</w:t>
            </w:r>
          </w:p>
        </w:tc>
        <w:tc>
          <w:tcPr>
            <w:tcW w:w="1600" w:type="dxa"/>
            <w:shd w:val="clear" w:color="auto" w:fill="D9E2F3"/>
            <w:tcMar>
              <w:top w:w="40" w:type="dxa"/>
              <w:left w:w="80" w:type="dxa"/>
              <w:bottom w:w="40" w:type="dxa"/>
              <w:right w:w="80" w:type="dxa"/>
            </w:tcMar>
          </w:tcPr>
          <w:p>
            <w:r>
              <w:t>逐次判定累計，每次均可追溯判定原因</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姿勢達標率</w:t>
            </w:r>
          </w:p>
        </w:tc>
        <w:tc>
          <w:tcPr>
            <w:tcW w:w="1600" w:type="dxa"/>
            <w:shd w:val="clear" w:color="auto" w:fill="D9E2F3"/>
            <w:tcMar>
              <w:top w:w="40" w:type="dxa"/>
              <w:left w:w="80" w:type="dxa"/>
              <w:bottom w:w="40" w:type="dxa"/>
              <w:right w:w="80" w:type="dxa"/>
            </w:tcMar>
          </w:tcPr>
          <w:p>
            <w:r>
              <w:t>有效次數 ÷ 總嘗試次數</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錯誤類型分佈</w:t>
            </w:r>
          </w:p>
        </w:tc>
        <w:tc>
          <w:tcPr>
            <w:tcW w:w="1600" w:type="dxa"/>
            <w:shd w:val="clear" w:color="auto" w:fill="D9E2F3"/>
            <w:tcMar>
              <w:top w:w="40" w:type="dxa"/>
              <w:left w:w="80" w:type="dxa"/>
              <w:bottom w:w="40" w:type="dxa"/>
              <w:right w:w="80" w:type="dxa"/>
            </w:tcMar>
          </w:tcPr>
          <w:p>
            <w:r>
              <w:t>每次無效均記錄具體錯誤代碼</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實際訓練時間</w:t>
            </w:r>
          </w:p>
        </w:tc>
        <w:tc>
          <w:tcPr>
            <w:tcW w:w="1600" w:type="dxa"/>
            <w:shd w:val="clear" w:color="auto" w:fill="D9E2F3"/>
            <w:tcMar>
              <w:top w:w="40" w:type="dxa"/>
              <w:left w:w="80" w:type="dxa"/>
              <w:bottom w:w="40" w:type="dxa"/>
              <w:right w:w="80" w:type="dxa"/>
            </w:tcMar>
          </w:tcPr>
          <w:p>
            <w:r>
              <w:t>累計運動時間，不含休息與暫停</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連續運動天數</w:t>
            </w:r>
          </w:p>
        </w:tc>
        <w:tc>
          <w:tcPr>
            <w:tcW w:w="1600" w:type="dxa"/>
            <w:shd w:val="clear" w:color="auto" w:fill="D9E2F3"/>
            <w:tcMar>
              <w:top w:w="40" w:type="dxa"/>
              <w:left w:w="80" w:type="dxa"/>
              <w:bottom w:w="40" w:type="dxa"/>
              <w:right w:w="80" w:type="dxa"/>
            </w:tcMar>
          </w:tcPr>
          <w:p>
            <w:r>
              <w:t>須當日有效次數達門檻方予計入</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動作品質趨勢</w:t>
            </w:r>
          </w:p>
        </w:tc>
        <w:tc>
          <w:tcPr>
            <w:tcW w:w="1600" w:type="dxa"/>
            <w:shd w:val="clear" w:color="auto" w:fill="D9E2F3"/>
            <w:tcMar>
              <w:top w:w="40" w:type="dxa"/>
              <w:left w:w="80" w:type="dxa"/>
              <w:bottom w:w="40" w:type="dxa"/>
              <w:right w:w="80" w:type="dxa"/>
            </w:tcMar>
          </w:tcPr>
          <w:p>
            <w:r>
              <w:t>達標率之時間序列</w:t>
            </w:r>
          </w:p>
        </w:tc>
      </w:tr>
    </w:tbl>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界線說明｜上述指標均為計數與比值，其數值本身精確無誤。惟「達標率高」是否等同「動作品質好」，取決於判定門檻是否設定得當——此問題由三級溯源制度與真人樣本驗證處理，不由指標本身回答。</w:t>
      </w:r>
    </w:p>
    <w:p w14:paraId="5D228ABB" w14:textId="77777777" w:rsidR="00D44DCB" w:rsidRDefault="00000000">
      <w:pPr>
        <w:pStyle w:val="2"/>
        <w:spacing w:before="240" w:after="160" w:line="360" w:lineRule="auto"/>
      </w:pPr>
      <w:r>
        <w:rPr>
          <w:rFonts w:ascii="標楷體" w:eastAsia="標楷體" w:hAnsi="標楷體" w:cs="標楷體"/>
          <w:b/>
          <w:bCs/>
        </w:rPr>
        <w:t>3. 資源產出</w:t>
      </w:r>
    </w:p>
    <w:p w14:paraId="5D228ABF" w14:textId="77777777" w:rsidR="00D44DCB" w:rsidRDefault="00000000">
      <w:pPr>
        <w:spacing w:after="120" w:line="360" w:lineRule="auto"/>
        <w:jc w:val="center"/>
      </w:pPr>
      <w:r>
        <w:rPr>
          <w:rFonts w:ascii="新細明體" w:eastAsia="新細明體" w:hAnsi="新細明體" w:cs="新細明體"/>
          <w:b/>
          <w:bCs/>
          <w:sz w:val="24"/>
          <w:szCs w:val="24"/>
        </w:rPr>
        <w:t>表 4-6　資源產出規則</w:t>
      </w:r>
    </w:p>
    <w:tbl>
      <w:tblPr>
        <w:tblW w:w="96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3200"/>
        <w:gridCol w:w="3200"/>
        <w:gridCol w:w="3200"/>
      </w:tblGrid>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資源</w:t>
            </w:r>
          </w:p>
        </w:tc>
        <w:tc>
          <w:tcPr>
            <w:tcW w:w="1600" w:type="dxa"/>
            <w:shd w:val="clear" w:color="auto" w:fill="D9E2F3"/>
            <w:tcMar>
              <w:top w:w="40" w:type="dxa"/>
              <w:left w:w="80" w:type="dxa"/>
              <w:bottom w:w="40" w:type="dxa"/>
              <w:right w:w="80" w:type="dxa"/>
            </w:tcMar>
          </w:tcPr>
          <w:p>
            <w:r>
              <w:t>產出條件</w:t>
            </w:r>
          </w:p>
        </w:tc>
        <w:tc>
          <w:tcPr>
            <w:tcW w:w="3600" w:type="dxa"/>
            <w:shd w:val="clear" w:color="auto" w:fill="D9E2F3"/>
            <w:tcMar>
              <w:top w:w="40" w:type="dxa"/>
              <w:left w:w="80" w:type="dxa"/>
              <w:bottom w:w="40" w:type="dxa"/>
              <w:right w:w="80" w:type="dxa"/>
            </w:tcMar>
          </w:tcPr>
          <w:p>
            <w:r>
              <w:t>計算方式</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金幣</w:t>
            </w:r>
          </w:p>
        </w:tc>
        <w:tc>
          <w:tcPr>
            <w:tcW w:w="1600" w:type="dxa"/>
            <w:shd w:val="clear" w:color="auto" w:fill="D9E2F3"/>
            <w:tcMar>
              <w:top w:w="40" w:type="dxa"/>
              <w:left w:w="80" w:type="dxa"/>
              <w:bottom w:w="40" w:type="dxa"/>
              <w:right w:w="80" w:type="dxa"/>
            </w:tcMar>
          </w:tcPr>
          <w:p>
            <w:r>
              <w:t>有效次數</w:t>
            </w:r>
          </w:p>
        </w:tc>
        <w:tc>
          <w:tcPr>
            <w:tcW w:w="3600" w:type="dxa"/>
            <w:shd w:val="clear" w:color="auto" w:fill="D9E2F3"/>
            <w:tcMar>
              <w:top w:w="40" w:type="dxa"/>
              <w:left w:w="80" w:type="dxa"/>
              <w:bottom w:w="40" w:type="dxa"/>
              <w:right w:w="80" w:type="dxa"/>
            </w:tcMar>
          </w:tcPr>
          <w:p>
            <w:r>
              <w:t>有效次數 × 單次金幣 × 達標率加成 × 連續天數加成</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經驗值</w:t>
            </w:r>
          </w:p>
        </w:tc>
        <w:tc>
          <w:tcPr>
            <w:tcW w:w="1600" w:type="dxa"/>
            <w:shd w:val="clear" w:color="auto" w:fill="D9E2F3"/>
            <w:tcMar>
              <w:top w:w="40" w:type="dxa"/>
              <w:left w:w="80" w:type="dxa"/>
              <w:bottom w:w="40" w:type="dxa"/>
              <w:right w:w="80" w:type="dxa"/>
            </w:tcMar>
          </w:tcPr>
          <w:p>
            <w:r>
              <w:t>有效次數</w:t>
            </w:r>
          </w:p>
        </w:tc>
        <w:tc>
          <w:tcPr>
            <w:tcW w:w="3600" w:type="dxa"/>
            <w:shd w:val="clear" w:color="auto" w:fill="D9E2F3"/>
            <w:tcMar>
              <w:top w:w="40" w:type="dxa"/>
              <w:left w:w="80" w:type="dxa"/>
              <w:bottom w:w="40" w:type="dxa"/>
              <w:right w:w="80" w:type="dxa"/>
            </w:tcMar>
          </w:tcPr>
          <w:p>
            <w:r>
              <w:t>有效次數 × 固定值，只增不減</w:t>
            </w:r>
          </w:p>
        </w:tc>
      </w:tr>
    </w:tbl>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加成設有上限（達標率加成 0.8 至 1.2 倍、連續天數加成上限百分之十四）。設定上限之目的為避免刷幣與過度運動——本作品鼓勵規律運動，而非鼓勵超量運動。</w:t>
      </w:r>
    </w:p>
    <w:p w14:paraId="5D228ABB" w14:textId="77777777" w:rsidR="00D44DCB" w:rsidRDefault="00000000">
      <w:pPr>
        <w:pStyle w:val="2"/>
        <w:spacing w:before="240" w:after="160" w:line="360" w:lineRule="auto"/>
      </w:pPr>
      <w:r>
        <w:rPr>
          <w:rFonts w:ascii="標楷體" w:eastAsia="標楷體" w:hAnsi="標楷體" w:cs="標楷體"/>
          <w:b/>
          <w:bCs/>
        </w:rPr>
        <w:t>（六）操作介面</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待補。（兩端系統尚未完成合併，介面圖俟整合後補入。各分頁之組成與操作流程詳見下節。）</w:t>
      </w:r>
    </w:p>
    <w:p w14:paraId="5D228AB6" w14:textId="77777777" w:rsidR="00D44DCB" w:rsidRDefault="00000000">
      <w:pPr>
        <w:pStyle w:val="1"/>
        <w:spacing w:before="360" w:after="200" w:line="360" w:lineRule="auto"/>
      </w:pPr>
      <w:r>
        <w:rPr>
          <w:rFonts w:ascii="標楷體" w:eastAsia="標楷體" w:hAnsi="標楷體" w:cs="標楷體"/>
          <w:b/>
          <w:bCs/>
          <w:sz w:val="28"/>
          <w:szCs w:val="32"/>
        </w:rPr>
        <w:t>（七）各分頁規格</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今日分頁｜問候與日期、今日任務卡（任務描述、進度環、連續天數、當日訓練分鐘）、島嶼入口卡、本週目標卡（已訓練天數／目標天數、七日足跡）、主要行動按鈕。首屏僅設一個主要行動按鈕，各卡片之空狀態均指向下一步。</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訓練分頁｜分類選擇或搜尋 → 動作列表 → 動作簡介頁 → 暖身（可開關）→ 取景檢查關卡 → 訓練主畫面 → 兩幕式結算 → 再一次或退出。訓練主畫面含攝影機畫面與分段骨架疊圖、倒數光環、組數資訊、深度量表、即時達標率、控制項；追蹤狀態常駐顯示，使用者隨時可知系統是否正在辨識。</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訓練主畫面的配置為：中央是攝影機畫面與分段骨架疊圖，四周邊框是一圈倒數光環隨剩餘時間縮減，上方顯示動作名稱與目前組數，右側是深度量表，下方一列顯示已訓練時間、完成次數與即時達標率。畫面左上角常駐一枚追蹤狀態標示，明確告知系統當下是「尋找中」、「入鏡不完整」或「追蹤中」——使用者隨時知道系統有沒有在看，不會對著鏡頭做半天才發現沒被偵測到。進入訓練後底部分頁列自動隱藏，避免動作過程中誤觸切頁。</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健康分頁｜統計卡（本週運動分鐘、累積有效次數、平均達標率、連續天數）、本週與上週對比、每日運動時長、動作品質趨勢、整體達標率、常見錯誤分佈、最近訓練紀錄。常見錯誤分佈為本作品特有之指標，使用者所見不僅是運動時長，更包含動作品質的變化。</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設定分頁｜身體數據（影響體型正規化之計算基準）、每日與每週目標、顏色顯示模式、語音與音效、難度、隱私與資料匯出／匯入／清除。各項設定均實際生效。</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島嶼分頁｜由遊戲端提供，介面規格詳見遊戲端章節。</w:t>
      </w:r>
    </w:p>
    <w:p w14:paraId="5D228AB6" w14:textId="77777777" w:rsidR="00D44DCB" w:rsidRDefault="00000000">
      <w:pPr>
        <w:pStyle w:val="1"/>
        <w:spacing w:before="360" w:after="200" w:line="360" w:lineRule="auto"/>
      </w:pPr>
      <w:r>
        <w:rPr>
          <w:rFonts w:ascii="標楷體" w:eastAsia="標楷體" w:hAnsi="標楷體" w:cs="標楷體"/>
          <w:b/>
          <w:bCs/>
          <w:sz w:val="28"/>
          <w:szCs w:val="32"/>
        </w:rPr>
        <w:t>（八）兩端整合規格</w:t>
      </w:r>
    </w:p>
    <w:p w14:paraId="5D228ABB" w14:textId="77777777" w:rsidR="00D44DCB" w:rsidRDefault="00000000">
      <w:pPr>
        <w:pStyle w:val="2"/>
        <w:spacing w:before="240" w:after="160" w:line="360" w:lineRule="auto"/>
      </w:pPr>
      <w:r>
        <w:rPr>
          <w:rFonts w:ascii="標楷體" w:eastAsia="標楷體" w:hAnsi="標楷體" w:cs="標楷體"/>
          <w:b/>
          <w:bCs/>
        </w:rPr>
        <w:t>1. 整合形式</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兩端合併為單一網站應用程式交付。遊戲端提供完整專案原始碼，由健身端執行整合。整合後為同一份程式，模組間以函式呼叫溝通，不涉及網路請求，故無網路延遲、無連線失敗風險、無伺服器成本。</w:t>
      </w:r>
    </w:p>
    <w:p w14:paraId="5D228ABB" w14:textId="77777777" w:rsidR="00D44DCB" w:rsidRDefault="00000000">
      <w:pPr>
        <w:pStyle w:val="2"/>
        <w:spacing w:before="240" w:after="160" w:line="360" w:lineRule="auto"/>
      </w:pPr>
      <w:r>
        <w:rPr>
          <w:rFonts w:ascii="標楷體" w:eastAsia="標楷體" w:hAnsi="標楷體" w:cs="標楷體"/>
          <w:b/>
          <w:bCs/>
        </w:rPr>
        <w:t>2. 資源存取介面</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遊戲端可取用之介面包含：讀取金幣、讀取等級與經驗值、扣減金幣、監聽數值變動、讀取連續運動天數。</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介面中不存在增加金幣之方法。 金幣之增加僅能透過訓練結算函式，此為「金幣僅由 AI 驗證產生」在架構層面之實現——非依約定，而是以介面設計使違規成為不可能。　各項連動資源（金幣、經驗值、碎片、抽獎券）之來源限制與顯示範圍，詳見第六章「金幣與經驗值對接」及「結算畫面」。</w:t>
      </w:r>
    </w:p>
    <w:p w14:paraId="5D228ABB" w14:textId="77777777" w:rsidR="00D44DCB" w:rsidRDefault="00000000">
      <w:pPr>
        <w:pStyle w:val="2"/>
        <w:spacing w:before="240" w:after="160" w:line="360" w:lineRule="auto"/>
      </w:pPr>
      <w:r>
        <w:rPr>
          <w:rFonts w:ascii="標楷體" w:eastAsia="標楷體" w:hAnsi="標楷體" w:cs="標楷體"/>
          <w:b/>
          <w:bCs/>
        </w:rPr>
        <w:t>3. 隱私設計</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原始鏡頭影像不離開使用者裝置，不進入任何資料庫；遊戲端僅接收整理後之結算數值；個人存檔與去識別化之整體分析資料分開管理；資料蒐集採使用者同意原則，並提供完整匯出與刪除。</w:t>
      </w:r>
    </w:p>
    <w:p w14:paraId="5D228ABB" w14:textId="77777777" w:rsidR="00D44DCB" w:rsidRDefault="00000000">
      <w:pPr>
        <w:pStyle w:val="2"/>
        <w:spacing w:before="240" w:after="160" w:line="360" w:lineRule="auto"/>
      </w:pPr>
      <w:r>
        <w:rPr>
          <w:rFonts w:ascii="標楷體" w:eastAsia="標楷體" w:hAnsi="標楷體" w:cs="標楷體"/>
          <w:b/>
          <w:bCs/>
        </w:rPr>
        <w:t>4. 整合驗收標準</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訓練取得金幣後切換至島嶼分頁數值即正確、島嶼消費後健身端同步減少、餘額不足時正確擋下且不發放商品、兩分頁反覆切換後辨識維持穩定、自動化測試全數通過。</w:t>
      </w:r>
    </w:p>
    <w:p w14:paraId="5D228AB1" w14:textId="77777777" w:rsidR="00D44DCB" w:rsidRDefault="00D44DCB">
      <w:pPr>
        <w:pageBreakBefore/>
      </w:pPr>
    </w:p>
    <w:p w14:paraId="5D228AB6" w14:textId="77777777" w:rsidR="00D44DCB" w:rsidRDefault="00000000">
      <w:pPr>
        <w:pStyle w:val="1"/>
        <w:spacing w:before="360" w:after="200" w:line="360" w:lineRule="auto"/>
      </w:pPr>
      <w:r>
        <w:rPr>
          <w:rFonts w:ascii="標楷體" w:eastAsia="標楷體" w:hAnsi="標楷體" w:cs="標楷體"/>
          <w:b/>
          <w:bCs/>
          <w:i w:val="0"/>
          <w:sz w:val="28"/>
          <w:szCs w:val="32"/>
        </w:rPr>
        <w:t>本章引用文獻（APA 第 7 版，請併入第十章「參考文獻」，不計入本章頁數）</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Conroy, D. E., Yang, C.-H., &amp; Maher, J. P. (2014). Behavior change techniques in top-ranked mobile apps for physical activity. </w:t>
      </w:r>
      <w:r>
        <w:rPr>
          <w:rFonts w:ascii="新細明體" w:eastAsia="新細明體" w:hAnsi="新細明體" w:cs="新細明體"/>
          <w:i/>
        </w:rPr>
        <w:t>American Journal of Preventive Medicine, 46</w:t>
      </w:r>
      <w:r>
        <w:rPr>
          <w:rFonts w:ascii="新細明體" w:eastAsia="新細明體" w:hAnsi="新細明體" w:cs="新細明體"/>
          <w:i w:val="0"/>
        </w:rPr>
        <w:t>(6), 649–652. https://doi.org/10.1016/j.amepre.2014.01.010</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Jaiswal, A., Chauhan, G., &amp; Srivastava, N. (2023). Using learnable physics for real-time exercise form recommendations. In </w:t>
      </w:r>
      <w:r>
        <w:rPr>
          <w:rFonts w:ascii="新細明體" w:eastAsia="新細明體" w:hAnsi="新細明體" w:cs="新細明體"/>
          <w:i/>
        </w:rPr>
        <w:t>Proceedings of the 17th ACM Conference on Recommender Systems</w:t>
      </w:r>
      <w:r>
        <w:rPr>
          <w:rFonts w:ascii="新細明體" w:eastAsia="新細明體" w:hAnsi="新細明體" w:cs="新細明體"/>
          <w:i w:val="0"/>
        </w:rPr>
        <w:t xml:space="preserve"> (pp. 688–695). Association for Computing Machinery. https://doi.org/10.1145/3604915.3608816</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Locke, E. A., &amp; Latham, G. P. (2002). Building a practically useful theory of goal setting and task motivation: A 35-year odyssey. </w:t>
      </w:r>
      <w:r>
        <w:rPr>
          <w:rFonts w:ascii="新細明體" w:eastAsia="新細明體" w:hAnsi="新細明體" w:cs="新細明體"/>
          <w:i/>
        </w:rPr>
        <w:t>American Psychologist, 57</w:t>
      </w:r>
      <w:r>
        <w:rPr>
          <w:rFonts w:ascii="新細明體" w:eastAsia="新細明體" w:hAnsi="新細明體" w:cs="新細明體"/>
          <w:i w:val="0"/>
        </w:rPr>
        <w:t>(9), 705–717. https://doi.org/10.1037/0003-066X.57.9.705</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Okabe, M., &amp; Ito, K. (2008). </w:t>
      </w:r>
      <w:r>
        <w:rPr>
          <w:rFonts w:ascii="新細明體" w:eastAsia="新細明體" w:hAnsi="新細明體" w:cs="新細明體"/>
          <w:i/>
        </w:rPr>
        <w:t>Color universal design (CUD): How to make figures and presentations that are friendly to colorblind people</w:t>
      </w:r>
      <w:r>
        <w:rPr>
          <w:rFonts w:ascii="新細明體" w:eastAsia="新細明體" w:hAnsi="新細明體" w:cs="新細明體"/>
          <w:i w:val="0"/>
        </w:rPr>
        <w:t>. Jikei Medical School / University of Tokyo.</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Ryan, R. M., &amp; Deci, E. L. (2000). Self-determination theory and the facilitation of intrinsic motivation, social development, and well-being. </w:t>
      </w:r>
      <w:r>
        <w:rPr>
          <w:rFonts w:ascii="新細明體" w:eastAsia="新細明體" w:hAnsi="新細明體" w:cs="新細明體"/>
          <w:i/>
        </w:rPr>
        <w:t>American Psychologist, 55</w:t>
      </w:r>
      <w:r>
        <w:rPr>
          <w:rFonts w:ascii="新細明體" w:eastAsia="新細明體" w:hAnsi="新細明體" w:cs="新細明體"/>
          <w:i w:val="0"/>
        </w:rPr>
        <w:t>(1), 68–78. https://doi.org/10.1037/0003-066X.55.1.68</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Wong, B. (2011). Points of view: Color blindness. </w:t>
      </w:r>
      <w:r>
        <w:rPr>
          <w:rFonts w:ascii="新細明體" w:eastAsia="新細明體" w:hAnsi="新細明體" w:cs="新細明體"/>
          <w:i/>
        </w:rPr>
        <w:t>Nature Methods, 8</w:t>
      </w:r>
      <w:r>
        <w:rPr>
          <w:rFonts w:ascii="新細明體" w:eastAsia="新細明體" w:hAnsi="新細明體" w:cs="新細明體"/>
          <w:i w:val="0"/>
        </w:rPr>
        <w:t>(6), 441. https://doi.org/10.1038/nmeth.1618</w:t>
      </w:r>
    </w:p>
    <w:p w14:paraId="5D228AB2" w14:textId="77777777" w:rsidR="00D44DCB" w:rsidRDefault="00000000">
      <w:pPr>
        <w:spacing w:after="200" w:line="360" w:lineRule="auto"/>
        <w:jc w:val="center"/>
      </w:pPr>
      <w:r>
        <w:rPr>
          <w:rFonts w:ascii="標楷體" w:eastAsia="標楷體" w:hAnsi="標楷體" w:cs="標楷體"/>
          <w:b/>
          <w:bCs/>
          <w:sz w:val="32"/>
          <w:szCs w:val="32"/>
        </w:rPr>
        <w:t>六、預期結果、用途、影響及效益</w:t>
      </w:r>
    </w:p>
    <w:p w14:paraId="5D228AB3" w14:textId="77777777" w:rsidR="00D44DCB" w:rsidRDefault="00000000">
      <w:pPr>
        <w:spacing w:after="200" w:line="360" w:lineRule="auto"/>
        <w:jc w:val="center"/>
      </w:pPr>
      <w:r>
        <w:rPr>
          <w:rFonts w:ascii="新細明體" w:eastAsia="新細明體" w:hAnsi="新細明體" w:cs="新細明體"/>
          <w:sz w:val="26"/>
          <w:szCs w:val="26"/>
        </w:rPr>
        <w:t>整合版本｜納入網站遊戲未完成之規劃項目</w:t>
      </w:r>
    </w:p>
    <w:p w14:paraId="5D228AB4" w14:textId="77777777" w:rsidR="00D44DCB" w:rsidRDefault="00000000">
      <w:pPr>
        <w:spacing w:after="120" w:line="360" w:lineRule="auto"/>
        <w:ind w:firstLine="480"/>
        <w:jc w:val="both"/>
      </w:pPr>
      <w:r>
        <w:rPr>
          <w:rFonts w:ascii="新細明體" w:eastAsia="新細明體" w:hAnsi="新細明體" w:cs="新細明體"/>
          <w:sz w:val="24"/>
          <w:szCs w:val="24"/>
        </w:rPr>
        <w:t>本作品以網站遊戲與健身影像辨識系統的整合為核心，讓使用者在網站中進行健身流程、查看訓練結果與紀錄，並透過角色、島嶼、獎勵、互動及進度呈現增加參與感。本章同時納入現有系統資料與團隊提出的網站遊戲後續規劃，說明整合版本完成後的預期結果、用途、影響與效益。</w:t>
      </w:r>
    </w:p>
    <w:p w14:paraId="5D228AB5" w14:textId="77777777" w:rsidR="00D44DCB" w:rsidRDefault="00000000">
      <w:pPr>
        <w:spacing w:after="120" w:line="360" w:lineRule="auto"/>
      </w:pPr>
      <w:r>
        <w:rPr>
          <w:rFonts w:ascii="新細明體" w:eastAsia="新細明體" w:hAnsi="新細明體" w:cs="新細明體"/>
          <w:b/>
          <w:bCs/>
          <w:sz w:val="18"/>
          <w:szCs w:val="24"/>
        </w:rPr>
        <w:t>範圍與狀態說明｜網站遊戲與健身影像辨識目前仍處於開發及整合階段。附件所列人物、介面、提醒、懲罰、NPC、載入畫面與引導等內容均為尚未完成的規劃；碎片機制僅屬團隊表示約九成可能納入的高機率構想，詳細機制尚未定案。所有效果仍須待設計、實作與測試後確認。</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健身辨識端範圍說明｜本章所述之整合成果與部分功能仍處開發階段。凡標示「規劃中」或「未來藍圖」者均為尚未完成之項目，其效果須待實作與測試後確認。本章不預先宣稱辨識準確率、習慣養成幅度、醫療效果或健康改善成效。</w:t>
      </w:r>
    </w:p>
    <w:p w14:paraId="5D228AB6" w14:textId="77777777" w:rsidR="00D44DCB" w:rsidRDefault="00000000">
      <w:pPr>
        <w:pStyle w:val="1"/>
        <w:spacing w:before="360" w:after="200" w:line="360" w:lineRule="auto"/>
      </w:pPr>
      <w:r>
        <w:rPr>
          <w:rFonts w:ascii="標楷體" w:eastAsia="標楷體" w:hAnsi="標楷體" w:cs="標楷體"/>
          <w:b/>
          <w:bCs/>
          <w:sz w:val="28"/>
          <w:szCs w:val="32"/>
        </w:rPr>
        <w:t>（一）SDGs</w:t>
      </w:r>
    </w:p>
    <w:p w14:paraId="5D228AB7" w14:textId="77777777" w:rsidR="00D44DCB" w:rsidRDefault="00000000">
      <w:pPr>
        <w:spacing w:after="120" w:line="360" w:lineRule="auto"/>
        <w:ind w:firstLine="480"/>
        <w:jc w:val="both"/>
      </w:pPr>
      <w:r>
        <w:rPr>
          <w:rFonts w:ascii="新細明體" w:eastAsia="新細明體" w:hAnsi="新細明體" w:cs="新細明體"/>
          <w:sz w:val="24"/>
          <w:szCs w:val="24"/>
        </w:rPr>
        <w:t>本作品主要對應聯合國永續發展目標 SDG 3「良好健康與福祉」。作品規劃將網站健身流程、影像辨識整合方向、訓練結果與遊戲進度連結，期望以較具回饋感的方式鼓勵使用者增加運動參與，並累積與健康生活相關的使用歷程。此對應屬於作品的設計目標，不代表已產生公共健康、臨床或醫療成果。</w:t>
      </w:r>
    </w:p>
    <w:p w14:paraId="5D228AB8" w14:textId="77777777" w:rsidR="00D44DCB" w:rsidRDefault="00000000">
      <w:pPr>
        <w:spacing w:after="120" w:line="360" w:lineRule="auto"/>
        <w:ind w:firstLine="480"/>
        <w:jc w:val="both"/>
      </w:pPr>
      <w:r>
        <w:rPr>
          <w:rFonts w:ascii="新細明體" w:eastAsia="新細明體" w:hAnsi="新細明體" w:cs="新細明體"/>
          <w:sz w:val="24"/>
          <w:szCs w:val="24"/>
        </w:rPr>
        <w:t>遊戲端目前包含角色、島嶼、每日獎勵、金幣、經驗及進度等內容；後續規劃中的人物與介面優化、引導完善、提醒機制及 NPC 互動，預期使健身成果更容易被看見並增加參與感。付費解鎖、挑戰式通知與島嶼侵蝕屬參與機制，而非健康效益本身，其公平性、使用者自主性與心理感受仍須另行檢視。</w:t>
      </w:r>
    </w:p>
    <w:p w14:paraId="5D228AB9" w14:textId="77777777" w:rsidR="00D44DCB" w:rsidRDefault="00000000">
      <w:pPr>
        <w:spacing w:after="120" w:line="360" w:lineRule="auto"/>
        <w:jc w:val="both"/>
      </w:pPr>
      <w:r>
        <w:rPr>
          <w:rFonts w:ascii="新細明體" w:eastAsia="新細明體" w:hAnsi="新細明體" w:cs="新細明體"/>
          <w:b/>
          <w:bCs/>
          <w:sz w:val="18"/>
          <w:szCs w:val="24"/>
        </w:rPr>
        <w:t>資料依據：聯合國 SDG 3 說明與《世界衛生組織身體活動及久坐行為指南》（2020）；完整書目統一列於文末「參考文獻」。</w:t>
      </w:r>
    </w:p>
    <w:p w14:paraId="5D228ABA" w14:textId="77777777" w:rsidR="00D44DCB" w:rsidRDefault="00000000">
      <w:pPr>
        <w:pStyle w:val="1"/>
        <w:spacing w:before="360" w:after="200" w:line="360" w:lineRule="auto"/>
      </w:pPr>
      <w:r>
        <w:rPr>
          <w:rFonts w:ascii="標楷體" w:eastAsia="標楷體" w:hAnsi="標楷體" w:cs="標楷體"/>
          <w:b/>
          <w:bCs/>
          <w:sz w:val="28"/>
          <w:szCs w:val="32"/>
        </w:rPr>
        <w:t>（二）預期結果</w:t>
      </w:r>
    </w:p>
    <w:p w14:paraId="5D228ABB" w14:textId="77777777" w:rsidR="00D44DCB" w:rsidRDefault="00000000">
      <w:pPr>
        <w:pStyle w:val="2"/>
        <w:spacing w:before="240" w:after="160" w:line="360" w:lineRule="auto"/>
      </w:pPr>
      <w:r>
        <w:rPr>
          <w:rFonts w:ascii="標楷體" w:eastAsia="標楷體" w:hAnsi="標楷體" w:cs="標楷體"/>
          <w:b/>
          <w:bCs/>
        </w:rPr>
        <w:t>1. 網站遊戲與健身辨識整合</w:t>
      </w:r>
    </w:p>
    <w:p w14:paraId="5D228ABC" w14:textId="77777777" w:rsidR="00D44DCB" w:rsidRDefault="00000000">
      <w:pPr>
        <w:spacing w:after="120" w:line="360" w:lineRule="auto"/>
        <w:ind w:firstLine="480"/>
        <w:jc w:val="both"/>
      </w:pPr>
      <w:r>
        <w:rPr>
          <w:rFonts w:ascii="新細明體" w:eastAsia="新細明體" w:hAnsi="新細明體" w:cs="新細明體"/>
          <w:sz w:val="24"/>
          <w:szCs w:val="24"/>
        </w:rPr>
        <w:t>本作品預期形成網站遊戲與健身影像辨識相互配合的使用體驗。健身頁面的主要流程為「選擇項目 → 訓練畫面 → 結算畫面」，追蹤頁以統計卡片及運動走勢圖呈現訓練資料；遊戲端則以角色、任務、獎勵、商店、更衣室、住家佈置及島嶼建造承接</w:t>
        <w:lastRenderedPageBreak/>
        <w:t>健身流程所形成的結果與進度。實際辨識效能、結算內容與遊戲換算方式，仍以整合完成後的測試結果為準。</w:t>
      </w:r>
    </w:p>
    <w:p w14:paraId="5D228ABD" w14:textId="77777777" w:rsidR="00D44DCB" w:rsidRDefault="00000000">
      <w:pPr>
        <w:pStyle w:val="2"/>
        <w:spacing w:before="240" w:after="160" w:line="360" w:lineRule="auto"/>
      </w:pPr>
      <w:r>
        <w:rPr>
          <w:rFonts w:ascii="標楷體" w:eastAsia="標楷體" w:hAnsi="標楷體" w:cs="標楷體"/>
          <w:b/>
          <w:bCs/>
        </w:rPr>
        <w:t>2. 網站遊戲規劃項目</w:t>
      </w:r>
    </w:p>
    <w:p w14:paraId="5D228ABE" w14:textId="77777777" w:rsidR="00D44DCB" w:rsidRDefault="00000000">
      <w:pPr>
        <w:spacing w:after="120" w:line="360" w:lineRule="auto"/>
        <w:ind w:firstLine="480"/>
        <w:jc w:val="both"/>
        <w:rPr>
          <w:lang w:eastAsia="ja-JP"/>
        </w:rPr>
      </w:pPr>
      <w:r>
        <w:rPr>
          <w:rFonts w:ascii="新細明體" w:eastAsia="新細明體" w:hAnsi="新細明體" w:cs="新細明體"/>
          <w:sz w:val="24"/>
          <w:szCs w:val="24"/>
        </w:rPr>
        <w:t>下列內容均取自本次提供的網站遊戲附件與團隊補充之遊戲機制資料。</w:t>
      </w:r>
      <w:r>
        <w:rPr>
          <w:rFonts w:ascii="新細明體" w:eastAsia="新細明體" w:hAnsi="新細明體" w:cs="新細明體"/>
          <w:sz w:val="24"/>
          <w:szCs w:val="24"/>
          <w:lang w:eastAsia="ja-JP"/>
        </w:rPr>
        <w:t>表中將已明確提出的開發方向標示為「規劃中・未完成」，將規則或載體尚未決定的內容標示為「概念中・機制未定」，將目前尚未實作但已列入未來藍圖的項目標示為「未來藍圖・規劃中」；碎片機制依原始資料保留為高機率考慮項目，持續參與則列為尚待驗證的設計意圖，兩者皆不視為已達成成果。</w:t>
      </w:r>
    </w:p>
    <w:p w14:paraId="5D228ABF" w14:textId="77777777" w:rsidR="00D44DCB" w:rsidRDefault="00000000">
      <w:pPr>
        <w:spacing w:after="120" w:line="360" w:lineRule="auto"/>
        <w:jc w:val="center"/>
      </w:pPr>
      <w:r>
        <w:rPr>
          <w:rFonts w:ascii="新細明體" w:eastAsia="新細明體" w:hAnsi="新細明體" w:cs="新細明體"/>
          <w:b/>
          <w:bCs/>
          <w:sz w:val="24"/>
          <w:szCs w:val="24"/>
        </w:rPr>
        <w:t>表 6-1　網站遊戲規劃項目總覽（含未來藍圖）</w:t>
      </w:r>
    </w:p>
    <w:tbl>
      <w:tblPr>
        <w:tblW w:w="96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800"/>
        <w:gridCol w:w="1600"/>
        <w:gridCol w:w="3600"/>
        <w:gridCol w:w="1600"/>
        <w:gridCol w:w="2000"/>
      </w:tblGrid>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14:paraId="5D228AC0" w14:textId="77777777" w:rsidR="00D44DCB" w:rsidRDefault="00000000">
            <w:pPr>
              <w:spacing w:after="40"/>
            </w:pPr>
            <w:r>
              <w:rPr>
                <w:rFonts w:ascii="新細明體" w:eastAsia="新細明體" w:hAnsi="新細明體" w:cs="新細明體"/>
                <w:b/>
                <w:bCs/>
                <w:sz w:val="22"/>
                <w:szCs w:val="22"/>
              </w:rPr>
              <w:t>編號</w:t>
            </w:r>
          </w:p>
        </w:tc>
        <w:tc>
          <w:tcPr>
            <w:tcW w:w="1600" w:type="dxa"/>
            <w:shd w:val="clear" w:color="auto" w:fill="D9E2F3"/>
            <w:tcMar>
              <w:top w:w="40" w:type="dxa"/>
              <w:left w:w="80" w:type="dxa"/>
              <w:bottom w:w="40" w:type="dxa"/>
              <w:right w:w="80" w:type="dxa"/>
            </w:tcMar>
          </w:tcPr>
          <w:p w14:paraId="5D228AC1" w14:textId="77777777" w:rsidR="00D44DCB" w:rsidRDefault="00000000">
            <w:pPr>
              <w:spacing w:after="40"/>
            </w:pPr>
            <w:r>
              <w:rPr>
                <w:rFonts w:ascii="新細明體" w:eastAsia="新細明體" w:hAnsi="新細明體" w:cs="新細明體"/>
                <w:b/>
                <w:bCs/>
                <w:sz w:val="22"/>
                <w:szCs w:val="22"/>
              </w:rPr>
              <w:t>規劃項目</w:t>
            </w:r>
          </w:p>
        </w:tc>
        <w:tc>
          <w:tcPr>
            <w:tcW w:w="3600" w:type="dxa"/>
            <w:shd w:val="clear" w:color="auto" w:fill="D9E2F3"/>
            <w:tcMar>
              <w:top w:w="40" w:type="dxa"/>
              <w:left w:w="80" w:type="dxa"/>
              <w:bottom w:w="40" w:type="dxa"/>
              <w:right w:w="80" w:type="dxa"/>
            </w:tcMar>
          </w:tcPr>
          <w:p w14:paraId="5D228AC2" w14:textId="77777777" w:rsidR="00D44DCB" w:rsidRDefault="00000000">
            <w:pPr>
              <w:spacing w:after="40"/>
            </w:pPr>
            <w:r>
              <w:rPr>
                <w:rFonts w:ascii="新細明體" w:eastAsia="新細明體" w:hAnsi="新細明體" w:cs="新細明體"/>
                <w:b/>
                <w:bCs/>
                <w:sz w:val="22"/>
                <w:szCs w:val="22"/>
              </w:rPr>
              <w:t>內容與預期方向</w:t>
            </w:r>
          </w:p>
        </w:tc>
        <w:tc>
          <w:tcPr>
            <w:tcW w:w="1600" w:type="dxa"/>
            <w:shd w:val="clear" w:color="auto" w:fill="D9E2F3"/>
            <w:tcMar>
              <w:top w:w="40" w:type="dxa"/>
              <w:left w:w="80" w:type="dxa"/>
              <w:bottom w:w="40" w:type="dxa"/>
              <w:right w:w="80" w:type="dxa"/>
            </w:tcMar>
          </w:tcPr>
          <w:p w14:paraId="5D228AC3" w14:textId="77777777" w:rsidR="00D44DCB" w:rsidRDefault="00000000">
            <w:pPr>
              <w:spacing w:after="40"/>
            </w:pPr>
            <w:r>
              <w:rPr>
                <w:rFonts w:ascii="新細明體" w:eastAsia="新細明體" w:hAnsi="新細明體" w:cs="新細明體"/>
                <w:b/>
                <w:bCs/>
                <w:sz w:val="22"/>
                <w:szCs w:val="22"/>
              </w:rPr>
              <w:t>開發狀態</w:t>
            </w:r>
          </w:p>
        </w:tc>
        <w:tc>
          <w:tcPr>
            <w:tcW w:w="2000" w:type="dxa"/>
            <w:shd w:val="clear" w:color="auto" w:fill="D9E2F3"/>
            <w:tcMar>
              <w:top w:w="40" w:type="dxa"/>
              <w:left w:w="80" w:type="dxa"/>
              <w:bottom w:w="40" w:type="dxa"/>
              <w:right w:w="80" w:type="dxa"/>
            </w:tcMar>
          </w:tcPr>
          <w:p w14:paraId="5D228AC4" w14:textId="77777777" w:rsidR="00D44DCB" w:rsidRDefault="00000000">
            <w:pPr>
              <w:spacing w:after="40"/>
            </w:pPr>
            <w:r>
              <w:rPr>
                <w:rFonts w:ascii="新細明體" w:eastAsia="新細明體" w:hAnsi="新細明體" w:cs="新細明體"/>
                <w:b/>
                <w:bCs/>
                <w:sz w:val="22"/>
                <w:szCs w:val="22"/>
              </w:rPr>
              <w:t>尚待定義／審查</w:t>
            </w:r>
          </w:p>
        </w:tc>
      </w:tr>
      <w:tr w:rsidR="00D44DCB" w14:paraId="5D228ACB" w14:textId="77777777">
        <w:tblPrEx>
          <w:tblCellMar>
            <w:top w:w="0" w:type="dxa"/>
            <w:bottom w:w="0" w:type="dxa"/>
          </w:tblCellMar>
        </w:tblPrEx>
        <w:tc>
          <w:tcPr>
            <w:tcW w:w="800" w:type="dxa"/>
            <w:tcMar>
              <w:top w:w="40" w:type="dxa"/>
              <w:left w:w="80" w:type="dxa"/>
              <w:bottom w:w="40" w:type="dxa"/>
              <w:right w:w="80" w:type="dxa"/>
            </w:tcMar>
          </w:tcPr>
          <w:p w14:paraId="5D228AC6" w14:textId="77777777" w:rsidR="00D44DCB" w:rsidRDefault="00000000">
            <w:pPr>
              <w:spacing w:after="40"/>
            </w:pPr>
            <w:r>
              <w:rPr>
                <w:rFonts w:ascii="新細明體" w:eastAsia="新細明體" w:hAnsi="新細明體" w:cs="新細明體"/>
              </w:rPr>
              <w:t>F01</w:t>
            </w:r>
          </w:p>
        </w:tc>
        <w:tc>
          <w:tcPr>
            <w:tcW w:w="1600" w:type="dxa"/>
            <w:tcMar>
              <w:top w:w="40" w:type="dxa"/>
              <w:left w:w="80" w:type="dxa"/>
              <w:bottom w:w="40" w:type="dxa"/>
              <w:right w:w="80" w:type="dxa"/>
            </w:tcMar>
          </w:tcPr>
          <w:p w14:paraId="5D228AC7" w14:textId="77777777" w:rsidR="00D44DCB" w:rsidRDefault="00000000">
            <w:pPr>
              <w:spacing w:after="40"/>
            </w:pPr>
            <w:r>
              <w:rPr>
                <w:rFonts w:ascii="新細明體" w:eastAsia="新細明體" w:hAnsi="新細明體" w:cs="新細明體"/>
              </w:rPr>
              <w:t>人物模型</w:t>
            </w:r>
          </w:p>
        </w:tc>
        <w:tc>
          <w:tcPr>
            <w:tcW w:w="3600" w:type="dxa"/>
            <w:tcMar>
              <w:top w:w="40" w:type="dxa"/>
              <w:left w:w="80" w:type="dxa"/>
              <w:bottom w:w="40" w:type="dxa"/>
              <w:right w:w="80" w:type="dxa"/>
            </w:tcMar>
          </w:tcPr>
          <w:p w14:paraId="5D228AC8" w14:textId="77777777" w:rsidR="00D44DCB" w:rsidRDefault="00000000">
            <w:pPr>
              <w:spacing w:after="40"/>
            </w:pPr>
            <w:r>
              <w:rPr>
                <w:rFonts w:ascii="新細明體" w:eastAsia="新細明體" w:hAnsi="新細明體" w:cs="新細明體"/>
              </w:rPr>
              <w:t>規劃調整角色五官與身體構造的呈現，使人物外觀更清楚並具備較鮮明的角色特色。目前四維卡在建模嵌入遊戲的技術問題，若短期內無法解決將先擱置，優先處理其他項目。</w:t>
            </w:r>
          </w:p>
        </w:tc>
        <w:tc>
          <w:tcPr>
            <w:tcW w:w="1600" w:type="dxa"/>
            <w:tcMar>
              <w:top w:w="40" w:type="dxa"/>
              <w:left w:w="80" w:type="dxa"/>
              <w:bottom w:w="40" w:type="dxa"/>
              <w:right w:w="80" w:type="dxa"/>
            </w:tcMar>
          </w:tcPr>
          <w:p w14:paraId="5D228AC9" w14:textId="77777777" w:rsidR="00D44DCB" w:rsidRDefault="00000000">
            <w:pPr>
              <w:spacing w:after="40"/>
            </w:pPr>
            <w:r>
              <w:rPr>
                <w:rFonts w:ascii="新細明體" w:eastAsia="新細明體" w:hAnsi="新細明體" w:cs="新細明體"/>
              </w:rPr>
              <w:t>規劃中・未完成</w:t>
            </w:r>
          </w:p>
        </w:tc>
        <w:tc>
          <w:tcPr>
            <w:tcW w:w="2000" w:type="dxa"/>
            <w:tcMar>
              <w:top w:w="40" w:type="dxa"/>
              <w:left w:w="80" w:type="dxa"/>
              <w:bottom w:w="40" w:type="dxa"/>
              <w:right w:w="80" w:type="dxa"/>
            </w:tcMar>
          </w:tcPr>
          <w:p w14:paraId="5D228ACA" w14:textId="77777777" w:rsidR="00D44DCB" w:rsidRDefault="00000000">
            <w:pPr>
              <w:spacing w:after="40"/>
            </w:pPr>
            <w:r>
              <w:rPr>
                <w:rFonts w:ascii="新細明體" w:eastAsia="新細明體" w:hAnsi="新細明體" w:cs="新細明體"/>
              </w:rPr>
              <w:t>建模細節、驗收標準與技術瓶頸解決方案</w:t>
            </w:r>
          </w:p>
        </w:tc>
      </w:tr>
      <w:tr w:rsidR="00D44DCB" w14:paraId="5D228AD1" w14:textId="77777777">
        <w:tblPrEx>
          <w:tblCellMar>
            <w:top w:w="0" w:type="dxa"/>
            <w:bottom w:w="0" w:type="dxa"/>
          </w:tblCellMar>
        </w:tblPrEx>
        <w:tc>
          <w:tcPr>
            <w:tcW w:w="800" w:type="dxa"/>
            <w:tcMar>
              <w:top w:w="40" w:type="dxa"/>
              <w:left w:w="80" w:type="dxa"/>
              <w:bottom w:w="40" w:type="dxa"/>
              <w:right w:w="80" w:type="dxa"/>
            </w:tcMar>
          </w:tcPr>
          <w:p w14:paraId="5D228ACC" w14:textId="77777777" w:rsidR="00D44DCB" w:rsidRDefault="00000000">
            <w:pPr>
              <w:spacing w:after="40"/>
            </w:pPr>
            <w:r>
              <w:rPr>
                <w:rFonts w:ascii="新細明體" w:eastAsia="新細明體" w:hAnsi="新細明體" w:cs="新細明體"/>
              </w:rPr>
              <w:t>F02</w:t>
            </w:r>
          </w:p>
        </w:tc>
        <w:tc>
          <w:tcPr>
            <w:tcW w:w="1600" w:type="dxa"/>
            <w:tcMar>
              <w:top w:w="40" w:type="dxa"/>
              <w:left w:w="80" w:type="dxa"/>
              <w:bottom w:w="40" w:type="dxa"/>
              <w:right w:w="80" w:type="dxa"/>
            </w:tcMar>
          </w:tcPr>
          <w:p w14:paraId="5D228ACD" w14:textId="77777777" w:rsidR="00D44DCB" w:rsidRDefault="00000000">
            <w:pPr>
              <w:spacing w:after="40"/>
            </w:pPr>
            <w:r>
              <w:rPr>
                <w:rFonts w:ascii="新細明體" w:eastAsia="新細明體" w:hAnsi="新細明體" w:cs="新細明體"/>
              </w:rPr>
              <w:t>碎片機制</w:t>
            </w:r>
          </w:p>
        </w:tc>
        <w:tc>
          <w:tcPr>
            <w:tcW w:w="3600" w:type="dxa"/>
            <w:tcMar>
              <w:top w:w="40" w:type="dxa"/>
              <w:left w:w="80" w:type="dxa"/>
              <w:bottom w:w="40" w:type="dxa"/>
              <w:right w:w="80" w:type="dxa"/>
            </w:tcMar>
          </w:tcPr>
          <w:p w14:paraId="5D228ACE" w14:textId="77777777" w:rsidR="00D44DCB" w:rsidRDefault="00000000">
            <w:pPr>
              <w:spacing w:after="40"/>
            </w:pPr>
            <w:r>
              <w:rPr>
                <w:rFonts w:ascii="新細明體" w:eastAsia="新細明體" w:hAnsi="新細明體" w:cs="新細明體"/>
              </w:rPr>
              <w:t>附件表示此機制約有九成可能納入。碎片可於健身結算時獲得，用於集換特定物件；當使用者已擁有該物件時，碎片的轉化型態尚待確認。取得方式、用途、數量及與既有系統的關係均未決定。</w:t>
            </w:r>
          </w:p>
        </w:tc>
        <w:tc>
          <w:tcPr>
            <w:tcW w:w="1600" w:type="dxa"/>
            <w:tcMar>
              <w:top w:w="40" w:type="dxa"/>
              <w:left w:w="80" w:type="dxa"/>
              <w:bottom w:w="40" w:type="dxa"/>
              <w:right w:w="80" w:type="dxa"/>
            </w:tcMar>
          </w:tcPr>
          <w:p w14:paraId="5D228ACF" w14:textId="77777777" w:rsidR="00D44DCB" w:rsidRDefault="00000000">
            <w:pPr>
              <w:spacing w:after="40"/>
              <w:rPr>
                <w:lang w:eastAsia="ja-JP"/>
              </w:rPr>
            </w:pPr>
            <w:r>
              <w:rPr>
                <w:rFonts w:ascii="新細明體" w:eastAsia="新細明體" w:hAnsi="新細明體" w:cs="新細明體"/>
                <w:lang w:eastAsia="ja-JP"/>
              </w:rPr>
              <w:t>高機率考慮中・機制未定</w:t>
            </w:r>
          </w:p>
        </w:tc>
        <w:tc>
          <w:tcPr>
            <w:tcW w:w="2000" w:type="dxa"/>
            <w:tcMar>
              <w:top w:w="40" w:type="dxa"/>
              <w:left w:w="80" w:type="dxa"/>
              <w:bottom w:w="40" w:type="dxa"/>
              <w:right w:w="80" w:type="dxa"/>
            </w:tcMar>
          </w:tcPr>
          <w:p w14:paraId="5D228AD0" w14:textId="77777777" w:rsidR="00D44DCB" w:rsidRDefault="00000000">
            <w:pPr>
              <w:spacing w:after="40"/>
            </w:pPr>
            <w:r>
              <w:rPr>
                <w:rFonts w:ascii="新細明體" w:eastAsia="新細明體" w:hAnsi="新細明體" w:cs="新細明體"/>
              </w:rPr>
              <w:t>完整玩法、經濟規則與重複物件轉化方式</w:t>
            </w:r>
          </w:p>
        </w:tc>
      </w:tr>
      <w:tr w:rsidR="00D44DCB" w14:paraId="5D228AD7" w14:textId="77777777">
        <w:tblPrEx>
          <w:tblCellMar>
            <w:top w:w="0" w:type="dxa"/>
            <w:bottom w:w="0" w:type="dxa"/>
          </w:tblCellMar>
        </w:tblPrEx>
        <w:tc>
          <w:tcPr>
            <w:tcW w:w="800" w:type="dxa"/>
            <w:tcMar>
              <w:top w:w="40" w:type="dxa"/>
              <w:left w:w="80" w:type="dxa"/>
              <w:bottom w:w="40" w:type="dxa"/>
              <w:right w:w="80" w:type="dxa"/>
            </w:tcMar>
          </w:tcPr>
          <w:p w14:paraId="5D228AD2" w14:textId="77777777" w:rsidR="00D44DCB" w:rsidRDefault="00000000">
            <w:pPr>
              <w:spacing w:after="40"/>
            </w:pPr>
            <w:r>
              <w:rPr>
                <w:rFonts w:ascii="新細明體" w:eastAsia="新細明體" w:hAnsi="新細明體" w:cs="新細明體"/>
              </w:rPr>
              <w:t>F03</w:t>
            </w:r>
          </w:p>
        </w:tc>
        <w:tc>
          <w:tcPr>
            <w:tcW w:w="1600" w:type="dxa"/>
            <w:tcMar>
              <w:top w:w="40" w:type="dxa"/>
              <w:left w:w="80" w:type="dxa"/>
              <w:bottom w:w="40" w:type="dxa"/>
              <w:right w:w="80" w:type="dxa"/>
            </w:tcMar>
          </w:tcPr>
          <w:p w14:paraId="5D228AD3" w14:textId="77777777" w:rsidR="00D44DCB" w:rsidRDefault="00000000">
            <w:pPr>
              <w:spacing w:after="40"/>
            </w:pPr>
            <w:r>
              <w:rPr>
                <w:rFonts w:ascii="新細明體" w:eastAsia="新細明體" w:hAnsi="新細明體" w:cs="新細明體"/>
              </w:rPr>
              <w:t>髮型與穿搭協調</w:t>
            </w:r>
          </w:p>
        </w:tc>
        <w:tc>
          <w:tcPr>
            <w:tcW w:w="3600" w:type="dxa"/>
            <w:tcMar>
              <w:top w:w="40" w:type="dxa"/>
              <w:left w:w="80" w:type="dxa"/>
              <w:bottom w:w="40" w:type="dxa"/>
              <w:right w:w="80" w:type="dxa"/>
            </w:tcMar>
          </w:tcPr>
          <w:p w14:paraId="5D228AD4" w14:textId="77777777" w:rsidR="00D44DCB" w:rsidRDefault="00000000">
            <w:pPr>
              <w:spacing w:after="40"/>
            </w:pPr>
            <w:r>
              <w:rPr>
                <w:rFonts w:ascii="新細明體" w:eastAsia="新細明體" w:hAnsi="新細明體" w:cs="新細明體"/>
              </w:rPr>
              <w:t>規劃整合髮型風格、各類穿搭與裝飾的搭配關係，降低造型組合彼此不協調或不相容的視覺情形。</w:t>
            </w:r>
          </w:p>
        </w:tc>
        <w:tc>
          <w:tcPr>
            <w:tcW w:w="1600" w:type="dxa"/>
            <w:tcMar>
              <w:top w:w="40" w:type="dxa"/>
              <w:left w:w="80" w:type="dxa"/>
              <w:bottom w:w="40" w:type="dxa"/>
              <w:right w:w="80" w:type="dxa"/>
            </w:tcMar>
          </w:tcPr>
          <w:p w14:paraId="5D228AD5" w14:textId="77777777" w:rsidR="00D44DCB" w:rsidRDefault="00000000">
            <w:pPr>
              <w:spacing w:after="40"/>
            </w:pPr>
            <w:r>
              <w:rPr>
                <w:rFonts w:ascii="新細明體" w:eastAsia="新細明體" w:hAnsi="新細明體" w:cs="新細明體"/>
              </w:rPr>
              <w:t>規劃中・未完成</w:t>
            </w:r>
          </w:p>
        </w:tc>
        <w:tc>
          <w:tcPr>
            <w:tcW w:w="2000" w:type="dxa"/>
            <w:tcMar>
              <w:top w:w="40" w:type="dxa"/>
              <w:left w:w="80" w:type="dxa"/>
              <w:bottom w:w="40" w:type="dxa"/>
              <w:right w:w="80" w:type="dxa"/>
            </w:tcMar>
          </w:tcPr>
          <w:p w14:paraId="5D228AD6" w14:textId="77777777" w:rsidR="00D44DCB" w:rsidRDefault="00000000">
            <w:pPr>
              <w:spacing w:after="40"/>
            </w:pPr>
            <w:r>
              <w:rPr>
                <w:rFonts w:ascii="新細明體" w:eastAsia="新細明體" w:hAnsi="新細明體" w:cs="新細明體"/>
              </w:rPr>
              <w:t>搭配規則與素材調整範圍</w:t>
            </w:r>
          </w:p>
        </w:tc>
      </w:tr>
      <w:tr w:rsidR="00D44DCB" w14:paraId="5D228ADD" w14:textId="77777777">
        <w:tblPrEx>
          <w:tblCellMar>
            <w:top w:w="0" w:type="dxa"/>
            <w:bottom w:w="0" w:type="dxa"/>
          </w:tblCellMar>
        </w:tblPrEx>
        <w:tc>
          <w:tcPr>
            <w:tcW w:w="800" w:type="dxa"/>
            <w:tcMar>
              <w:top w:w="40" w:type="dxa"/>
              <w:left w:w="80" w:type="dxa"/>
              <w:bottom w:w="40" w:type="dxa"/>
              <w:right w:w="80" w:type="dxa"/>
            </w:tcMar>
          </w:tcPr>
          <w:p w14:paraId="5D228AD8" w14:textId="77777777" w:rsidR="00D44DCB" w:rsidRDefault="00000000">
            <w:pPr>
              <w:spacing w:after="40"/>
            </w:pPr>
            <w:r>
              <w:rPr>
                <w:rFonts w:ascii="新細明體" w:eastAsia="新細明體" w:hAnsi="新細明體" w:cs="新細明體"/>
              </w:rPr>
              <w:t>F04</w:t>
            </w:r>
          </w:p>
        </w:tc>
        <w:tc>
          <w:tcPr>
            <w:tcW w:w="1600" w:type="dxa"/>
            <w:tcMar>
              <w:top w:w="40" w:type="dxa"/>
              <w:left w:w="80" w:type="dxa"/>
              <w:bottom w:w="40" w:type="dxa"/>
              <w:right w:w="80" w:type="dxa"/>
            </w:tcMar>
          </w:tcPr>
          <w:p w14:paraId="5D228AD9" w14:textId="77777777" w:rsidR="00D44DCB" w:rsidRDefault="00000000">
            <w:pPr>
              <w:spacing w:after="40"/>
            </w:pPr>
            <w:r>
              <w:rPr>
                <w:rFonts w:ascii="新細明體" w:eastAsia="新細明體" w:hAnsi="新細明體" w:cs="新細明體"/>
              </w:rPr>
              <w:t>畫質與特效</w:t>
            </w:r>
          </w:p>
        </w:tc>
        <w:tc>
          <w:tcPr>
            <w:tcW w:w="3600" w:type="dxa"/>
            <w:tcMar>
              <w:top w:w="40" w:type="dxa"/>
              <w:left w:w="80" w:type="dxa"/>
              <w:bottom w:w="40" w:type="dxa"/>
              <w:right w:w="80" w:type="dxa"/>
            </w:tcMar>
          </w:tcPr>
          <w:p w14:paraId="5D228ADA" w14:textId="77777777" w:rsidR="00D44DCB" w:rsidRDefault="00000000">
            <w:pPr>
              <w:spacing w:after="40"/>
            </w:pPr>
            <w:r>
              <w:rPr>
                <w:rFonts w:ascii="新細明體" w:eastAsia="新細明體" w:hAnsi="新細明體" w:cs="新細明體"/>
              </w:rPr>
              <w:t>規劃升級整體畫質與特效品質，使場景、角色及互動畫面具有較一致的質感。</w:t>
            </w:r>
          </w:p>
        </w:tc>
        <w:tc>
          <w:tcPr>
            <w:tcW w:w="1600" w:type="dxa"/>
            <w:tcMar>
              <w:top w:w="40" w:type="dxa"/>
              <w:left w:w="80" w:type="dxa"/>
              <w:bottom w:w="40" w:type="dxa"/>
              <w:right w:w="80" w:type="dxa"/>
            </w:tcMar>
          </w:tcPr>
          <w:p w14:paraId="5D228ADB" w14:textId="77777777" w:rsidR="00D44DCB" w:rsidRDefault="00000000">
            <w:pPr>
              <w:spacing w:after="40"/>
            </w:pPr>
            <w:r>
              <w:rPr>
                <w:rFonts w:ascii="新細明體" w:eastAsia="新細明體" w:hAnsi="新細明體" w:cs="新細明體"/>
              </w:rPr>
              <w:t>規劃中・未完成</w:t>
            </w:r>
          </w:p>
        </w:tc>
        <w:tc>
          <w:tcPr>
            <w:tcW w:w="2000" w:type="dxa"/>
            <w:tcMar>
              <w:top w:w="40" w:type="dxa"/>
              <w:left w:w="80" w:type="dxa"/>
              <w:bottom w:w="40" w:type="dxa"/>
              <w:right w:w="80" w:type="dxa"/>
            </w:tcMar>
          </w:tcPr>
          <w:p w14:paraId="5D228ADC" w14:textId="77777777" w:rsidR="00D44DCB" w:rsidRDefault="00000000">
            <w:pPr>
              <w:spacing w:after="40"/>
            </w:pPr>
            <w:r>
              <w:rPr>
                <w:rFonts w:ascii="新細明體" w:eastAsia="新細明體" w:hAnsi="新細明體" w:cs="新細明體"/>
              </w:rPr>
              <w:t>品質基準、效能與裝置負載</w:t>
            </w:r>
          </w:p>
        </w:tc>
      </w:tr>
      <w:tr w:rsidR="00D44DCB" w14:paraId="5D228AE3" w14:textId="77777777">
        <w:tblPrEx>
          <w:tblCellMar>
            <w:top w:w="0" w:type="dxa"/>
            <w:bottom w:w="0" w:type="dxa"/>
          </w:tblCellMar>
        </w:tblPrEx>
        <w:tc>
          <w:tcPr>
            <w:tcW w:w="800" w:type="dxa"/>
            <w:tcMar>
              <w:top w:w="40" w:type="dxa"/>
              <w:left w:w="80" w:type="dxa"/>
              <w:bottom w:w="40" w:type="dxa"/>
              <w:right w:w="80" w:type="dxa"/>
            </w:tcMar>
          </w:tcPr>
          <w:p w14:paraId="5D228ADE" w14:textId="77777777" w:rsidR="00D44DCB" w:rsidRDefault="00000000">
            <w:pPr>
              <w:spacing w:after="40"/>
            </w:pPr>
            <w:r>
              <w:rPr>
                <w:rFonts w:ascii="新細明體" w:eastAsia="新細明體" w:hAnsi="新細明體" w:cs="新細明體"/>
              </w:rPr>
              <w:t>F05</w:t>
            </w:r>
          </w:p>
        </w:tc>
        <w:tc>
          <w:tcPr>
            <w:tcW w:w="1600" w:type="dxa"/>
            <w:tcMar>
              <w:top w:w="40" w:type="dxa"/>
              <w:left w:w="80" w:type="dxa"/>
              <w:bottom w:w="40" w:type="dxa"/>
              <w:right w:w="80" w:type="dxa"/>
            </w:tcMar>
          </w:tcPr>
          <w:p w14:paraId="5D228ADF" w14:textId="77777777" w:rsidR="00D44DCB" w:rsidRDefault="00000000">
            <w:pPr>
              <w:spacing w:after="40"/>
            </w:pPr>
            <w:r>
              <w:rPr>
                <w:rFonts w:ascii="新細明體" w:eastAsia="新細明體" w:hAnsi="新細明體" w:cs="新細明體"/>
              </w:rPr>
              <w:t>UI 視覺優化</w:t>
            </w:r>
          </w:p>
        </w:tc>
        <w:tc>
          <w:tcPr>
            <w:tcW w:w="3600" w:type="dxa"/>
            <w:tcMar>
              <w:top w:w="40" w:type="dxa"/>
              <w:left w:w="80" w:type="dxa"/>
              <w:bottom w:w="40" w:type="dxa"/>
              <w:right w:w="80" w:type="dxa"/>
            </w:tcMar>
          </w:tcPr>
          <w:p w14:paraId="5D228AE0" w14:textId="77777777" w:rsidR="00D44DCB" w:rsidRDefault="00000000">
            <w:pPr>
              <w:spacing w:after="40"/>
            </w:pPr>
            <w:r>
              <w:rPr>
                <w:rFonts w:ascii="新細明體" w:eastAsia="新細明體" w:hAnsi="新細明體" w:cs="新細明體"/>
              </w:rPr>
              <w:t>規劃全面優化遊戲 UI 的風格與質感；《光·遇》與《動物森友會》僅作美術氛圍與品質參考，不代表複製其素材、介面或玩法。</w:t>
            </w:r>
          </w:p>
        </w:tc>
        <w:tc>
          <w:tcPr>
            <w:tcW w:w="1600" w:type="dxa"/>
            <w:tcMar>
              <w:top w:w="40" w:type="dxa"/>
              <w:left w:w="80" w:type="dxa"/>
              <w:bottom w:w="40" w:type="dxa"/>
              <w:right w:w="80" w:type="dxa"/>
            </w:tcMar>
          </w:tcPr>
          <w:p w14:paraId="5D228AE1" w14:textId="77777777" w:rsidR="00D44DCB" w:rsidRDefault="00000000">
            <w:pPr>
              <w:spacing w:after="40"/>
            </w:pPr>
            <w:r>
              <w:rPr>
                <w:rFonts w:ascii="新細明體" w:eastAsia="新細明體" w:hAnsi="新細明體" w:cs="新細明體"/>
              </w:rPr>
              <w:t>規劃中・未完成</w:t>
            </w:r>
          </w:p>
        </w:tc>
        <w:tc>
          <w:tcPr>
            <w:tcW w:w="2000" w:type="dxa"/>
            <w:tcMar>
              <w:top w:w="40" w:type="dxa"/>
              <w:left w:w="80" w:type="dxa"/>
              <w:bottom w:w="40" w:type="dxa"/>
              <w:right w:w="80" w:type="dxa"/>
            </w:tcMar>
          </w:tcPr>
          <w:p w14:paraId="5D228AE2" w14:textId="77777777" w:rsidR="00D44DCB" w:rsidRDefault="00000000">
            <w:pPr>
              <w:spacing w:after="40"/>
            </w:pPr>
            <w:r>
              <w:rPr>
                <w:rFonts w:ascii="新細明體" w:eastAsia="新細明體" w:hAnsi="新細明體" w:cs="新細明體"/>
              </w:rPr>
              <w:t>視覺規範、元件範圍與一致性</w:t>
            </w:r>
          </w:p>
        </w:tc>
      </w:tr>
      <w:tr w:rsidR="00D44DCB" w14:paraId="5D228AE9" w14:textId="77777777">
        <w:tblPrEx>
          <w:tblCellMar>
            <w:top w:w="0" w:type="dxa"/>
            <w:bottom w:w="0" w:type="dxa"/>
          </w:tblCellMar>
        </w:tblPrEx>
        <w:tc>
          <w:tcPr>
            <w:tcW w:w="800" w:type="dxa"/>
            <w:tcMar>
              <w:top w:w="40" w:type="dxa"/>
              <w:left w:w="80" w:type="dxa"/>
              <w:bottom w:w="40" w:type="dxa"/>
              <w:right w:w="80" w:type="dxa"/>
            </w:tcMar>
          </w:tcPr>
          <w:p w14:paraId="5D228AE4" w14:textId="77777777" w:rsidR="00D44DCB" w:rsidRDefault="00000000">
            <w:pPr>
              <w:spacing w:after="40"/>
            </w:pPr>
            <w:r>
              <w:rPr>
                <w:rFonts w:ascii="新細明體" w:eastAsia="新細明體" w:hAnsi="新細明體" w:cs="新細明體"/>
              </w:rPr>
              <w:t>F06</w:t>
            </w:r>
          </w:p>
        </w:tc>
        <w:tc>
          <w:tcPr>
            <w:tcW w:w="1600" w:type="dxa"/>
            <w:tcMar>
              <w:top w:w="40" w:type="dxa"/>
              <w:left w:w="80" w:type="dxa"/>
              <w:bottom w:w="40" w:type="dxa"/>
              <w:right w:w="80" w:type="dxa"/>
            </w:tcMar>
          </w:tcPr>
          <w:p w14:paraId="5D228AE5" w14:textId="77777777" w:rsidR="00D44DCB" w:rsidRDefault="00000000">
            <w:pPr>
              <w:spacing w:after="40"/>
            </w:pPr>
            <w:r>
              <w:rPr>
                <w:rFonts w:ascii="新細明體" w:eastAsia="新細明體" w:hAnsi="新細明體" w:cs="新細明體"/>
              </w:rPr>
              <w:t>登入中斷解鎖</w:t>
            </w:r>
          </w:p>
        </w:tc>
        <w:tc>
          <w:tcPr>
            <w:tcW w:w="3600" w:type="dxa"/>
            <w:tcMar>
              <w:top w:w="40" w:type="dxa"/>
              <w:left w:w="80" w:type="dxa"/>
              <w:bottom w:w="40" w:type="dxa"/>
              <w:right w:w="80" w:type="dxa"/>
            </w:tcMar>
          </w:tcPr>
          <w:p w14:paraId="5D228AE6" w14:textId="77777777" w:rsidR="00D44DCB" w:rsidRDefault="00000000">
            <w:pPr>
              <w:spacing w:after="40"/>
            </w:pPr>
            <w:r>
              <w:rPr>
                <w:rFonts w:ascii="新細明體" w:eastAsia="新細明體" w:hAnsi="新細明體" w:cs="新細明體"/>
              </w:rPr>
              <w:t>規劃在每日登入中斷後，以來源所述的「花錢解鎖」方式恢復領取大獎的資格。</w:t>
            </w:r>
          </w:p>
        </w:tc>
        <w:tc>
          <w:tcPr>
            <w:tcW w:w="1600" w:type="dxa"/>
            <w:tcMar>
              <w:top w:w="40" w:type="dxa"/>
              <w:left w:w="80" w:type="dxa"/>
              <w:bottom w:w="40" w:type="dxa"/>
              <w:right w:w="80" w:type="dxa"/>
            </w:tcMar>
          </w:tcPr>
          <w:p w14:paraId="5D228AE7" w14:textId="77777777" w:rsidR="00D44DCB" w:rsidRDefault="00000000">
            <w:pPr>
              <w:spacing w:after="40"/>
            </w:pPr>
            <w:r>
              <w:rPr>
                <w:rFonts w:ascii="新細明體" w:eastAsia="新細明體" w:hAnsi="新細明體" w:cs="新細明體"/>
              </w:rPr>
              <w:t>概念中・機制未定</w:t>
            </w:r>
          </w:p>
        </w:tc>
        <w:tc>
          <w:tcPr>
            <w:tcW w:w="2000" w:type="dxa"/>
            <w:tcMar>
              <w:top w:w="40" w:type="dxa"/>
              <w:left w:w="80" w:type="dxa"/>
              <w:bottom w:w="40" w:type="dxa"/>
              <w:right w:w="80" w:type="dxa"/>
            </w:tcMar>
          </w:tcPr>
          <w:p w14:paraId="5D228AE8" w14:textId="77777777" w:rsidR="00D44DCB" w:rsidRDefault="00000000">
            <w:pPr>
              <w:spacing w:after="40"/>
            </w:pPr>
            <w:r>
              <w:rPr>
                <w:rFonts w:ascii="新細明體" w:eastAsia="新細明體" w:hAnsi="新細明體" w:cs="新細明體"/>
              </w:rPr>
              <w:t>具體付費方式、價格、條件、公平性與付費壓力</w:t>
            </w:r>
          </w:p>
        </w:tc>
      </w:tr>
      <w:tr w:rsidR="00D44DCB" w14:paraId="5D228AEF" w14:textId="77777777">
        <w:tblPrEx>
          <w:tblCellMar>
            <w:top w:w="0" w:type="dxa"/>
            <w:bottom w:w="0" w:type="dxa"/>
          </w:tblCellMar>
        </w:tblPrEx>
        <w:tc>
          <w:tcPr>
            <w:tcW w:w="800" w:type="dxa"/>
            <w:tcMar>
              <w:top w:w="40" w:type="dxa"/>
              <w:left w:w="80" w:type="dxa"/>
              <w:bottom w:w="40" w:type="dxa"/>
              <w:right w:w="80" w:type="dxa"/>
            </w:tcMar>
          </w:tcPr>
          <w:p w14:paraId="5D228AEA" w14:textId="77777777" w:rsidR="00D44DCB" w:rsidRDefault="00000000">
            <w:pPr>
              <w:spacing w:after="40"/>
            </w:pPr>
            <w:r>
              <w:rPr>
                <w:rFonts w:ascii="新細明體" w:eastAsia="新細明體" w:hAnsi="新細明體" w:cs="新細明體"/>
              </w:rPr>
              <w:t>F07</w:t>
            </w:r>
          </w:p>
        </w:tc>
        <w:tc>
          <w:tcPr>
            <w:tcW w:w="1600" w:type="dxa"/>
            <w:tcMar>
              <w:top w:w="40" w:type="dxa"/>
              <w:left w:w="80" w:type="dxa"/>
              <w:bottom w:w="40" w:type="dxa"/>
              <w:right w:w="80" w:type="dxa"/>
            </w:tcMar>
          </w:tcPr>
          <w:p w14:paraId="5D228AEB" w14:textId="77777777" w:rsidR="00D44DCB" w:rsidRDefault="00000000">
            <w:pPr>
              <w:spacing w:after="40"/>
            </w:pPr>
            <w:r>
              <w:rPr>
                <w:rFonts w:ascii="新細明體" w:eastAsia="新細明體" w:hAnsi="新細明體" w:cs="新細明體"/>
              </w:rPr>
              <w:t>手機端大型訊息框</w:t>
            </w:r>
          </w:p>
        </w:tc>
        <w:tc>
          <w:tcPr>
            <w:tcW w:w="3600" w:type="dxa"/>
            <w:tcMar>
              <w:top w:w="40" w:type="dxa"/>
              <w:left w:w="80" w:type="dxa"/>
              <w:bottom w:w="40" w:type="dxa"/>
              <w:right w:w="80" w:type="dxa"/>
            </w:tcMar>
          </w:tcPr>
          <w:p w14:paraId="5D228AEC" w14:textId="77777777" w:rsidR="00D44DCB" w:rsidRDefault="00000000">
            <w:pPr>
              <w:spacing w:after="40"/>
            </w:pPr>
            <w:r>
              <w:rPr>
                <w:rFonts w:ascii="新細明體" w:eastAsia="新細明體" w:hAnsi="新細明體" w:cs="新細明體"/>
              </w:rPr>
              <w:t>規劃加入手機／APP 大型訊息框，作為醒目的手機端提醒介面。</w:t>
            </w:r>
          </w:p>
        </w:tc>
        <w:tc>
          <w:tcPr>
            <w:tcW w:w="1600" w:type="dxa"/>
            <w:tcMar>
              <w:top w:w="40" w:type="dxa"/>
              <w:left w:w="80" w:type="dxa"/>
              <w:bottom w:w="40" w:type="dxa"/>
              <w:right w:w="80" w:type="dxa"/>
            </w:tcMar>
          </w:tcPr>
          <w:p w14:paraId="5D228AED" w14:textId="77777777" w:rsidR="00D44DCB" w:rsidRDefault="00000000">
            <w:pPr>
              <w:spacing w:after="40"/>
            </w:pPr>
            <w:r>
              <w:rPr>
                <w:rFonts w:ascii="新細明體" w:eastAsia="新細明體" w:hAnsi="新細明體" w:cs="新細明體"/>
              </w:rPr>
              <w:t>概念中・機制未定</w:t>
            </w:r>
          </w:p>
        </w:tc>
        <w:tc>
          <w:tcPr>
            <w:tcW w:w="2000" w:type="dxa"/>
            <w:tcMar>
              <w:top w:w="40" w:type="dxa"/>
              <w:left w:w="80" w:type="dxa"/>
              <w:bottom w:w="40" w:type="dxa"/>
              <w:right w:w="80" w:type="dxa"/>
            </w:tcMar>
          </w:tcPr>
          <w:p w14:paraId="5D228AEE" w14:textId="77777777" w:rsidR="00D44DCB" w:rsidRDefault="00000000">
            <w:pPr>
              <w:spacing w:after="40"/>
            </w:pPr>
            <w:r>
              <w:rPr>
                <w:rFonts w:ascii="新細明體" w:eastAsia="新細明體" w:hAnsi="新細明體" w:cs="新細明體"/>
              </w:rPr>
              <w:t>呈現載體與顯示時機</w:t>
            </w:r>
          </w:p>
        </w:tc>
      </w:tr>
      <w:tr w:rsidR="00D44DCB" w14:paraId="5D228AF5" w14:textId="77777777">
        <w:tblPrEx>
          <w:tblCellMar>
            <w:top w:w="0" w:type="dxa"/>
            <w:bottom w:w="0" w:type="dxa"/>
          </w:tblCellMar>
        </w:tblPrEx>
        <w:tc>
          <w:tcPr>
            <w:tcW w:w="800" w:type="dxa"/>
            <w:tcMar>
              <w:top w:w="40" w:type="dxa"/>
              <w:left w:w="80" w:type="dxa"/>
              <w:bottom w:w="40" w:type="dxa"/>
              <w:right w:w="80" w:type="dxa"/>
            </w:tcMar>
          </w:tcPr>
          <w:p w14:paraId="5D228AF0" w14:textId="77777777" w:rsidR="00D44DCB" w:rsidRDefault="00000000">
            <w:pPr>
              <w:spacing w:after="40"/>
            </w:pPr>
            <w:r>
              <w:rPr>
                <w:rFonts w:ascii="新細明體" w:eastAsia="新細明體" w:hAnsi="新細明體" w:cs="新細明體"/>
              </w:rPr>
              <w:t>F08</w:t>
            </w:r>
          </w:p>
        </w:tc>
        <w:tc>
          <w:tcPr>
            <w:tcW w:w="1600" w:type="dxa"/>
            <w:tcMar>
              <w:top w:w="40" w:type="dxa"/>
              <w:left w:w="80" w:type="dxa"/>
              <w:bottom w:w="40" w:type="dxa"/>
              <w:right w:w="80" w:type="dxa"/>
            </w:tcMar>
          </w:tcPr>
          <w:p w14:paraId="5D228AF1" w14:textId="77777777" w:rsidR="00D44DCB" w:rsidRDefault="00000000">
            <w:pPr>
              <w:spacing w:after="40"/>
            </w:pPr>
            <w:r>
              <w:rPr>
                <w:rFonts w:ascii="新細明體" w:eastAsia="新細明體" w:hAnsi="新細明體" w:cs="新細明體"/>
              </w:rPr>
              <w:t>藤蔓侵蝕事件</w:t>
            </w:r>
          </w:p>
        </w:tc>
        <w:tc>
          <w:tcPr>
            <w:tcW w:w="3600" w:type="dxa"/>
            <w:tcMar>
              <w:top w:w="40" w:type="dxa"/>
              <w:left w:w="80" w:type="dxa"/>
              <w:bottom w:w="40" w:type="dxa"/>
              <w:right w:w="80" w:type="dxa"/>
            </w:tcMar>
          </w:tcPr>
          <w:p w14:paraId="5D228AF2" w14:textId="77777777" w:rsidR="00D44DCB" w:rsidRDefault="00000000">
            <w:pPr>
              <w:spacing w:after="40"/>
            </w:pPr>
            <w:r>
              <w:rPr>
                <w:rFonts w:ascii="新細明體" w:eastAsia="新細明體" w:hAnsi="新細明體" w:cs="新細明體"/>
              </w:rPr>
              <w:t>規劃以藤蔓撐開或破壞地板、房屋、房屋內部及島嶼的視覺／遊戲事件，呈現中斷參與後的負向回饋。</w:t>
            </w:r>
          </w:p>
        </w:tc>
        <w:tc>
          <w:tcPr>
            <w:tcW w:w="1600" w:type="dxa"/>
            <w:tcMar>
              <w:top w:w="40" w:type="dxa"/>
              <w:left w:w="80" w:type="dxa"/>
              <w:bottom w:w="40" w:type="dxa"/>
              <w:right w:w="80" w:type="dxa"/>
            </w:tcMar>
          </w:tcPr>
          <w:p w14:paraId="5D228AF3" w14:textId="77777777" w:rsidR="00D44DCB" w:rsidRDefault="00000000">
            <w:pPr>
              <w:spacing w:after="40"/>
            </w:pPr>
            <w:r>
              <w:rPr>
                <w:rFonts w:ascii="新細明體" w:eastAsia="新細明體" w:hAnsi="新細明體" w:cs="新細明體"/>
              </w:rPr>
              <w:t>概念中・機制未定</w:t>
            </w:r>
          </w:p>
        </w:tc>
        <w:tc>
          <w:tcPr>
            <w:tcW w:w="2000" w:type="dxa"/>
            <w:tcMar>
              <w:top w:w="40" w:type="dxa"/>
              <w:left w:w="80" w:type="dxa"/>
              <w:bottom w:w="40" w:type="dxa"/>
              <w:right w:w="80" w:type="dxa"/>
            </w:tcMar>
          </w:tcPr>
          <w:p w14:paraId="5D228AF4" w14:textId="77777777" w:rsidR="00D44DCB" w:rsidRDefault="00000000">
            <w:pPr>
              <w:spacing w:after="40"/>
            </w:pPr>
            <w:r>
              <w:rPr>
                <w:rFonts w:ascii="新細明體" w:eastAsia="新細明體" w:hAnsi="新細明體" w:cs="新細明體"/>
              </w:rPr>
              <w:t>觸發、程度、可逆性、復原與資產影響</w:t>
            </w:r>
          </w:p>
        </w:tc>
      </w:tr>
      <w:tr w:rsidR="00D44DCB" w14:paraId="5D228AFB" w14:textId="77777777">
        <w:tblPrEx>
          <w:tblCellMar>
            <w:top w:w="0" w:type="dxa"/>
            <w:bottom w:w="0" w:type="dxa"/>
          </w:tblCellMar>
        </w:tblPrEx>
        <w:tc>
          <w:tcPr>
            <w:tcW w:w="800" w:type="dxa"/>
            <w:tcMar>
              <w:top w:w="40" w:type="dxa"/>
              <w:left w:w="80" w:type="dxa"/>
              <w:bottom w:w="40" w:type="dxa"/>
              <w:right w:w="80" w:type="dxa"/>
            </w:tcMar>
          </w:tcPr>
          <w:p w14:paraId="5D228AF6" w14:textId="77777777" w:rsidR="00D44DCB" w:rsidRDefault="00000000">
            <w:pPr>
              <w:spacing w:after="40"/>
            </w:pPr>
            <w:r>
              <w:rPr>
                <w:rFonts w:ascii="新細明體" w:eastAsia="新細明體" w:hAnsi="新細明體" w:cs="新細明體"/>
              </w:rPr>
              <w:lastRenderedPageBreak/>
              <w:t>F09</w:t>
            </w:r>
          </w:p>
        </w:tc>
        <w:tc>
          <w:tcPr>
            <w:tcW w:w="1600" w:type="dxa"/>
            <w:tcMar>
              <w:top w:w="40" w:type="dxa"/>
              <w:left w:w="80" w:type="dxa"/>
              <w:bottom w:w="40" w:type="dxa"/>
              <w:right w:w="80" w:type="dxa"/>
            </w:tcMar>
          </w:tcPr>
          <w:p w14:paraId="5D228AF7" w14:textId="77777777" w:rsidR="00D44DCB" w:rsidRDefault="00000000">
            <w:pPr>
              <w:spacing w:after="40"/>
            </w:pPr>
            <w:r>
              <w:rPr>
                <w:rFonts w:ascii="新細明體" w:eastAsia="新細明體" w:hAnsi="新細明體" w:cs="新細明體"/>
              </w:rPr>
              <w:t>顏色變化提醒</w:t>
            </w:r>
          </w:p>
        </w:tc>
        <w:tc>
          <w:tcPr>
            <w:tcW w:w="3600" w:type="dxa"/>
            <w:tcMar>
              <w:top w:w="40" w:type="dxa"/>
              <w:left w:w="80" w:type="dxa"/>
              <w:bottom w:w="40" w:type="dxa"/>
              <w:right w:w="80" w:type="dxa"/>
            </w:tcMar>
          </w:tcPr>
          <w:p w14:paraId="5D228AF8" w14:textId="77777777" w:rsidR="00D44DCB" w:rsidRDefault="00000000">
            <w:pPr>
              <w:spacing w:after="40"/>
            </w:pPr>
            <w:r>
              <w:rPr>
                <w:rFonts w:ascii="新細明體" w:eastAsia="新細明體" w:hAnsi="新細明體" w:cs="新細明體"/>
              </w:rPr>
              <w:t>手機端大型訊息框規劃以明顯顏色變化提醒使用者。</w:t>
            </w:r>
          </w:p>
        </w:tc>
        <w:tc>
          <w:tcPr>
            <w:tcW w:w="1600" w:type="dxa"/>
            <w:tcMar>
              <w:top w:w="40" w:type="dxa"/>
              <w:left w:w="80" w:type="dxa"/>
              <w:bottom w:w="40" w:type="dxa"/>
              <w:right w:w="80" w:type="dxa"/>
            </w:tcMar>
          </w:tcPr>
          <w:p w14:paraId="5D228AF9" w14:textId="77777777" w:rsidR="00D44DCB" w:rsidRDefault="00000000">
            <w:pPr>
              <w:spacing w:after="40"/>
            </w:pPr>
            <w:r>
              <w:rPr>
                <w:rFonts w:ascii="新細明體" w:eastAsia="新細明體" w:hAnsi="新細明體" w:cs="新細明體"/>
              </w:rPr>
              <w:t>概念中・機制未定</w:t>
            </w:r>
          </w:p>
        </w:tc>
        <w:tc>
          <w:tcPr>
            <w:tcW w:w="2000" w:type="dxa"/>
            <w:tcMar>
              <w:top w:w="40" w:type="dxa"/>
              <w:left w:w="80" w:type="dxa"/>
              <w:bottom w:w="40" w:type="dxa"/>
              <w:right w:w="80" w:type="dxa"/>
            </w:tcMar>
          </w:tcPr>
          <w:p w14:paraId="5D228AFA" w14:textId="77777777" w:rsidR="00D44DCB" w:rsidRDefault="00000000">
            <w:pPr>
              <w:spacing w:after="40"/>
            </w:pPr>
            <w:r>
              <w:rPr>
                <w:rFonts w:ascii="新細明體" w:eastAsia="新細明體" w:hAnsi="新細明體" w:cs="新細明體"/>
              </w:rPr>
              <w:t>色彩規則、提示層級與可讀性</w:t>
            </w:r>
          </w:p>
        </w:tc>
      </w:tr>
      <w:tr w:rsidR="00D44DCB" w14:paraId="5D228B01" w14:textId="77777777">
        <w:tblPrEx>
          <w:tblCellMar>
            <w:top w:w="0" w:type="dxa"/>
            <w:bottom w:w="0" w:type="dxa"/>
          </w:tblCellMar>
        </w:tblPrEx>
        <w:tc>
          <w:tcPr>
            <w:tcW w:w="800" w:type="dxa"/>
            <w:tcMar>
              <w:top w:w="40" w:type="dxa"/>
              <w:left w:w="80" w:type="dxa"/>
              <w:bottom w:w="40" w:type="dxa"/>
              <w:right w:w="80" w:type="dxa"/>
            </w:tcMar>
          </w:tcPr>
          <w:p w14:paraId="5D228AFC" w14:textId="77777777" w:rsidR="00D44DCB" w:rsidRDefault="00000000">
            <w:pPr>
              <w:spacing w:after="40"/>
            </w:pPr>
            <w:r>
              <w:rPr>
                <w:rFonts w:ascii="新細明體" w:eastAsia="新細明體" w:hAnsi="新細明體" w:cs="新細明體"/>
              </w:rPr>
              <w:t>F10</w:t>
            </w:r>
          </w:p>
        </w:tc>
        <w:tc>
          <w:tcPr>
            <w:tcW w:w="1600" w:type="dxa"/>
            <w:tcMar>
              <w:top w:w="40" w:type="dxa"/>
              <w:left w:w="80" w:type="dxa"/>
              <w:bottom w:w="40" w:type="dxa"/>
              <w:right w:w="80" w:type="dxa"/>
            </w:tcMar>
          </w:tcPr>
          <w:p w14:paraId="5D228AFD" w14:textId="77777777" w:rsidR="00D44DCB" w:rsidRDefault="00000000">
            <w:pPr>
              <w:spacing w:after="40"/>
            </w:pPr>
            <w:r>
              <w:rPr>
                <w:rFonts w:ascii="新細明體" w:eastAsia="新細明體" w:hAnsi="新細明體" w:cs="新細明體"/>
              </w:rPr>
              <w:t>每日挑戰式通知</w:t>
            </w:r>
          </w:p>
        </w:tc>
        <w:tc>
          <w:tcPr>
            <w:tcW w:w="3600" w:type="dxa"/>
            <w:tcMar>
              <w:top w:w="40" w:type="dxa"/>
              <w:left w:w="80" w:type="dxa"/>
              <w:bottom w:w="40" w:type="dxa"/>
              <w:right w:w="80" w:type="dxa"/>
            </w:tcMar>
          </w:tcPr>
          <w:p w14:paraId="5D228AFE" w14:textId="77777777" w:rsidR="00D44DCB" w:rsidRDefault="00000000">
            <w:pPr>
              <w:spacing w:after="40"/>
            </w:pPr>
            <w:r>
              <w:rPr>
                <w:rFonts w:ascii="新細明體" w:eastAsia="新細明體" w:hAnsi="新細明體" w:cs="新細明體"/>
              </w:rPr>
              <w:t>規劃每日發送帶有挑戰語氣的激勵式通知（來源原稱「激將法」），用於刺激使用者重新參與。</w:t>
            </w:r>
          </w:p>
        </w:tc>
        <w:tc>
          <w:tcPr>
            <w:tcW w:w="1600" w:type="dxa"/>
            <w:tcMar>
              <w:top w:w="40" w:type="dxa"/>
              <w:left w:w="80" w:type="dxa"/>
              <w:bottom w:w="40" w:type="dxa"/>
              <w:right w:w="80" w:type="dxa"/>
            </w:tcMar>
          </w:tcPr>
          <w:p w14:paraId="5D228AFF" w14:textId="77777777" w:rsidR="00D44DCB" w:rsidRDefault="00000000">
            <w:pPr>
              <w:spacing w:after="40"/>
            </w:pPr>
            <w:r>
              <w:rPr>
                <w:rFonts w:ascii="新細明體" w:eastAsia="新細明體" w:hAnsi="新細明體" w:cs="新細明體"/>
              </w:rPr>
              <w:t>概念中・機制未定</w:t>
            </w:r>
          </w:p>
        </w:tc>
        <w:tc>
          <w:tcPr>
            <w:tcW w:w="2000" w:type="dxa"/>
            <w:tcMar>
              <w:top w:w="40" w:type="dxa"/>
              <w:left w:w="80" w:type="dxa"/>
              <w:bottom w:w="40" w:type="dxa"/>
              <w:right w:w="80" w:type="dxa"/>
            </w:tcMar>
          </w:tcPr>
          <w:p w14:paraId="5D228B00" w14:textId="77777777" w:rsidR="00D44DCB" w:rsidRDefault="00000000">
            <w:pPr>
              <w:spacing w:after="40"/>
            </w:pPr>
            <w:r>
              <w:rPr>
                <w:rFonts w:ascii="新細明體" w:eastAsia="新細明體" w:hAnsi="新細明體" w:cs="新細明體"/>
              </w:rPr>
              <w:t>頻率、文案、同意、關閉方式與心理壓力</w:t>
            </w:r>
          </w:p>
        </w:tc>
      </w:tr>
      <w:tr w:rsidR="00D44DCB" w14:paraId="5D228B07" w14:textId="77777777">
        <w:tblPrEx>
          <w:tblCellMar>
            <w:top w:w="0" w:type="dxa"/>
            <w:bottom w:w="0" w:type="dxa"/>
          </w:tblCellMar>
        </w:tblPrEx>
        <w:tc>
          <w:tcPr>
            <w:tcW w:w="800" w:type="dxa"/>
            <w:tcMar>
              <w:top w:w="40" w:type="dxa"/>
              <w:left w:w="80" w:type="dxa"/>
              <w:bottom w:w="40" w:type="dxa"/>
              <w:right w:w="80" w:type="dxa"/>
            </w:tcMar>
          </w:tcPr>
          <w:p w14:paraId="5D228B02" w14:textId="77777777" w:rsidR="00D44DCB" w:rsidRDefault="00000000">
            <w:pPr>
              <w:spacing w:after="40"/>
            </w:pPr>
            <w:r>
              <w:rPr>
                <w:rFonts w:ascii="新細明體" w:eastAsia="新細明體" w:hAnsi="新細明體" w:cs="新細明體"/>
              </w:rPr>
              <w:t>F11</w:t>
            </w:r>
          </w:p>
        </w:tc>
        <w:tc>
          <w:tcPr>
            <w:tcW w:w="1600" w:type="dxa"/>
            <w:tcMar>
              <w:top w:w="40" w:type="dxa"/>
              <w:left w:w="80" w:type="dxa"/>
              <w:bottom w:w="40" w:type="dxa"/>
              <w:right w:w="80" w:type="dxa"/>
            </w:tcMar>
          </w:tcPr>
          <w:p w14:paraId="5D228B03" w14:textId="77777777" w:rsidR="00D44DCB" w:rsidRDefault="00000000">
            <w:pPr>
              <w:spacing w:after="40"/>
            </w:pPr>
            <w:r>
              <w:rPr>
                <w:rFonts w:ascii="新細明體" w:eastAsia="新細明體" w:hAnsi="新細明體" w:cs="新細明體"/>
              </w:rPr>
              <w:t>寵物與 NPC 互動</w:t>
            </w:r>
          </w:p>
        </w:tc>
        <w:tc>
          <w:tcPr>
            <w:tcW w:w="3600" w:type="dxa"/>
            <w:tcMar>
              <w:top w:w="40" w:type="dxa"/>
              <w:left w:w="80" w:type="dxa"/>
              <w:bottom w:w="40" w:type="dxa"/>
              <w:right w:w="80" w:type="dxa"/>
            </w:tcMar>
          </w:tcPr>
          <w:p w14:paraId="5D228B04" w14:textId="77777777" w:rsidR="00D44DCB" w:rsidRDefault="00000000">
            <w:pPr>
              <w:spacing w:after="40"/>
            </w:pPr>
            <w:r>
              <w:rPr>
                <w:rFonts w:ascii="新細明體" w:eastAsia="新細明體" w:hAnsi="新細明體" w:cs="新細明體"/>
              </w:rPr>
              <w:t>規劃增加寵物或 NPC 與玩家之間的互動，並為不同角色建立各自特色。</w:t>
            </w:r>
          </w:p>
        </w:tc>
        <w:tc>
          <w:tcPr>
            <w:tcW w:w="1600" w:type="dxa"/>
            <w:tcMar>
              <w:top w:w="40" w:type="dxa"/>
              <w:left w:w="80" w:type="dxa"/>
              <w:bottom w:w="40" w:type="dxa"/>
              <w:right w:w="80" w:type="dxa"/>
            </w:tcMar>
          </w:tcPr>
          <w:p w14:paraId="5D228B05" w14:textId="77777777" w:rsidR="00D44DCB" w:rsidRDefault="00000000">
            <w:pPr>
              <w:spacing w:after="40"/>
            </w:pPr>
            <w:r>
              <w:rPr>
                <w:rFonts w:ascii="新細明體" w:eastAsia="新細明體" w:hAnsi="新細明體" w:cs="新細明體"/>
              </w:rPr>
              <w:t>規劃中・未完成</w:t>
            </w:r>
          </w:p>
        </w:tc>
        <w:tc>
          <w:tcPr>
            <w:tcW w:w="2000" w:type="dxa"/>
            <w:tcMar>
              <w:top w:w="40" w:type="dxa"/>
              <w:left w:w="80" w:type="dxa"/>
              <w:bottom w:w="40" w:type="dxa"/>
              <w:right w:w="80" w:type="dxa"/>
            </w:tcMar>
          </w:tcPr>
          <w:p w14:paraId="5D228B06" w14:textId="77777777" w:rsidR="00D44DCB" w:rsidRDefault="00000000">
            <w:pPr>
              <w:spacing w:after="40"/>
            </w:pPr>
            <w:r>
              <w:rPr>
                <w:rFonts w:ascii="新細明體" w:eastAsia="新細明體" w:hAnsi="新細明體" w:cs="新細明體"/>
              </w:rPr>
              <w:t>角色數量、互動流程與觸發方式</w:t>
            </w:r>
          </w:p>
        </w:tc>
      </w:tr>
      <w:tr w:rsidR="00D44DCB" w14:paraId="5D228B0D" w14:textId="77777777">
        <w:tblPrEx>
          <w:tblCellMar>
            <w:top w:w="0" w:type="dxa"/>
            <w:bottom w:w="0" w:type="dxa"/>
          </w:tblCellMar>
        </w:tblPrEx>
        <w:tc>
          <w:tcPr>
            <w:tcW w:w="800" w:type="dxa"/>
            <w:tcMar>
              <w:top w:w="40" w:type="dxa"/>
              <w:left w:w="80" w:type="dxa"/>
              <w:bottom w:w="40" w:type="dxa"/>
              <w:right w:w="80" w:type="dxa"/>
            </w:tcMar>
          </w:tcPr>
          <w:p w14:paraId="5D228B08" w14:textId="77777777" w:rsidR="00D44DCB" w:rsidRDefault="00000000">
            <w:pPr>
              <w:spacing w:after="40"/>
            </w:pPr>
            <w:r>
              <w:rPr>
                <w:rFonts w:ascii="新細明體" w:eastAsia="新細明體" w:hAnsi="新細明體" w:cs="新細明體"/>
              </w:rPr>
              <w:t>F12</w:t>
            </w:r>
          </w:p>
        </w:tc>
        <w:tc>
          <w:tcPr>
            <w:tcW w:w="1600" w:type="dxa"/>
            <w:tcMar>
              <w:top w:w="40" w:type="dxa"/>
              <w:left w:w="80" w:type="dxa"/>
              <w:bottom w:w="40" w:type="dxa"/>
              <w:right w:w="80" w:type="dxa"/>
            </w:tcMar>
          </w:tcPr>
          <w:p w14:paraId="5D228B09" w14:textId="77777777" w:rsidR="00D44DCB" w:rsidRDefault="00000000">
            <w:pPr>
              <w:spacing w:after="40"/>
            </w:pPr>
            <w:r>
              <w:rPr>
                <w:rFonts w:ascii="新細明體" w:eastAsia="新細明體" w:hAnsi="新細明體" w:cs="新細明體"/>
              </w:rPr>
              <w:t>動物 NPC 與職務</w:t>
            </w:r>
          </w:p>
        </w:tc>
        <w:tc>
          <w:tcPr>
            <w:tcW w:w="3600" w:type="dxa"/>
            <w:tcMar>
              <w:top w:w="40" w:type="dxa"/>
              <w:left w:w="80" w:type="dxa"/>
              <w:bottom w:w="40" w:type="dxa"/>
              <w:right w:w="80" w:type="dxa"/>
            </w:tcMar>
          </w:tcPr>
          <w:p w14:paraId="5D228B0A" w14:textId="77777777" w:rsidR="00D44DCB" w:rsidRDefault="00000000">
            <w:pPr>
              <w:spacing w:after="40"/>
            </w:pPr>
            <w:r>
              <w:rPr>
                <w:rFonts w:ascii="新細明體" w:eastAsia="新細明體" w:hAnsi="新細明體" w:cs="新細明體"/>
              </w:rPr>
              <w:t>NPC 規劃多以動物外觀呈現，採人類化行為與園丁、管家等職務設定；不同 NPC 將對島嶼產生各自的正向作用。</w:t>
            </w:r>
          </w:p>
        </w:tc>
        <w:tc>
          <w:tcPr>
            <w:tcW w:w="1600" w:type="dxa"/>
            <w:tcMar>
              <w:top w:w="40" w:type="dxa"/>
              <w:left w:w="80" w:type="dxa"/>
              <w:bottom w:w="40" w:type="dxa"/>
              <w:right w:w="80" w:type="dxa"/>
            </w:tcMar>
          </w:tcPr>
          <w:p w14:paraId="5D228B0B" w14:textId="77777777" w:rsidR="00D44DCB" w:rsidRDefault="00000000">
            <w:pPr>
              <w:spacing w:after="40"/>
            </w:pPr>
            <w:r>
              <w:rPr>
                <w:rFonts w:ascii="新細明體" w:eastAsia="新細明體" w:hAnsi="新細明體" w:cs="新細明體"/>
              </w:rPr>
              <w:t>規劃中・未完成</w:t>
            </w:r>
          </w:p>
        </w:tc>
        <w:tc>
          <w:tcPr>
            <w:tcW w:w="2000" w:type="dxa"/>
            <w:tcMar>
              <w:top w:w="40" w:type="dxa"/>
              <w:left w:w="80" w:type="dxa"/>
              <w:bottom w:w="40" w:type="dxa"/>
              <w:right w:w="80" w:type="dxa"/>
            </w:tcMar>
          </w:tcPr>
          <w:p w14:paraId="5D228B0C" w14:textId="77777777" w:rsidR="00D44DCB" w:rsidRDefault="00000000">
            <w:pPr>
              <w:spacing w:after="40"/>
            </w:pPr>
            <w:r>
              <w:rPr>
                <w:rFonts w:ascii="新細明體" w:eastAsia="新細明體" w:hAnsi="新細明體" w:cs="新細明體"/>
              </w:rPr>
              <w:t>職務內容、正向作用、數值與規則</w:t>
            </w:r>
          </w:p>
        </w:tc>
      </w:tr>
      <w:tr w:rsidR="00D44DCB" w14:paraId="5D228B13" w14:textId="77777777">
        <w:tblPrEx>
          <w:tblCellMar>
            <w:top w:w="0" w:type="dxa"/>
            <w:bottom w:w="0" w:type="dxa"/>
          </w:tblCellMar>
        </w:tblPrEx>
        <w:tc>
          <w:tcPr>
            <w:tcW w:w="800" w:type="dxa"/>
            <w:tcMar>
              <w:top w:w="40" w:type="dxa"/>
              <w:left w:w="80" w:type="dxa"/>
              <w:bottom w:w="40" w:type="dxa"/>
              <w:right w:w="80" w:type="dxa"/>
            </w:tcMar>
          </w:tcPr>
          <w:p w14:paraId="5D228B0E" w14:textId="77777777" w:rsidR="00D44DCB" w:rsidRDefault="00000000">
            <w:pPr>
              <w:spacing w:after="40"/>
            </w:pPr>
            <w:r>
              <w:rPr>
                <w:rFonts w:ascii="新細明體" w:eastAsia="新細明體" w:hAnsi="新細明體" w:cs="新細明體"/>
              </w:rPr>
              <w:t>F13</w:t>
            </w:r>
          </w:p>
        </w:tc>
        <w:tc>
          <w:tcPr>
            <w:tcW w:w="1600" w:type="dxa"/>
            <w:tcMar>
              <w:top w:w="40" w:type="dxa"/>
              <w:left w:w="80" w:type="dxa"/>
              <w:bottom w:w="40" w:type="dxa"/>
              <w:right w:w="80" w:type="dxa"/>
            </w:tcMar>
          </w:tcPr>
          <w:p w14:paraId="5D228B0F" w14:textId="77777777" w:rsidR="00D44DCB" w:rsidRDefault="00000000">
            <w:pPr>
              <w:spacing w:after="40"/>
            </w:pPr>
            <w:r>
              <w:rPr>
                <w:rFonts w:ascii="新細明體" w:eastAsia="新細明體" w:hAnsi="新細明體" w:cs="新細明體"/>
              </w:rPr>
              <w:t>載入畫面</w:t>
            </w:r>
          </w:p>
        </w:tc>
        <w:tc>
          <w:tcPr>
            <w:tcW w:w="3600" w:type="dxa"/>
            <w:tcMar>
              <w:top w:w="40" w:type="dxa"/>
              <w:left w:w="80" w:type="dxa"/>
              <w:bottom w:w="40" w:type="dxa"/>
              <w:right w:w="80" w:type="dxa"/>
            </w:tcMar>
          </w:tcPr>
          <w:p w14:paraId="5D228B10" w14:textId="77777777" w:rsidR="00D44DCB" w:rsidRDefault="00000000">
            <w:pPr>
              <w:spacing w:after="40"/>
            </w:pPr>
            <w:r>
              <w:rPr>
                <w:rFonts w:ascii="新細明體" w:eastAsia="新細明體" w:hAnsi="新細明體" w:cs="新細明體"/>
              </w:rPr>
              <w:t>規劃重新設計載入畫面，使其具備更明確的美感，並延續整體遊戲的視覺風格。</w:t>
            </w:r>
          </w:p>
        </w:tc>
        <w:tc>
          <w:tcPr>
            <w:tcW w:w="1600" w:type="dxa"/>
            <w:tcMar>
              <w:top w:w="40" w:type="dxa"/>
              <w:left w:w="80" w:type="dxa"/>
              <w:bottom w:w="40" w:type="dxa"/>
              <w:right w:w="80" w:type="dxa"/>
            </w:tcMar>
          </w:tcPr>
          <w:p w14:paraId="5D228B11" w14:textId="77777777" w:rsidR="00D44DCB" w:rsidRDefault="00000000">
            <w:pPr>
              <w:spacing w:after="40"/>
            </w:pPr>
            <w:r>
              <w:rPr>
                <w:rFonts w:ascii="新細明體" w:eastAsia="新細明體" w:hAnsi="新細明體" w:cs="新細明體"/>
              </w:rPr>
              <w:t>規劃中・未完成</w:t>
            </w:r>
          </w:p>
        </w:tc>
        <w:tc>
          <w:tcPr>
            <w:tcW w:w="2000" w:type="dxa"/>
            <w:tcMar>
              <w:top w:w="40" w:type="dxa"/>
              <w:left w:w="80" w:type="dxa"/>
              <w:bottom w:w="40" w:type="dxa"/>
              <w:right w:w="80" w:type="dxa"/>
            </w:tcMar>
          </w:tcPr>
          <w:p w14:paraId="5D228B12" w14:textId="77777777" w:rsidR="00D44DCB" w:rsidRDefault="00000000">
            <w:pPr>
              <w:spacing w:after="40"/>
            </w:pPr>
            <w:r>
              <w:rPr>
                <w:rFonts w:ascii="新細明體" w:eastAsia="新細明體" w:hAnsi="新細明體" w:cs="新細明體"/>
              </w:rPr>
              <w:t>版面、動畫與載入資訊</w:t>
            </w:r>
          </w:p>
        </w:tc>
      </w:tr>
      <w:tr w:rsidR="00D44DCB" w14:paraId="5D228B19" w14:textId="77777777">
        <w:tblPrEx>
          <w:tblCellMar>
            <w:top w:w="0" w:type="dxa"/>
            <w:bottom w:w="0" w:type="dxa"/>
          </w:tblCellMar>
        </w:tblPrEx>
        <w:tc>
          <w:tcPr>
            <w:tcW w:w="800" w:type="dxa"/>
            <w:tcMar>
              <w:top w:w="40" w:type="dxa"/>
              <w:left w:w="80" w:type="dxa"/>
              <w:bottom w:w="40" w:type="dxa"/>
              <w:right w:w="80" w:type="dxa"/>
            </w:tcMar>
          </w:tcPr>
          <w:p w14:paraId="5D228B14" w14:textId="77777777" w:rsidR="00D44DCB" w:rsidRDefault="00000000">
            <w:pPr>
              <w:spacing w:after="40"/>
            </w:pPr>
            <w:r>
              <w:rPr>
                <w:rFonts w:ascii="新細明體" w:eastAsia="新細明體" w:hAnsi="新細明體" w:cs="新細明體"/>
              </w:rPr>
              <w:t>F14</w:t>
            </w:r>
          </w:p>
        </w:tc>
        <w:tc>
          <w:tcPr>
            <w:tcW w:w="1600" w:type="dxa"/>
            <w:tcMar>
              <w:top w:w="40" w:type="dxa"/>
              <w:left w:w="80" w:type="dxa"/>
              <w:bottom w:w="40" w:type="dxa"/>
              <w:right w:w="80" w:type="dxa"/>
            </w:tcMar>
          </w:tcPr>
          <w:p w14:paraId="5D228B15" w14:textId="77777777" w:rsidR="00D44DCB" w:rsidRDefault="00000000">
            <w:pPr>
              <w:spacing w:after="40"/>
            </w:pPr>
            <w:r>
              <w:rPr>
                <w:rFonts w:ascii="新細明體" w:eastAsia="新細明體" w:hAnsi="新細明體" w:cs="新細明體"/>
              </w:rPr>
              <w:t>新手引導</w:t>
            </w:r>
          </w:p>
        </w:tc>
        <w:tc>
          <w:tcPr>
            <w:tcW w:w="3600" w:type="dxa"/>
            <w:tcMar>
              <w:top w:w="40" w:type="dxa"/>
              <w:left w:w="80" w:type="dxa"/>
              <w:bottom w:w="40" w:type="dxa"/>
              <w:right w:w="80" w:type="dxa"/>
            </w:tcMar>
          </w:tcPr>
          <w:p w14:paraId="5D228B16" w14:textId="77777777" w:rsidR="00D44DCB" w:rsidRDefault="00000000">
            <w:pPr>
              <w:spacing w:after="40"/>
            </w:pPr>
            <w:r>
              <w:rPr>
                <w:rFonts w:ascii="新細明體" w:eastAsia="新細明體" w:hAnsi="新細明體" w:cs="新細明體"/>
              </w:rPr>
              <w:t>規劃進一步完善新手引導，使首次進入遊戲的使用者更容易理解主要介面、操作順序與核心功能。</w:t>
            </w:r>
          </w:p>
        </w:tc>
        <w:tc>
          <w:tcPr>
            <w:tcW w:w="1600" w:type="dxa"/>
            <w:tcMar>
              <w:top w:w="40" w:type="dxa"/>
              <w:left w:w="80" w:type="dxa"/>
              <w:bottom w:w="40" w:type="dxa"/>
              <w:right w:w="80" w:type="dxa"/>
            </w:tcMar>
          </w:tcPr>
          <w:p w14:paraId="5D228B17" w14:textId="77777777" w:rsidR="00D44DCB" w:rsidRDefault="00000000">
            <w:pPr>
              <w:spacing w:after="40"/>
            </w:pPr>
            <w:r>
              <w:rPr>
                <w:rFonts w:ascii="新細明體" w:eastAsia="新細明體" w:hAnsi="新細明體" w:cs="新細明體"/>
              </w:rPr>
              <w:t>規劃中・未完成</w:t>
            </w:r>
          </w:p>
        </w:tc>
        <w:tc>
          <w:tcPr>
            <w:tcW w:w="2000" w:type="dxa"/>
            <w:tcMar>
              <w:top w:w="40" w:type="dxa"/>
              <w:left w:w="80" w:type="dxa"/>
              <w:bottom w:w="40" w:type="dxa"/>
              <w:right w:w="80" w:type="dxa"/>
            </w:tcMar>
          </w:tcPr>
          <w:p w14:paraId="5D228B18" w14:textId="77777777" w:rsidR="00D44DCB" w:rsidRDefault="00000000">
            <w:pPr>
              <w:spacing w:after="40"/>
            </w:pPr>
            <w:r>
              <w:rPr>
                <w:rFonts w:ascii="新細明體" w:eastAsia="新細明體" w:hAnsi="新細明體" w:cs="新細明體"/>
              </w:rPr>
              <w:t>引導步驟、觸發與完成條件</w:t>
            </w:r>
          </w:p>
        </w:tc>
      </w:tr>
      <w:tr w:rsidR="00D44DCB" w14:paraId="5D228B1F" w14:textId="77777777">
        <w:tblPrEx>
          <w:tblCellMar>
            <w:top w:w="0" w:type="dxa"/>
            <w:bottom w:w="0" w:type="dxa"/>
          </w:tblCellMar>
        </w:tblPrEx>
        <w:tc>
          <w:tcPr>
            <w:tcW w:w="800" w:type="dxa"/>
            <w:tcMar>
              <w:top w:w="40" w:type="dxa"/>
              <w:left w:w="80" w:type="dxa"/>
              <w:bottom w:w="40" w:type="dxa"/>
              <w:right w:w="80" w:type="dxa"/>
            </w:tcMar>
          </w:tcPr>
          <w:p w14:paraId="5D228B1A" w14:textId="77777777" w:rsidR="00D44DCB" w:rsidRDefault="00000000">
            <w:pPr>
              <w:spacing w:after="40"/>
            </w:pPr>
            <w:r>
              <w:rPr>
                <w:rFonts w:ascii="新細明體" w:eastAsia="新細明體" w:hAnsi="新細明體" w:cs="新細明體"/>
              </w:rPr>
              <w:t>F15</w:t>
            </w:r>
          </w:p>
        </w:tc>
        <w:tc>
          <w:tcPr>
            <w:tcW w:w="1600" w:type="dxa"/>
            <w:tcMar>
              <w:top w:w="40" w:type="dxa"/>
              <w:left w:w="80" w:type="dxa"/>
              <w:bottom w:w="40" w:type="dxa"/>
              <w:right w:w="80" w:type="dxa"/>
            </w:tcMar>
          </w:tcPr>
          <w:p w14:paraId="5D228B1B" w14:textId="77777777" w:rsidR="00D44DCB" w:rsidRDefault="00000000">
            <w:pPr>
              <w:spacing w:after="40"/>
            </w:pPr>
            <w:r>
              <w:rPr>
                <w:rFonts w:ascii="新細明體" w:eastAsia="新細明體" w:hAnsi="新細明體" w:cs="新細明體"/>
              </w:rPr>
              <w:t>持續參與意圖</w:t>
            </w:r>
          </w:p>
        </w:tc>
        <w:tc>
          <w:tcPr>
            <w:tcW w:w="3600" w:type="dxa"/>
            <w:tcMar>
              <w:top w:w="40" w:type="dxa"/>
              <w:left w:w="80" w:type="dxa"/>
              <w:bottom w:w="40" w:type="dxa"/>
              <w:right w:w="80" w:type="dxa"/>
            </w:tcMar>
          </w:tcPr>
          <w:p w14:paraId="5D228B1C" w14:textId="77777777" w:rsidR="00D44DCB" w:rsidRDefault="00000000">
            <w:pPr>
              <w:spacing w:after="40"/>
            </w:pPr>
            <w:r>
              <w:rPr>
                <w:rFonts w:ascii="新細明體" w:eastAsia="新細明體" w:hAnsi="新細明體" w:cs="新細明體"/>
              </w:rPr>
              <w:t>上述提醒、後果與互動規劃旨在增加使用者留存與持續參與感，但目前尚無實際測試結果。</w:t>
            </w:r>
          </w:p>
        </w:tc>
        <w:tc>
          <w:tcPr>
            <w:tcW w:w="1600" w:type="dxa"/>
            <w:tcMar>
              <w:top w:w="40" w:type="dxa"/>
              <w:left w:w="80" w:type="dxa"/>
              <w:bottom w:w="40" w:type="dxa"/>
              <w:right w:w="80" w:type="dxa"/>
            </w:tcMar>
          </w:tcPr>
          <w:p w14:paraId="5D228B1D" w14:textId="77777777" w:rsidR="00D44DCB" w:rsidRDefault="00000000">
            <w:pPr>
              <w:spacing w:after="40"/>
            </w:pPr>
            <w:r>
              <w:rPr>
                <w:rFonts w:ascii="新細明體" w:eastAsia="新細明體" w:hAnsi="新細明體" w:cs="新細明體"/>
              </w:rPr>
              <w:t>設計意圖・尚待驗證</w:t>
            </w:r>
          </w:p>
        </w:tc>
        <w:tc>
          <w:tcPr>
            <w:tcW w:w="2000" w:type="dxa"/>
            <w:tcMar>
              <w:top w:w="40" w:type="dxa"/>
              <w:left w:w="80" w:type="dxa"/>
              <w:bottom w:w="40" w:type="dxa"/>
              <w:right w:w="80" w:type="dxa"/>
            </w:tcMar>
          </w:tcPr>
          <w:p w14:paraId="5D228B1E" w14:textId="77777777" w:rsidR="00D44DCB" w:rsidRDefault="00000000">
            <w:pPr>
              <w:spacing w:after="40"/>
            </w:pPr>
            <w:r>
              <w:rPr>
                <w:rFonts w:ascii="新細明體" w:eastAsia="新細明體" w:hAnsi="新細明體" w:cs="新細明體"/>
              </w:rPr>
              <w:t>接受度、回訪行為與實際使用結果</w:t>
            </w:r>
          </w:p>
        </w:tc>
      </w:tr>
      <w:tr w:rsidR="00D44DCB" w14:paraId="5D228B25" w14:textId="77777777">
        <w:tblPrEx>
          <w:tblCellMar>
            <w:top w:w="0" w:type="dxa"/>
            <w:bottom w:w="0" w:type="dxa"/>
          </w:tblCellMar>
        </w:tblPrEx>
        <w:tc>
          <w:tcPr>
            <w:tcW w:w="800" w:type="dxa"/>
            <w:tcMar>
              <w:top w:w="40" w:type="dxa"/>
              <w:left w:w="80" w:type="dxa"/>
              <w:bottom w:w="40" w:type="dxa"/>
              <w:right w:w="80" w:type="dxa"/>
            </w:tcMar>
          </w:tcPr>
          <w:p w14:paraId="5D228B20" w14:textId="77777777" w:rsidR="00D44DCB" w:rsidRDefault="00000000">
            <w:pPr>
              <w:spacing w:after="40"/>
            </w:pPr>
            <w:r>
              <w:rPr>
                <w:rFonts w:ascii="新細明體" w:eastAsia="新細明體" w:hAnsi="新細明體" w:cs="新細明體"/>
              </w:rPr>
              <w:t>F16</w:t>
            </w:r>
          </w:p>
        </w:tc>
        <w:tc>
          <w:tcPr>
            <w:tcW w:w="1600" w:type="dxa"/>
            <w:tcMar>
              <w:top w:w="40" w:type="dxa"/>
              <w:left w:w="80" w:type="dxa"/>
              <w:bottom w:w="40" w:type="dxa"/>
              <w:right w:w="80" w:type="dxa"/>
            </w:tcMar>
          </w:tcPr>
          <w:p w14:paraId="5D228B21" w14:textId="77777777" w:rsidR="00D44DCB" w:rsidRDefault="00000000">
            <w:pPr>
              <w:spacing w:after="40"/>
            </w:pPr>
            <w:r>
              <w:rPr>
                <w:rFonts w:ascii="新細明體" w:eastAsia="新細明體" w:hAnsi="新細明體" w:cs="新細明體"/>
              </w:rPr>
              <w:t>飾品稀有度系統</w:t>
            </w:r>
          </w:p>
        </w:tc>
        <w:tc>
          <w:tcPr>
            <w:tcW w:w="3600" w:type="dxa"/>
            <w:tcMar>
              <w:top w:w="40" w:type="dxa"/>
              <w:left w:w="80" w:type="dxa"/>
              <w:bottom w:w="40" w:type="dxa"/>
              <w:right w:w="80" w:type="dxa"/>
            </w:tcMar>
          </w:tcPr>
          <w:p w14:paraId="5D228B22" w14:textId="77777777" w:rsidR="00D44DCB" w:rsidRDefault="00000000">
            <w:pPr>
              <w:spacing w:after="40"/>
            </w:pPr>
            <w:r>
              <w:rPr>
                <w:rFonts w:ascii="新細明體" w:eastAsia="新細明體" w:hAnsi="新細明體" w:cs="新細明體"/>
              </w:rPr>
              <w:t>商品分為「普通、稀有、史詩、神話」四種等級，商店內各等級占比分別為 60%、25%、12%、3%；越稀有的商品獲得時特效、動畫與音效越華麗。頂級商品（如神話級鳳凰）約需累積 5,000–6,000 金幣；稀有度最高者則改以經驗值解鎖——累積達指定等級即直接獲得，不扣除經驗值。輪盤抽獎命中率：碎片 48%、抽獎券 15%、功能卡 20%、普通 8%、稀有 5%、史詩 3%、神話 1%。</w:t>
            </w:r>
          </w:p>
        </w:tc>
        <w:tc>
          <w:tcPr>
            <w:tcW w:w="1600" w:type="dxa"/>
            <w:tcMar>
              <w:top w:w="40" w:type="dxa"/>
              <w:left w:w="80" w:type="dxa"/>
              <w:bottom w:w="40" w:type="dxa"/>
              <w:right w:w="80" w:type="dxa"/>
            </w:tcMar>
          </w:tcPr>
          <w:p w14:paraId="5D228B23" w14:textId="77777777" w:rsidR="00D44DCB" w:rsidRDefault="00000000">
            <w:pPr>
              <w:spacing w:after="40"/>
            </w:pPr>
            <w:r>
              <w:rPr>
                <w:rFonts w:ascii="新細明體" w:eastAsia="新細明體" w:hAnsi="新細明體" w:cs="新細明體"/>
              </w:rPr>
              <w:t>未來藍圖・規劃中</w:t>
            </w:r>
          </w:p>
        </w:tc>
        <w:tc>
          <w:tcPr>
            <w:tcW w:w="2000" w:type="dxa"/>
            <w:tcMar>
              <w:top w:w="40" w:type="dxa"/>
              <w:left w:w="80" w:type="dxa"/>
              <w:bottom w:w="40" w:type="dxa"/>
              <w:right w:w="80" w:type="dxa"/>
            </w:tcMar>
          </w:tcPr>
          <w:p w14:paraId="5D228B24" w14:textId="77777777" w:rsidR="00D44DCB" w:rsidRDefault="00000000">
            <w:pPr>
              <w:spacing w:after="40"/>
            </w:pPr>
            <w:r>
              <w:rPr>
                <w:rFonts w:ascii="新細明體" w:eastAsia="新細明體" w:hAnsi="新細明體" w:cs="新細明體"/>
              </w:rPr>
              <w:t>各等級定價、頂級商品的解鎖等級門檻、機率平衡與經濟調控</w:t>
            </w:r>
          </w:p>
        </w:tc>
      </w:tr>
      <w:tr w:rsidR="00D44DCB" w14:paraId="5D228B2B" w14:textId="77777777">
        <w:tblPrEx>
          <w:tblCellMar>
            <w:top w:w="0" w:type="dxa"/>
            <w:bottom w:w="0" w:type="dxa"/>
          </w:tblCellMar>
        </w:tblPrEx>
        <w:tc>
          <w:tcPr>
            <w:tcW w:w="800" w:type="dxa"/>
            <w:tcMar>
              <w:top w:w="40" w:type="dxa"/>
              <w:left w:w="80" w:type="dxa"/>
              <w:bottom w:w="40" w:type="dxa"/>
              <w:right w:w="80" w:type="dxa"/>
            </w:tcMar>
          </w:tcPr>
          <w:p w14:paraId="5D228B26" w14:textId="77777777" w:rsidR="00D44DCB" w:rsidRDefault="00000000">
            <w:pPr>
              <w:spacing w:after="40"/>
            </w:pPr>
            <w:r>
              <w:rPr>
                <w:rFonts w:ascii="新細明體" w:eastAsia="新細明體" w:hAnsi="新細明體" w:cs="新細明體"/>
              </w:rPr>
              <w:t>F17</w:t>
            </w:r>
          </w:p>
        </w:tc>
        <w:tc>
          <w:tcPr>
            <w:tcW w:w="1600" w:type="dxa"/>
            <w:tcMar>
              <w:top w:w="40" w:type="dxa"/>
              <w:left w:w="80" w:type="dxa"/>
              <w:bottom w:w="40" w:type="dxa"/>
              <w:right w:w="80" w:type="dxa"/>
            </w:tcMar>
          </w:tcPr>
          <w:p w14:paraId="5D228B27" w14:textId="77777777" w:rsidR="00D44DCB" w:rsidRDefault="00000000">
            <w:pPr>
              <w:spacing w:after="40"/>
            </w:pPr>
            <w:r>
              <w:rPr>
                <w:rFonts w:ascii="新細明體" w:eastAsia="新細明體" w:hAnsi="新細明體" w:cs="新細明體"/>
              </w:rPr>
              <w:t>飾品與角色全面優化</w:t>
            </w:r>
          </w:p>
        </w:tc>
        <w:tc>
          <w:tcPr>
            <w:tcW w:w="3600" w:type="dxa"/>
            <w:tcMar>
              <w:top w:w="40" w:type="dxa"/>
              <w:left w:w="80" w:type="dxa"/>
              <w:bottom w:w="40" w:type="dxa"/>
              <w:right w:w="80" w:type="dxa"/>
            </w:tcMar>
          </w:tcPr>
          <w:p w14:paraId="5D228B28" w14:textId="77777777" w:rsidR="00D44DCB" w:rsidRDefault="00000000">
            <w:pPr>
              <w:spacing w:after="40"/>
            </w:pPr>
            <w:r>
              <w:rPr>
                <w:rFonts w:ascii="新細明體" w:eastAsia="新細明體" w:hAnsi="新細明體" w:cs="新細明體"/>
              </w:rPr>
              <w:t>全面優化人物飾品性能與整體畫風，調整過去吸引力不足的飾品以提升使用者購買意願。</w:t>
            </w:r>
          </w:p>
        </w:tc>
        <w:tc>
          <w:tcPr>
            <w:tcW w:w="1600" w:type="dxa"/>
            <w:tcMar>
              <w:top w:w="40" w:type="dxa"/>
              <w:left w:w="80" w:type="dxa"/>
              <w:bottom w:w="40" w:type="dxa"/>
              <w:right w:w="80" w:type="dxa"/>
            </w:tcMar>
          </w:tcPr>
          <w:p w14:paraId="5D228B29" w14:textId="77777777" w:rsidR="00D44DCB" w:rsidRDefault="00000000">
            <w:pPr>
              <w:spacing w:after="40"/>
            </w:pPr>
            <w:r>
              <w:rPr>
                <w:rFonts w:ascii="新細明體" w:eastAsia="新細明體" w:hAnsi="新細明體" w:cs="新細明體"/>
              </w:rPr>
              <w:t>未來藍圖・規劃中</w:t>
            </w:r>
          </w:p>
        </w:tc>
        <w:tc>
          <w:tcPr>
            <w:tcW w:w="2000" w:type="dxa"/>
            <w:tcMar>
              <w:top w:w="40" w:type="dxa"/>
              <w:left w:w="80" w:type="dxa"/>
              <w:bottom w:w="40" w:type="dxa"/>
              <w:right w:w="80" w:type="dxa"/>
            </w:tcMar>
          </w:tcPr>
          <w:p w14:paraId="5D228B2A" w14:textId="77777777" w:rsidR="00D44DCB" w:rsidRDefault="00000000">
            <w:pPr>
              <w:spacing w:after="40"/>
            </w:pPr>
            <w:r>
              <w:rPr>
                <w:rFonts w:ascii="新細明體" w:eastAsia="新細明體" w:hAnsi="新細明體" w:cs="新細明體"/>
              </w:rPr>
              <w:t>優化範圍、新舊飾品替換規則</w:t>
            </w:r>
          </w:p>
        </w:tc>
      </w:tr>
      <w:tr w:rsidR="00D44DCB" w14:paraId="5D228B31" w14:textId="77777777">
        <w:tblPrEx>
          <w:tblCellMar>
            <w:top w:w="0" w:type="dxa"/>
            <w:bottom w:w="0" w:type="dxa"/>
          </w:tblCellMar>
        </w:tblPrEx>
        <w:tc>
          <w:tcPr>
            <w:tcW w:w="800" w:type="dxa"/>
            <w:tcMar>
              <w:top w:w="40" w:type="dxa"/>
              <w:left w:w="80" w:type="dxa"/>
              <w:bottom w:w="40" w:type="dxa"/>
              <w:right w:w="80" w:type="dxa"/>
            </w:tcMar>
          </w:tcPr>
          <w:p w14:paraId="5D228B2C" w14:textId="77777777" w:rsidR="00D44DCB" w:rsidRDefault="00000000">
            <w:pPr>
              <w:spacing w:after="40"/>
            </w:pPr>
            <w:r>
              <w:rPr>
                <w:rFonts w:ascii="新細明體" w:eastAsia="新細明體" w:hAnsi="新細明體" w:cs="新細明體"/>
              </w:rPr>
              <w:t>F18</w:t>
            </w:r>
          </w:p>
        </w:tc>
        <w:tc>
          <w:tcPr>
            <w:tcW w:w="1600" w:type="dxa"/>
            <w:tcMar>
              <w:top w:w="40" w:type="dxa"/>
              <w:left w:w="80" w:type="dxa"/>
              <w:bottom w:w="40" w:type="dxa"/>
              <w:right w:w="80" w:type="dxa"/>
            </w:tcMar>
          </w:tcPr>
          <w:p w14:paraId="5D228B2D" w14:textId="77777777" w:rsidR="00D44DCB" w:rsidRDefault="00000000">
            <w:pPr>
              <w:spacing w:after="40"/>
            </w:pPr>
            <w:r>
              <w:rPr>
                <w:rFonts w:ascii="新細明體" w:eastAsia="新細明體" w:hAnsi="新細明體" w:cs="新細明體"/>
              </w:rPr>
              <w:t>新手即時回饋</w:t>
            </w:r>
          </w:p>
        </w:tc>
        <w:tc>
          <w:tcPr>
            <w:tcW w:w="3600" w:type="dxa"/>
            <w:tcMar>
              <w:top w:w="40" w:type="dxa"/>
              <w:left w:w="80" w:type="dxa"/>
              <w:bottom w:w="40" w:type="dxa"/>
              <w:right w:w="80" w:type="dxa"/>
            </w:tcMar>
          </w:tcPr>
          <w:p w14:paraId="5D228B2E" w14:textId="77777777" w:rsidR="00D44DCB" w:rsidRDefault="00000000">
            <w:pPr>
              <w:spacing w:after="40"/>
            </w:pPr>
            <w:r>
              <w:rPr>
                <w:rFonts w:ascii="新細明體" w:eastAsia="新細明體" w:hAnsi="新細明體" w:cs="新細明體"/>
              </w:rPr>
              <w:t>玩家首次完成健身即獲得十餘枚金幣，確保新手有即時成就回饋，避免初始門檻過高導致放棄。</w:t>
            </w:r>
          </w:p>
        </w:tc>
        <w:tc>
          <w:tcPr>
            <w:tcW w:w="1600" w:type="dxa"/>
            <w:tcMar>
              <w:top w:w="40" w:type="dxa"/>
              <w:left w:w="80" w:type="dxa"/>
              <w:bottom w:w="40" w:type="dxa"/>
              <w:right w:w="80" w:type="dxa"/>
            </w:tcMar>
          </w:tcPr>
          <w:p w14:paraId="5D228B2F" w14:textId="77777777" w:rsidR="00D44DCB" w:rsidRDefault="00000000">
            <w:pPr>
              <w:spacing w:after="40"/>
            </w:pPr>
            <w:r>
              <w:rPr>
                <w:rFonts w:ascii="新細明體" w:eastAsia="新細明體" w:hAnsi="新細明體" w:cs="新細明體"/>
              </w:rPr>
              <w:t>未來藍圖・規劃中</w:t>
            </w:r>
          </w:p>
        </w:tc>
        <w:tc>
          <w:tcPr>
            <w:tcW w:w="2000" w:type="dxa"/>
            <w:tcMar>
              <w:top w:w="40" w:type="dxa"/>
              <w:left w:w="80" w:type="dxa"/>
              <w:bottom w:w="40" w:type="dxa"/>
              <w:right w:w="80" w:type="dxa"/>
            </w:tcMar>
          </w:tcPr>
          <w:p w14:paraId="5D228B30" w14:textId="77777777" w:rsidR="00D44DCB" w:rsidRDefault="00000000">
            <w:pPr>
              <w:spacing w:after="40"/>
            </w:pPr>
            <w:r>
              <w:rPr>
                <w:rFonts w:ascii="新細明體" w:eastAsia="新細明體" w:hAnsi="新細明體" w:cs="新細明體"/>
              </w:rPr>
              <w:t>回饋數量與後續遞減曲線</w:t>
            </w:r>
          </w:p>
        </w:tc>
      </w:tr>
      <w:tr w:rsidR="00D44DCB" w14:paraId="5D228B37" w14:textId="77777777">
        <w:tblPrEx>
          <w:tblCellMar>
            <w:top w:w="0" w:type="dxa"/>
            <w:bottom w:w="0" w:type="dxa"/>
          </w:tblCellMar>
        </w:tblPrEx>
        <w:tc>
          <w:tcPr>
            <w:tcW w:w="800" w:type="dxa"/>
            <w:tcMar>
              <w:top w:w="40" w:type="dxa"/>
              <w:left w:w="80" w:type="dxa"/>
              <w:bottom w:w="40" w:type="dxa"/>
              <w:right w:w="80" w:type="dxa"/>
            </w:tcMar>
          </w:tcPr>
          <w:p w14:paraId="5D228B32" w14:textId="77777777" w:rsidR="00D44DCB" w:rsidRDefault="00000000">
            <w:pPr>
              <w:spacing w:after="40"/>
            </w:pPr>
            <w:r>
              <w:rPr>
                <w:rFonts w:ascii="新細明體" w:eastAsia="新細明體" w:hAnsi="新細明體" w:cs="新細明體"/>
              </w:rPr>
              <w:t>F19</w:t>
            </w:r>
          </w:p>
        </w:tc>
        <w:tc>
          <w:tcPr>
            <w:tcW w:w="1600" w:type="dxa"/>
            <w:tcMar>
              <w:top w:w="40" w:type="dxa"/>
              <w:left w:w="80" w:type="dxa"/>
              <w:bottom w:w="40" w:type="dxa"/>
              <w:right w:w="80" w:type="dxa"/>
            </w:tcMar>
          </w:tcPr>
          <w:p w14:paraId="5D228B33" w14:textId="77777777" w:rsidR="00D44DCB" w:rsidRDefault="00000000">
            <w:pPr>
              <w:spacing w:after="40"/>
            </w:pPr>
            <w:r>
              <w:rPr>
                <w:rFonts w:ascii="新細明體" w:eastAsia="新細明體" w:hAnsi="新細明體" w:cs="新細明體"/>
              </w:rPr>
              <w:t>每日簽到與活動限定</w:t>
            </w:r>
          </w:p>
        </w:tc>
        <w:tc>
          <w:tcPr>
            <w:tcW w:w="3600" w:type="dxa"/>
            <w:tcMar>
              <w:top w:w="40" w:type="dxa"/>
              <w:left w:w="80" w:type="dxa"/>
              <w:bottom w:w="40" w:type="dxa"/>
              <w:right w:w="80" w:type="dxa"/>
            </w:tcMar>
          </w:tcPr>
          <w:p w14:paraId="5D228B34" w14:textId="77777777" w:rsidR="00D44DCB" w:rsidRDefault="00000000">
            <w:pPr>
              <w:spacing w:after="40"/>
            </w:pPr>
            <w:r>
              <w:rPr>
                <w:rFonts w:ascii="新細明體" w:eastAsia="新細明體" w:hAnsi="新細明體" w:cs="新細明體"/>
              </w:rPr>
              <w:t>每日簽到獎勵涵蓋特定節日（如聖誕節、萬聖節、共生節）限定極品，過期即絕版，最高可獲得頂級寵物或造型。漏簽七天內可透過付費、完成特定運動任務或連續簽到至下週對應天數補簽；超過七天不予補發。</w:t>
            </w:r>
          </w:p>
        </w:tc>
        <w:tc>
          <w:tcPr>
            <w:tcW w:w="1600" w:type="dxa"/>
            <w:tcMar>
              <w:top w:w="40" w:type="dxa"/>
              <w:left w:w="80" w:type="dxa"/>
              <w:bottom w:w="40" w:type="dxa"/>
              <w:right w:w="80" w:type="dxa"/>
            </w:tcMar>
          </w:tcPr>
          <w:p w14:paraId="5D228B35" w14:textId="77777777" w:rsidR="00D44DCB" w:rsidRDefault="00000000">
            <w:pPr>
              <w:spacing w:after="40"/>
            </w:pPr>
            <w:r>
              <w:rPr>
                <w:rFonts w:ascii="新細明體" w:eastAsia="新細明體" w:hAnsi="新細明體" w:cs="新細明體"/>
              </w:rPr>
              <w:t>未來藍圖・規劃中</w:t>
            </w:r>
          </w:p>
        </w:tc>
        <w:tc>
          <w:tcPr>
            <w:tcW w:w="2000" w:type="dxa"/>
            <w:tcMar>
              <w:top w:w="40" w:type="dxa"/>
              <w:left w:w="80" w:type="dxa"/>
              <w:bottom w:w="40" w:type="dxa"/>
              <w:right w:w="80" w:type="dxa"/>
            </w:tcMar>
          </w:tcPr>
          <w:p w14:paraId="5D228B36" w14:textId="77777777" w:rsidR="00D44DCB" w:rsidRDefault="00000000">
            <w:pPr>
              <w:spacing w:after="40"/>
            </w:pPr>
            <w:r>
              <w:rPr>
                <w:rFonts w:ascii="新細明體" w:eastAsia="新細明體" w:hAnsi="新細明體" w:cs="新細明體"/>
              </w:rPr>
              <w:t>節日排程、補簽費用與絕版品復刻政策</w:t>
            </w:r>
          </w:p>
        </w:tc>
      </w:tr>
      <w:tr w:rsidR="00D44DCB" w14:paraId="5D228B3D" w14:textId="77777777">
        <w:tblPrEx>
          <w:tblCellMar>
            <w:top w:w="0" w:type="dxa"/>
            <w:bottom w:w="0" w:type="dxa"/>
          </w:tblCellMar>
        </w:tblPrEx>
        <w:tc>
          <w:tcPr>
            <w:tcW w:w="800" w:type="dxa"/>
            <w:tcMar>
              <w:top w:w="40" w:type="dxa"/>
              <w:left w:w="80" w:type="dxa"/>
              <w:bottom w:w="40" w:type="dxa"/>
              <w:right w:w="80" w:type="dxa"/>
            </w:tcMar>
          </w:tcPr>
          <w:p w14:paraId="5D228B38" w14:textId="77777777" w:rsidR="00D44DCB" w:rsidRDefault="00000000">
            <w:pPr>
              <w:spacing w:after="40"/>
            </w:pPr>
            <w:r>
              <w:rPr>
                <w:rFonts w:ascii="新細明體" w:eastAsia="新細明體" w:hAnsi="新細明體" w:cs="新細明體"/>
              </w:rPr>
              <w:t>F20</w:t>
            </w:r>
          </w:p>
        </w:tc>
        <w:tc>
          <w:tcPr>
            <w:tcW w:w="1600" w:type="dxa"/>
            <w:tcMar>
              <w:top w:w="40" w:type="dxa"/>
              <w:left w:w="80" w:type="dxa"/>
              <w:bottom w:w="40" w:type="dxa"/>
              <w:right w:w="80" w:type="dxa"/>
            </w:tcMar>
          </w:tcPr>
          <w:p w14:paraId="5D228B39" w14:textId="77777777" w:rsidR="00D44DCB" w:rsidRDefault="00000000">
            <w:pPr>
              <w:spacing w:after="40"/>
            </w:pPr>
            <w:r>
              <w:rPr>
                <w:rFonts w:ascii="新細明體" w:eastAsia="新細明體" w:hAnsi="新細明體" w:cs="新細明體"/>
              </w:rPr>
              <w:t>幸運輪盤與抽獎券</w:t>
            </w:r>
          </w:p>
        </w:tc>
        <w:tc>
          <w:tcPr>
            <w:tcW w:w="3600" w:type="dxa"/>
            <w:tcMar>
              <w:top w:w="40" w:type="dxa"/>
              <w:left w:w="80" w:type="dxa"/>
              <w:bottom w:w="40" w:type="dxa"/>
              <w:right w:w="80" w:type="dxa"/>
            </w:tcMar>
          </w:tcPr>
          <w:p w14:paraId="5D228B3A" w14:textId="77777777" w:rsidR="00D44DCB" w:rsidRDefault="00000000">
            <w:pPr>
              <w:spacing w:after="40"/>
            </w:pPr>
            <w:r>
              <w:rPr>
                <w:rFonts w:ascii="新細明體" w:eastAsia="新細明體" w:hAnsi="新細明體" w:cs="新細明體"/>
              </w:rPr>
              <w:t>第七天簽到大獎採輪盤抽獎形式。抽獎券來源為簽到累積、每日與每週任務及健身目標達成，無法以金幣直接購買，藉此引導玩家實際運動而非僅上線簽到。連續登入與未登入的使用者在抽獎券與輪盤體驗上形成強烈對比：系統以一週七天為單位，畫面中加入連續登入進度條，讓使用者清楚看到再累積幾天即可使輪盤加入更高稀有度獎品；符合條件的使用者，其抽獎券與輪盤介面皆會升級為對應稀有度的顏色與樣式（如金色邊框、發光特效），形成與未達標使用者之間的視覺差異，強化每日登入的動力。</w:t>
            </w:r>
          </w:p>
        </w:tc>
        <w:tc>
          <w:tcPr>
            <w:tcW w:w="1600" w:type="dxa"/>
            <w:tcMar>
              <w:top w:w="40" w:type="dxa"/>
              <w:left w:w="80" w:type="dxa"/>
              <w:bottom w:w="40" w:type="dxa"/>
              <w:right w:w="80" w:type="dxa"/>
            </w:tcMar>
          </w:tcPr>
          <w:p w14:paraId="5D228B3B" w14:textId="77777777" w:rsidR="00D44DCB" w:rsidRDefault="00000000">
            <w:pPr>
              <w:spacing w:after="40"/>
            </w:pPr>
            <w:r>
              <w:rPr>
                <w:rFonts w:ascii="新細明體" w:eastAsia="新細明體" w:hAnsi="新細明體" w:cs="新細明體"/>
              </w:rPr>
              <w:t>未來藍圖・規劃中</w:t>
            </w:r>
          </w:p>
        </w:tc>
        <w:tc>
          <w:tcPr>
            <w:tcW w:w="2000" w:type="dxa"/>
            <w:tcMar>
              <w:top w:w="40" w:type="dxa"/>
              <w:left w:w="80" w:type="dxa"/>
              <w:bottom w:w="40" w:type="dxa"/>
              <w:right w:w="80" w:type="dxa"/>
            </w:tcMar>
          </w:tcPr>
          <w:p w14:paraId="5D228B3C" w14:textId="77777777" w:rsidR="00D44DCB" w:rsidRDefault="00000000">
            <w:pPr>
              <w:spacing w:after="40"/>
            </w:pPr>
            <w:r>
              <w:rPr>
                <w:rFonts w:ascii="新細明體" w:eastAsia="新細明體" w:hAnsi="新細明體" w:cs="新細明體"/>
              </w:rPr>
              <w:t>獎池內容、機率公示、抽獎券產出速率、登入進度條設計與視覺升級規則</w:t>
            </w:r>
          </w:p>
        </w:tc>
      </w:tr>
      <w:tr w:rsidR="00D44DCB" w14:paraId="5D228B43" w14:textId="77777777">
        <w:tblPrEx>
          <w:tblCellMar>
            <w:top w:w="0" w:type="dxa"/>
            <w:bottom w:w="0" w:type="dxa"/>
          </w:tblCellMar>
        </w:tblPrEx>
        <w:tc>
          <w:tcPr>
            <w:tcW w:w="800" w:type="dxa"/>
            <w:tcMar>
              <w:top w:w="40" w:type="dxa"/>
              <w:left w:w="80" w:type="dxa"/>
              <w:bottom w:w="40" w:type="dxa"/>
              <w:right w:w="80" w:type="dxa"/>
            </w:tcMar>
          </w:tcPr>
          <w:p w14:paraId="5D228B3E" w14:textId="77777777" w:rsidR="00D44DCB" w:rsidRDefault="00000000">
            <w:pPr>
              <w:spacing w:after="40"/>
            </w:pPr>
            <w:r>
              <w:rPr>
                <w:rFonts w:ascii="新細明體" w:eastAsia="新細明體" w:hAnsi="新細明體" w:cs="新細明體"/>
              </w:rPr>
              <w:t>F21</w:t>
            </w:r>
          </w:p>
        </w:tc>
        <w:tc>
          <w:tcPr>
            <w:tcW w:w="1600" w:type="dxa"/>
            <w:tcMar>
              <w:top w:w="40" w:type="dxa"/>
              <w:left w:w="80" w:type="dxa"/>
              <w:bottom w:w="40" w:type="dxa"/>
              <w:right w:w="80" w:type="dxa"/>
            </w:tcMar>
          </w:tcPr>
          <w:p w14:paraId="5D228B3F" w14:textId="77777777" w:rsidR="00D44DCB" w:rsidRDefault="00000000">
            <w:pPr>
              <w:spacing w:after="40"/>
            </w:pPr>
            <w:r>
              <w:rPr>
                <w:rFonts w:ascii="新細明體" w:eastAsia="新細明體" w:hAnsi="新細明體" w:cs="新細明體"/>
              </w:rPr>
              <w:t>金幣與經驗值對接機制</w:t>
            </w:r>
          </w:p>
        </w:tc>
        <w:tc>
          <w:tcPr>
            <w:tcW w:w="3600" w:type="dxa"/>
            <w:tcMar>
              <w:top w:w="40" w:type="dxa"/>
              <w:left w:w="80" w:type="dxa"/>
              <w:bottom w:w="40" w:type="dxa"/>
              <w:right w:w="80" w:type="dxa"/>
            </w:tcMar>
          </w:tcPr>
          <w:p w14:paraId="5D228B40" w14:textId="77777777" w:rsidR="00D44DCB" w:rsidRDefault="00000000">
            <w:pPr>
              <w:spacing w:after="40"/>
            </w:pPr>
            <w:r>
              <w:rPr>
                <w:rFonts w:ascii="新細明體" w:eastAsia="新細明體" w:hAnsi="新細明體" w:cs="新細明體"/>
              </w:rPr>
              <w:t>金幣唯一獲取來源為健身結算，遊戲端不設其他金幣產出管道（如餵寵物不可獲得金幣），確保兩端數據一致。經驗值兩端皆為只增不減並即時同步連動，</w:t>
              <w:lastRenderedPageBreak/>
              <w:t>不產生扣除時的同步異常。</w:t>
            </w:r>
          </w:p>
        </w:tc>
        <w:tc>
          <w:tcPr>
            <w:tcW w:w="1600" w:type="dxa"/>
            <w:tcMar>
              <w:top w:w="40" w:type="dxa"/>
              <w:left w:w="80" w:type="dxa"/>
              <w:bottom w:w="40" w:type="dxa"/>
              <w:right w:w="80" w:type="dxa"/>
            </w:tcMar>
          </w:tcPr>
          <w:p w14:paraId="5D228B41" w14:textId="77777777" w:rsidR="00D44DCB" w:rsidRDefault="00000000">
            <w:pPr>
              <w:spacing w:after="40"/>
            </w:pPr>
            <w:r>
              <w:rPr>
                <w:rFonts w:ascii="新細明體" w:eastAsia="新細明體" w:hAnsi="新細明體" w:cs="新細明體"/>
              </w:rPr>
              <w:lastRenderedPageBreak/>
              <w:t>未來藍圖・規劃中</w:t>
            </w:r>
          </w:p>
        </w:tc>
        <w:tc>
          <w:tcPr>
            <w:tcW w:w="2000" w:type="dxa"/>
            <w:tcMar>
              <w:top w:w="40" w:type="dxa"/>
              <w:left w:w="80" w:type="dxa"/>
              <w:bottom w:w="40" w:type="dxa"/>
              <w:right w:w="80" w:type="dxa"/>
            </w:tcMar>
          </w:tcPr>
          <w:p w14:paraId="5D228B42" w14:textId="77777777" w:rsidR="00D44DCB" w:rsidRDefault="00000000">
            <w:pPr>
              <w:spacing w:after="40"/>
            </w:pPr>
            <w:r>
              <w:rPr>
                <w:rFonts w:ascii="新細明體" w:eastAsia="新細明體" w:hAnsi="新細明體" w:cs="新細明體"/>
              </w:rPr>
              <w:t>兩端同步驗證方式與異常處理</w:t>
            </w:r>
          </w:p>
        </w:tc>
      </w:tr>
      <w:tr w:rsidR="00D44DCB" w14:paraId="5D228B49" w14:textId="77777777">
        <w:tblPrEx>
          <w:tblCellMar>
            <w:top w:w="0" w:type="dxa"/>
            <w:bottom w:w="0" w:type="dxa"/>
          </w:tblCellMar>
        </w:tblPrEx>
        <w:tc>
          <w:tcPr>
            <w:tcW w:w="800" w:type="dxa"/>
            <w:tcMar>
              <w:top w:w="40" w:type="dxa"/>
              <w:left w:w="80" w:type="dxa"/>
              <w:bottom w:w="40" w:type="dxa"/>
              <w:right w:w="80" w:type="dxa"/>
            </w:tcMar>
          </w:tcPr>
          <w:p w14:paraId="5D228B44" w14:textId="77777777" w:rsidR="00D44DCB" w:rsidRDefault="00000000">
            <w:pPr>
              <w:spacing w:after="40"/>
            </w:pPr>
            <w:r>
              <w:rPr>
                <w:rFonts w:ascii="新細明體" w:eastAsia="新細明體" w:hAnsi="新細明體" w:cs="新細明體"/>
              </w:rPr>
              <w:t>F22</w:t>
            </w:r>
          </w:p>
        </w:tc>
        <w:tc>
          <w:tcPr>
            <w:tcW w:w="1600" w:type="dxa"/>
            <w:tcMar>
              <w:top w:w="40" w:type="dxa"/>
              <w:left w:w="80" w:type="dxa"/>
              <w:bottom w:w="40" w:type="dxa"/>
              <w:right w:w="80" w:type="dxa"/>
            </w:tcMar>
          </w:tcPr>
          <w:p w14:paraId="5D228B45" w14:textId="77777777" w:rsidR="00D44DCB" w:rsidRDefault="00000000">
            <w:pPr>
              <w:spacing w:after="40"/>
            </w:pPr>
            <w:r>
              <w:rPr>
                <w:rFonts w:ascii="新細明體" w:eastAsia="新細明體" w:hAnsi="新細明體" w:cs="新細明體"/>
              </w:rPr>
              <w:t>結算畫面資訊呈現</w:t>
            </w:r>
          </w:p>
        </w:tc>
        <w:tc>
          <w:tcPr>
            <w:tcW w:w="3600" w:type="dxa"/>
            <w:tcMar>
              <w:top w:w="40" w:type="dxa"/>
              <w:left w:w="80" w:type="dxa"/>
              <w:bottom w:w="40" w:type="dxa"/>
              <w:right w:w="80" w:type="dxa"/>
            </w:tcMar>
          </w:tcPr>
          <w:p w14:paraId="5D228B46" w14:textId="77777777" w:rsidR="00D44DCB" w:rsidRDefault="00000000">
            <w:pPr>
              <w:spacing w:after="40"/>
            </w:pPr>
            <w:r>
              <w:rPr>
                <w:rFonts w:ascii="新細明體" w:eastAsia="新細明體" w:hAnsi="新細明體" w:cs="新細明體"/>
              </w:rPr>
              <w:t>健身結束後結算畫面顯示金幣、經驗值、碎片與抽獎券。金幣與經驗值常駐健身端與遊戲端；碎片與抽獎券僅在結算畫面及遊戲端提示中顯示，主畫面不做同步。</w:t>
            </w:r>
          </w:p>
        </w:tc>
        <w:tc>
          <w:tcPr>
            <w:tcW w:w="1600" w:type="dxa"/>
            <w:tcMar>
              <w:top w:w="40" w:type="dxa"/>
              <w:left w:w="80" w:type="dxa"/>
              <w:bottom w:w="40" w:type="dxa"/>
              <w:right w:w="80" w:type="dxa"/>
            </w:tcMar>
          </w:tcPr>
          <w:p w14:paraId="5D228B47" w14:textId="77777777" w:rsidR="00D44DCB" w:rsidRDefault="00000000">
            <w:pPr>
              <w:spacing w:after="40"/>
            </w:pPr>
            <w:r>
              <w:rPr>
                <w:rFonts w:ascii="新細明體" w:eastAsia="新細明體" w:hAnsi="新細明體" w:cs="新細明體"/>
              </w:rPr>
              <w:t>未來藍圖・規劃中</w:t>
            </w:r>
          </w:p>
        </w:tc>
        <w:tc>
          <w:tcPr>
            <w:tcW w:w="2000" w:type="dxa"/>
            <w:tcMar>
              <w:top w:w="40" w:type="dxa"/>
              <w:left w:w="80" w:type="dxa"/>
              <w:bottom w:w="40" w:type="dxa"/>
              <w:right w:w="80" w:type="dxa"/>
            </w:tcMar>
          </w:tcPr>
          <w:p w14:paraId="5D228B48" w14:textId="77777777" w:rsidR="00D44DCB" w:rsidRDefault="00000000">
            <w:pPr>
              <w:spacing w:after="40"/>
            </w:pPr>
            <w:r>
              <w:rPr>
                <w:rFonts w:ascii="新細明體" w:eastAsia="新細明體" w:hAnsi="新細明體" w:cs="新細明體"/>
              </w:rPr>
              <w:t>介面配置、動畫與呈現順序</w:t>
            </w:r>
          </w:p>
        </w:tc>
      </w:tr>
      <w:tr w:rsidR="00D44DCB" w14:paraId="5D228B49" w14:textId="77777777">
        <w:tblPrEx>
          <w:tblCellMar>
            <w:top w:w="0" w:type="dxa"/>
            <w:bottom w:w="0" w:type="dxa"/>
          </w:tblCellMar>
        </w:tblPrEx>
        <w:tc>
          <w:tcPr>
            <w:tcW w:w="800" w:type="dxa"/>
            <w:tcMar>
              <w:top w:w="40" w:type="dxa"/>
              <w:left w:w="80" w:type="dxa"/>
              <w:bottom w:w="40" w:type="dxa"/>
              <w:right w:w="80" w:type="dxa"/>
            </w:tcMar>
          </w:tcPr>
          <w:p w14:paraId="5D228B44" w14:textId="77777777" w:rsidR="00D44DCB" w:rsidRDefault="00000000">
            <w:pPr>
              <w:spacing w:after="40"/>
            </w:pPr>
            <w:r>
              <w:rPr>
                <w:rFonts w:ascii="新細明體" w:eastAsia="新細明體" w:hAnsi="新細明體" w:cs="新細明體"/>
              </w:rPr>
              <w:t>F23</w:t>
            </w:r>
          </w:p>
        </w:tc>
        <w:tc>
          <w:tcPr>
            <w:tcW w:w="1600" w:type="dxa"/>
            <w:tcMar>
              <w:top w:w="40" w:type="dxa"/>
              <w:left w:w="80" w:type="dxa"/>
              <w:bottom w:w="40" w:type="dxa"/>
              <w:right w:w="80" w:type="dxa"/>
            </w:tcMar>
          </w:tcPr>
          <w:p w14:paraId="5D228B45" w14:textId="77777777" w:rsidR="00D44DCB" w:rsidRDefault="00000000">
            <w:pPr>
              <w:spacing w:after="40"/>
            </w:pPr>
            <w:r>
              <w:rPr>
                <w:rFonts w:ascii="新細明體" w:eastAsia="新細明體" w:hAnsi="新細明體" w:cs="新細明體"/>
              </w:rPr>
              <w:t>功能卡系統</w:t>
            </w:r>
          </w:p>
        </w:tc>
        <w:tc>
          <w:tcPr>
            <w:tcW w:w="3600" w:type="dxa"/>
            <w:tcMar>
              <w:top w:w="40" w:type="dxa"/>
              <w:left w:w="80" w:type="dxa"/>
              <w:bottom w:w="40" w:type="dxa"/>
              <w:right w:w="80" w:type="dxa"/>
            </w:tcMar>
          </w:tcPr>
          <w:p w14:paraId="5D228B46" w14:textId="77777777" w:rsidR="00D44DCB" w:rsidRDefault="00000000">
            <w:pPr>
              <w:spacing w:after="40"/>
            </w:pPr>
            <w:r>
              <w:rPr>
                <w:rFonts w:ascii="新細明體" w:eastAsia="新細明體" w:hAnsi="新細明體" w:cs="新細明體"/>
              </w:rPr>
              <w:t>加入功能卡機制，目前首張功能卡為「雙倍金幣卡」，使用後下次健身結算金幣翻倍；未來將引進更多種類功能卡。功能卡採隨機上線制，每隔數週於限時商店中返場販售。獲取管道包含限時商店直接購買（以金幣購入，定價較高）與輪盤抽獎（命中率較低，約 20%）。此機制旨在為進階玩家提供策略性消費選項，同時避免功能卡常駐造成經濟膨脹。</w:t>
            </w:r>
          </w:p>
        </w:tc>
        <w:tc>
          <w:tcPr>
            <w:tcW w:w="1600" w:type="dxa"/>
            <w:tcMar>
              <w:top w:w="40" w:type="dxa"/>
              <w:left w:w="80" w:type="dxa"/>
              <w:bottom w:w="40" w:type="dxa"/>
              <w:right w:w="80" w:type="dxa"/>
            </w:tcMar>
          </w:tcPr>
          <w:p w14:paraId="5D228B47" w14:textId="77777777" w:rsidR="00D44DCB" w:rsidRDefault="00000000">
            <w:pPr>
              <w:spacing w:after="40"/>
            </w:pPr>
            <w:r>
              <w:rPr>
                <w:rFonts w:ascii="新細明體" w:eastAsia="新細明體" w:hAnsi="新細明體" w:cs="新細明體"/>
              </w:rPr>
              <w:t>未來藍圖・規劃中</w:t>
            </w:r>
          </w:p>
        </w:tc>
        <w:tc>
          <w:tcPr>
            <w:tcW w:w="2000" w:type="dxa"/>
            <w:tcMar>
              <w:top w:w="40" w:type="dxa"/>
              <w:left w:w="80" w:type="dxa"/>
              <w:bottom w:w="40" w:type="dxa"/>
              <w:right w:w="80" w:type="dxa"/>
            </w:tcMar>
          </w:tcPr>
          <w:p w14:paraId="5D228B48" w14:textId="77777777" w:rsidR="00D44DCB" w:rsidRDefault="00000000">
            <w:pPr>
              <w:spacing w:after="40"/>
            </w:pPr>
            <w:r>
              <w:rPr>
                <w:rFonts w:ascii="新細明體" w:eastAsia="新細明體" w:hAnsi="新細明體" w:cs="新細明體"/>
              </w:rPr>
              <w:t>功能卡種類擴充計畫、定價策略、返場週期、倍率上限與經濟影響評估</w:t>
            </w:r>
          </w:p>
        </w:tc>
      </w:tr>
      <w:tr w:rsidR="00D44DCB" w14:paraId="5D228B49" w14:textId="77777777">
        <w:tblPrEx>
          <w:tblCellMar>
            <w:top w:w="0" w:type="dxa"/>
            <w:bottom w:w="0" w:type="dxa"/>
          </w:tblCellMar>
        </w:tblPrEx>
        <w:tc>
          <w:tcPr>
            <w:tcW w:w="800" w:type="dxa"/>
            <w:tcMar>
              <w:top w:w="40" w:type="dxa"/>
              <w:left w:w="80" w:type="dxa"/>
              <w:bottom w:w="40" w:type="dxa"/>
              <w:right w:w="80" w:type="dxa"/>
            </w:tcMar>
          </w:tcPr>
          <w:p w14:paraId="5D228B44" w14:textId="77777777" w:rsidR="00D44DCB" w:rsidRDefault="00000000">
            <w:pPr>
              <w:spacing w:after="40"/>
            </w:pPr>
            <w:r>
              <w:rPr>
                <w:rFonts w:ascii="新細明體" w:eastAsia="新細明體" w:hAnsi="新細明體" w:cs="新細明體"/>
              </w:rPr>
              <w:t>F24</w:t>
            </w:r>
          </w:p>
        </w:tc>
        <w:tc>
          <w:tcPr>
            <w:tcW w:w="1600" w:type="dxa"/>
            <w:tcMar>
              <w:top w:w="40" w:type="dxa"/>
              <w:left w:w="80" w:type="dxa"/>
              <w:bottom w:w="40" w:type="dxa"/>
              <w:right w:w="80" w:type="dxa"/>
            </w:tcMar>
          </w:tcPr>
          <w:p w14:paraId="5D228B45" w14:textId="77777777" w:rsidR="00D44DCB" w:rsidRDefault="00000000">
            <w:pPr>
              <w:spacing w:after="40"/>
            </w:pPr>
            <w:r>
              <w:rPr>
                <w:rFonts w:ascii="新細明體" w:eastAsia="新細明體" w:hAnsi="新細明體" w:cs="新細明體"/>
              </w:rPr>
              <w:t>寵物生命跡象與照護</w:t>
            </w:r>
          </w:p>
        </w:tc>
        <w:tc>
          <w:tcPr>
            <w:tcW w:w="3600" w:type="dxa"/>
            <w:tcMar>
              <w:top w:w="40" w:type="dxa"/>
              <w:left w:w="80" w:type="dxa"/>
              <w:bottom w:w="40" w:type="dxa"/>
              <w:right w:w="80" w:type="dxa"/>
            </w:tcMar>
          </w:tcPr>
          <w:p w14:paraId="5D228B46" w14:textId="77777777" w:rsidR="00D44DCB" w:rsidRDefault="00000000">
            <w:pPr>
              <w:spacing w:after="40"/>
            </w:pPr>
            <w:r>
              <w:rPr>
                <w:rFonts w:ascii="新細明體" w:eastAsia="新細明體" w:hAnsi="新細明體" w:cs="新細明體"/>
              </w:rPr>
              <w:t>為寵物系統加入生命跡象機制：寵物具備活動力與營養值兩項狀態指標。若使用者長期未登入或未餵食，寵物活動力將逐步下降，最終躲在窩裡不出來互動。商店中加入狗飼料（如西沙品牌等品項），餵食可提升寵物生命力與營養值，增加互動活性。同時加入戶外狗窩作為島嶼裝飾與寵物活動空間。當使用者連續多天未登入時，島嶼地面將出現寵物排泄物，天數越多堆積越多，此懲罰機制可與園丁、管家等 NPC 職務結合——NPC 可協助清理，但需消耗資源或達成特定條件。</w:t>
            </w:r>
          </w:p>
        </w:tc>
        <w:tc>
          <w:tcPr>
            <w:tcW w:w="1600" w:type="dxa"/>
            <w:tcMar>
              <w:top w:w="40" w:type="dxa"/>
              <w:left w:w="80" w:type="dxa"/>
              <w:bottom w:w="40" w:type="dxa"/>
              <w:right w:w="80" w:type="dxa"/>
            </w:tcMar>
          </w:tcPr>
          <w:p w14:paraId="5D228B47" w14:textId="77777777" w:rsidR="00D44DCB" w:rsidRDefault="00000000">
            <w:pPr>
              <w:spacing w:after="40"/>
            </w:pPr>
            <w:r>
              <w:rPr>
                <w:rFonts w:ascii="新細明體" w:eastAsia="新細明體" w:hAnsi="新細明體" w:cs="新細明體"/>
              </w:rPr>
              <w:t>未來藍圖・規劃中</w:t>
            </w:r>
          </w:p>
        </w:tc>
        <w:tc>
          <w:tcPr>
            <w:tcW w:w="2000" w:type="dxa"/>
            <w:tcMar>
              <w:top w:w="40" w:type="dxa"/>
              <w:left w:w="80" w:type="dxa"/>
              <w:bottom w:w="40" w:type="dxa"/>
              <w:right w:w="80" w:type="dxa"/>
            </w:tcMar>
          </w:tcPr>
          <w:p w14:paraId="5D228B48" w14:textId="77777777" w:rsidR="00D44DCB" w:rsidRDefault="00000000">
            <w:pPr>
              <w:spacing w:after="40"/>
            </w:pPr>
            <w:r>
              <w:rPr>
                <w:rFonts w:ascii="新細明體" w:eastAsia="新細明體" w:hAnsi="新細明體" w:cs="新細明體"/>
              </w:rPr>
              <w:t>活動力與營養值數值設計、飼料定價、排泄物觸發天數與 NPC 清理成本</w:t>
            </w:r>
          </w:p>
        </w:tc>
      </w:tr>
      <w:tr w:rsidR="00D44DCB" w14:paraId="5D228B49" w14:textId="77777777">
        <w:tblPrEx>
          <w:tblCellMar>
            <w:top w:w="0" w:type="dxa"/>
            <w:bottom w:w="0" w:type="dxa"/>
          </w:tblCellMar>
        </w:tblPrEx>
        <w:tc>
          <w:tcPr>
            <w:tcW w:w="800" w:type="dxa"/>
            <w:tcMar>
              <w:top w:w="40" w:type="dxa"/>
              <w:left w:w="80" w:type="dxa"/>
              <w:bottom w:w="40" w:type="dxa"/>
              <w:right w:w="80" w:type="dxa"/>
            </w:tcMar>
          </w:tcPr>
          <w:p w14:paraId="5D228B44" w14:textId="77777777" w:rsidR="00D44DCB" w:rsidRDefault="00000000">
            <w:pPr>
              <w:spacing w:after="40"/>
            </w:pPr>
            <w:r>
              <w:rPr>
                <w:rFonts w:ascii="新細明體" w:eastAsia="新細明體" w:hAnsi="新細明體" w:cs="新細明體"/>
              </w:rPr>
              <w:t>F25</w:t>
            </w:r>
          </w:p>
        </w:tc>
        <w:tc>
          <w:tcPr>
            <w:tcW w:w="1600" w:type="dxa"/>
            <w:tcMar>
              <w:top w:w="40" w:type="dxa"/>
              <w:left w:w="80" w:type="dxa"/>
              <w:bottom w:w="40" w:type="dxa"/>
              <w:right w:w="80" w:type="dxa"/>
            </w:tcMar>
          </w:tcPr>
          <w:p w14:paraId="5D228B45" w14:textId="77777777" w:rsidR="00D44DCB" w:rsidRDefault="00000000">
            <w:pPr>
              <w:spacing w:after="40"/>
            </w:pPr>
            <w:r>
              <w:rPr>
                <w:rFonts w:ascii="新細明體" w:eastAsia="新細明體" w:hAnsi="新細明體" w:cs="新細明體"/>
              </w:rPr>
              <w:t>商店新增商品：圍欄</w:t>
            </w:r>
          </w:p>
        </w:tc>
        <w:tc>
          <w:tcPr>
            <w:tcW w:w="3600" w:type="dxa"/>
            <w:tcMar>
              <w:top w:w="40" w:type="dxa"/>
              <w:left w:w="80" w:type="dxa"/>
              <w:bottom w:w="40" w:type="dxa"/>
              <w:right w:w="80" w:type="dxa"/>
            </w:tcMar>
          </w:tcPr>
          <w:p w14:paraId="5D228B46" w14:textId="77777777" w:rsidR="00D44DCB" w:rsidRDefault="00000000">
            <w:pPr>
              <w:spacing w:after="40"/>
            </w:pPr>
            <w:r>
              <w:rPr>
                <w:rFonts w:ascii="新細明體" w:eastAsia="新細明體" w:hAnsi="新細明體" w:cs="新細明體"/>
              </w:rPr>
              <w:t>商店中加入「圍欄」類別商品，供使用者購買後放置於島嶼上，用於劃分區域、裝飾庭院或圍護寵物活動範圍。圍欄可搭配不同風格（如木質、金屬、花園式），並對應不同稀有度等級。</w:t>
            </w:r>
          </w:p>
        </w:tc>
        <w:tc>
          <w:tcPr>
            <w:tcW w:w="1600" w:type="dxa"/>
            <w:tcMar>
              <w:top w:w="40" w:type="dxa"/>
              <w:left w:w="80" w:type="dxa"/>
              <w:bottom w:w="40" w:type="dxa"/>
              <w:right w:w="80" w:type="dxa"/>
            </w:tcMar>
          </w:tcPr>
          <w:p w14:paraId="5D228B47" w14:textId="77777777" w:rsidR="00D44DCB" w:rsidRDefault="00000000">
            <w:pPr>
              <w:spacing w:after="40"/>
            </w:pPr>
            <w:r>
              <w:rPr>
                <w:rFonts w:ascii="新細明體" w:eastAsia="新細明體" w:hAnsi="新細明體" w:cs="新細明體"/>
              </w:rPr>
              <w:t>未來藍圖・規劃中</w:t>
            </w:r>
          </w:p>
        </w:tc>
        <w:tc>
          <w:tcPr>
            <w:tcW w:w="2000" w:type="dxa"/>
            <w:tcMar>
              <w:top w:w="40" w:type="dxa"/>
              <w:left w:w="80" w:type="dxa"/>
              <w:bottom w:w="40" w:type="dxa"/>
              <w:right w:w="80" w:type="dxa"/>
            </w:tcMar>
          </w:tcPr>
          <w:p w14:paraId="5D228B48" w14:textId="77777777" w:rsidR="00D44DCB" w:rsidRDefault="00000000">
            <w:pPr>
              <w:spacing w:after="40"/>
            </w:pPr>
            <w:r>
              <w:rPr>
                <w:rFonts w:ascii="新細明體" w:eastAsia="新細明體" w:hAnsi="新細明體" w:cs="新細明體"/>
              </w:rPr>
              <w:t>圍欄種類、定價與島嶼放置規則</w:t>
            </w:r>
          </w:p>
        </w:tc>
      </w:tr>
    </w:tbl>
    <w:p w14:paraId="5D228B4A" w14:textId="77777777" w:rsidR="00D44DCB" w:rsidRDefault="00D44DCB"/>
    <w:p w14:paraId="5D228B4B" w14:textId="77777777" w:rsidR="00D44DCB" w:rsidRDefault="00000000">
      <w:pPr>
        <w:pStyle w:val="2"/>
        <w:spacing w:before="240" w:after="160" w:line="360" w:lineRule="auto"/>
      </w:pPr>
      <w:r>
        <w:rPr>
          <w:rFonts w:ascii="標楷體" w:eastAsia="標楷體" w:hAnsi="標楷體" w:cs="標楷體"/>
          <w:b/>
          <w:bCs/>
        </w:rPr>
        <w:t>3. 規劃完成後的成果樣貌</w:t>
      </w:r>
    </w:p>
    <w:p w14:paraId="5D228B4C" w14:textId="77777777" w:rsidR="00D44DCB" w:rsidRDefault="00000000">
      <w:pPr>
        <w:spacing w:after="120" w:line="360" w:lineRule="auto"/>
        <w:jc w:val="both"/>
      </w:pPr>
      <w:r>
        <w:rPr>
          <w:rFonts w:ascii="新細明體" w:eastAsia="新細明體" w:hAnsi="新細明體" w:cs="新細明體"/>
          <w:b/>
          <w:bCs/>
          <w:sz w:val="24"/>
          <w:szCs w:val="24"/>
        </w:rPr>
        <w:t>角色與造型｜</w:t>
      </w:r>
      <w:r>
        <w:rPr>
          <w:rFonts w:ascii="新細明體" w:eastAsia="新細明體" w:hAnsi="新細明體" w:cs="新細明體"/>
          <w:sz w:val="24"/>
          <w:szCs w:val="24"/>
        </w:rPr>
        <w:t>人物模型調整完成後，預期角色的五官與身體構造能更清楚呈現，並以較鮮明的外觀特色建立辨識度。髮型、服裝類型與裝飾的整合，則著重於不同造型組合的協調性，避免搭配後產生割裂或不相容的視覺感受。</w:t>
      </w:r>
    </w:p>
    <w:p w14:paraId="5D228B4D" w14:textId="77777777" w:rsidR="00D44DCB" w:rsidRDefault="00000000">
      <w:pPr>
        <w:spacing w:after="120" w:line="360" w:lineRule="auto"/>
        <w:jc w:val="both"/>
      </w:pPr>
      <w:r>
        <w:rPr>
          <w:rFonts w:ascii="新細明體" w:eastAsia="新細明體" w:hAnsi="新細明體" w:cs="新細明體"/>
          <w:b/>
          <w:bCs/>
          <w:sz w:val="24"/>
          <w:szCs w:val="24"/>
        </w:rPr>
        <w:t>畫面與介面｜</w:t>
      </w:r>
      <w:r>
        <w:rPr>
          <w:rFonts w:ascii="新細明體" w:eastAsia="新細明體" w:hAnsi="新細明體" w:cs="新細明體"/>
          <w:sz w:val="24"/>
          <w:szCs w:val="24"/>
        </w:rPr>
        <w:t>畫質、特效、UI 與載入畫面規劃共同建立一致的遊戲風格。視覺升級的目標是讓場景、角色、操作元件與載入過程具有連續的設計語言；《光·遇》與《動物森友會》只作氣氛與品質參考，不作素材、介面或玩法的直接仿製。</w:t>
      </w:r>
    </w:p>
    <w:p w14:paraId="5D228B4E" w14:textId="77777777" w:rsidR="00D44DCB" w:rsidRDefault="00000000">
      <w:pPr>
        <w:spacing w:after="120" w:line="360" w:lineRule="auto"/>
        <w:jc w:val="both"/>
      </w:pPr>
      <w:r>
        <w:rPr>
          <w:rFonts w:ascii="新細明體" w:eastAsia="新細明體" w:hAnsi="新細明體" w:cs="新細明體"/>
          <w:b/>
          <w:bCs/>
          <w:sz w:val="24"/>
          <w:szCs w:val="24"/>
        </w:rPr>
        <w:t>提醒與遊戲後果｜</w:t>
      </w:r>
      <w:r>
        <w:rPr>
          <w:rFonts w:ascii="新細明體" w:eastAsia="新細明體" w:hAnsi="新細明體" w:cs="新細明體"/>
          <w:sz w:val="24"/>
          <w:szCs w:val="24"/>
        </w:rPr>
        <w:t>大型訊息框、顏色變化及每日挑戰式通知，規劃形成較明顯的回訪提醒；登入中斷後的解鎖機制與藤蔓侵蝕事件，則規劃讓中斷參與在遊戲世界中產生可見後果。因具體付費方式、通知頻率、破壞程度與復原方式均未定，本版不進一步推定其規則。</w:t>
      </w:r>
    </w:p>
    <w:p w14:paraId="5D228B4F" w14:textId="77777777" w:rsidR="00D44DCB" w:rsidRDefault="00000000">
      <w:pPr>
        <w:spacing w:after="120" w:line="360" w:lineRule="auto"/>
        <w:jc w:val="both"/>
      </w:pPr>
      <w:r>
        <w:rPr>
          <w:rFonts w:ascii="新細明體" w:eastAsia="新細明體" w:hAnsi="新細明體" w:cs="新細明體"/>
          <w:b/>
          <w:bCs/>
          <w:sz w:val="24"/>
          <w:szCs w:val="24"/>
        </w:rPr>
        <w:t>島嶼角色互動｜</w:t>
      </w:r>
      <w:r>
        <w:rPr>
          <w:rFonts w:ascii="新細明體" w:eastAsia="新細明體" w:hAnsi="新細明體" w:cs="新細明體"/>
          <w:sz w:val="24"/>
          <w:szCs w:val="24"/>
        </w:rPr>
        <w:t>寵物與 NPC 完成後，預期以動物外觀、人類化行為及園丁、管家等職務設定，形成具個別特色的島嶼居民。不同 NPC 將對島嶼產生不同的正向作用並與玩家互動，但其作用種類、數值與觸發方式尚待定義。</w:t>
      </w:r>
    </w:p>
    <w:p w14:paraId="5D228B50" w14:textId="77777777" w:rsidR="00D44DCB" w:rsidRDefault="00000000">
      <w:pPr>
        <w:spacing w:after="120" w:line="360" w:lineRule="auto"/>
        <w:jc w:val="both"/>
      </w:pPr>
      <w:r>
        <w:rPr>
          <w:rFonts w:ascii="新細明體" w:eastAsia="新細明體" w:hAnsi="新細明體" w:cs="新細明體"/>
          <w:b/>
          <w:bCs/>
          <w:sz w:val="24"/>
          <w:szCs w:val="24"/>
        </w:rPr>
        <w:t>操作理解｜</w:t>
      </w:r>
      <w:r>
        <w:rPr>
          <w:rFonts w:ascii="新細明體" w:eastAsia="新細明體" w:hAnsi="新細明體" w:cs="新細明體"/>
          <w:sz w:val="24"/>
          <w:szCs w:val="24"/>
        </w:rPr>
        <w:t>載入畫面的風格重設與新手引導完善，預期協助首次進入遊戲的使用者理解遊戲調性、主要介面、操作順序及核心功能，降低初次使用時的探索成本。</w:t>
      </w:r>
    </w:p>
    <w:p w14:paraId="5D228B50" w14:textId="77777777" w:rsidR="00D44DCB" w:rsidRDefault="00000000">
      <w:pPr>
        <w:spacing w:after="120" w:line="360" w:lineRule="auto"/>
        <w:jc w:val="both"/>
      </w:pPr>
      <w:r>
        <w:rPr>
          <w:rFonts w:ascii="新細明體" w:eastAsia="新細明體" w:hAnsi="新細明體" w:cs="新細明體"/>
          <w:b/>
          <w:bCs/>
          <w:sz w:val="24"/>
          <w:szCs w:val="24"/>
        </w:rPr>
        <w:t>稀有度與輪盤體驗｜飾品稀有度由三級調整為「普通、稀有、史詩、神話」四級後，商店商品的層次更為分明，各等級占比（60%/25%/12%/3%）使頂級商品保持稀缺感。輪盤介面依使用者連續登入天數呈現不同的視覺等級，搭配功能卡（如雙倍金幣卡）的限時供應，形成更具策略深度的遊戲經濟體驗。</w:t>
      </w:r>
      <w:r>
        <w:rPr>
          <w:rFonts w:ascii="新細明體" w:eastAsia="新細明體" w:hAnsi="新細明體" w:cs="新細明體"/>
          <w:sz w:val="24"/>
          <w:szCs w:val="24"/>
        </w:rPr>
      </w:r>
    </w:p>
    <w:p w14:paraId="5D228B50" w14:textId="77777777" w:rsidR="00D44DCB" w:rsidRDefault="00000000">
      <w:pPr>
        <w:spacing w:after="120" w:line="360" w:lineRule="auto"/>
        <w:jc w:val="both"/>
      </w:pPr>
      <w:r>
        <w:rPr>
          <w:rFonts w:ascii="新細明體" w:eastAsia="新細明體" w:hAnsi="新細明體" w:cs="新細明體"/>
          <w:b/>
          <w:bCs/>
          <w:sz w:val="24"/>
          <w:szCs w:val="24"/>
        </w:rPr>
        <w:t>寵物照護與島嶼生態｜寵物完成生命跡象機制後，預期形成需要持續關注的養成體驗：使用者透過餵食飼料維持寵物活動力，佈置戶外狗窩提供活動空間，並在未登入期間面對排泄物堆積的視覺後果。園丁、管家 NPC 可協助清理，使島嶼管理與 NPC 職務產生實際互動。商店中同時加入圍欄商品，為島嶼區域劃分與庭院裝飾提供新的建設選項。</w:t>
      </w:r>
      <w:r>
        <w:rPr>
          <w:rFonts w:ascii="新細明體" w:eastAsia="新細明體" w:hAnsi="新細明體" w:cs="新細明體"/>
          <w:sz w:val="24"/>
          <w:szCs w:val="24"/>
        </w:rPr>
      </w:r>
    </w:p>
    <w:p w14:paraId="5D228B51" w14:textId="77777777" w:rsidR="00D44DCB" w:rsidRDefault="00000000">
      <w:pPr>
        <w:pStyle w:val="2"/>
        <w:spacing w:before="240" w:after="160" w:line="360" w:lineRule="auto"/>
      </w:pPr>
      <w:r>
        <w:rPr>
          <w:rFonts w:ascii="標楷體" w:eastAsia="標楷體" w:hAnsi="標楷體" w:cs="標楷體"/>
          <w:b/>
          <w:bCs/>
        </w:rPr>
        <w:t>4. 遊戲機制與資訊更新（未來藍圖規劃）</w:t>
      </w:r>
    </w:p>
    <w:p w14:paraId="5D228B52" w14:textId="77777777" w:rsidR="00D44DCB" w:rsidRDefault="00000000">
      <w:pPr>
        <w:spacing w:after="120" w:line="360" w:lineRule="auto"/>
        <w:ind w:firstLine="480"/>
        <w:jc w:val="both"/>
      </w:pPr>
      <w:r>
        <w:rPr>
          <w:rFonts w:ascii="新細明體" w:eastAsia="新細明體" w:hAnsi="新細明體" w:cs="新細明體"/>
          <w:sz w:val="24"/>
          <w:szCs w:val="24"/>
        </w:rPr>
        <w:t>以下為團隊規劃中的遊戲機制更新方向，目前尚未完成但已列入未來藍圖，預計將逐步實作。各項機制的具體規則、數值與介面均待設計與測試後定案。</w:t>
      </w:r>
    </w:p>
    <w:p w14:paraId="5D228B53" w14:textId="77777777" w:rsidR="00D44DCB" w:rsidRDefault="00000000">
      <w:pPr>
        <w:spacing w:after="120" w:line="360" w:lineRule="auto"/>
        <w:jc w:val="both"/>
      </w:pPr>
      <w:r>
        <w:rPr>
          <w:rFonts w:ascii="新細明體" w:eastAsia="新細明體" w:hAnsi="新細明體" w:cs="新細明體"/>
          <w:b/>
          <w:bCs/>
          <w:sz w:val="24"/>
          <w:szCs w:val="24"/>
        </w:rPr>
        <w:t>飾品稀有度與取得機制｜商品劃分為「普通、稀有、史詩、神話」四種等級，商店內各等級占比分別為 60%、25%、12%、3%；越稀有的商品獲得時的特效、動畫與音效越華麗。最頂級商品（如神話級鳳凰）約需存 1 至 2 個月的金幣（約 5,000–6,000 金幣）方能購入；稀有度最高者則改以經驗值作為解鎖門檻——當經驗值累積達指定等級，該商品即行解鎖並直接獲得，全程不扣除經驗值，亦不另行支付金幣，藉此與金幣的消費用途明確區隔。團隊同時規劃全面優化人物飾品的性能與整體畫風，調整過去吸引力不足的飾品以提升使用者購買意願。</w:t>
      </w:r>
      <w:r>
        <w:rPr>
          <w:rFonts w:ascii="新細明體" w:eastAsia="新細明體" w:hAnsi="新細明體" w:cs="新細明體"/>
          <w:sz w:val="24"/>
          <w:szCs w:val="24"/>
        </w:rPr>
      </w:r>
    </w:p>
    <w:p w14:paraId="5D228B54" w14:textId="77777777" w:rsidR="00D44DCB" w:rsidRDefault="00000000">
      <w:pPr>
        <w:spacing w:after="120" w:line="360" w:lineRule="auto"/>
        <w:jc w:val="both"/>
      </w:pPr>
      <w:r>
        <w:rPr>
          <w:rFonts w:ascii="新細明體" w:eastAsia="新細明體" w:hAnsi="新細明體" w:cs="新細明體"/>
          <w:b/>
          <w:bCs/>
          <w:sz w:val="24"/>
          <w:szCs w:val="24"/>
        </w:rPr>
        <w:t>新手即時回饋｜</w:t>
      </w:r>
      <w:r>
        <w:rPr>
          <w:rFonts w:ascii="新細明體" w:eastAsia="新細明體" w:hAnsi="新細明體" w:cs="新細明體"/>
          <w:sz w:val="24"/>
          <w:szCs w:val="24"/>
        </w:rPr>
        <w:t>玩家首次完成健身即可獲得十餘枚金幣，使其在第一次體驗便有明確的成就回饋，避免初始門檻過高導致放棄。</w:t>
      </w:r>
    </w:p>
    <w:p w14:paraId="5D228B55" w14:textId="77777777" w:rsidR="00D44DCB" w:rsidRDefault="00000000">
      <w:pPr>
        <w:spacing w:after="120" w:line="360" w:lineRule="auto"/>
        <w:jc w:val="both"/>
      </w:pPr>
      <w:r>
        <w:rPr>
          <w:rFonts w:ascii="新細明體" w:eastAsia="新細明體" w:hAnsi="新細明體" w:cs="新細明體"/>
          <w:b/>
          <w:bCs/>
          <w:sz w:val="24"/>
          <w:szCs w:val="24"/>
        </w:rPr>
        <w:t>每日簽到與活動限定｜</w:t>
      </w:r>
      <w:r>
        <w:rPr>
          <w:rFonts w:ascii="新細明體" w:eastAsia="新細明體" w:hAnsi="新細明體" w:cs="新細明體"/>
          <w:sz w:val="24"/>
          <w:szCs w:val="24"/>
        </w:rPr>
        <w:t>簽到獎勵涵蓋特定節日（如聖誕節、萬聖節、共生節）限定極品，過期即絕版，最高可獲得頂級寵物或造型，以此提升使用者黏著度。漏簽七天以內可透過付費、完成特定運動任務或連續簽到至下週對應天數進行補簽；超過七天則不予補發。</w:t>
      </w:r>
    </w:p>
    <w:p w14:paraId="5D228B56" w14:textId="77777777" w:rsidR="00D44DCB" w:rsidRDefault="00000000">
      <w:pPr>
        <w:spacing w:after="120" w:line="360" w:lineRule="auto"/>
        <w:jc w:val="both"/>
      </w:pPr>
      <w:r>
        <w:rPr>
          <w:rFonts w:ascii="新細明體" w:eastAsia="新細明體" w:hAnsi="新細明體" w:cs="新細明體"/>
          <w:b/>
          <w:bCs/>
          <w:sz w:val="24"/>
          <w:szCs w:val="24"/>
        </w:rPr>
        <w:t>幸運輪盤與抽獎券｜第七天簽到大獎採用輪盤抽獎形式。抽獎券的來源為簽到累積、每日與每週任務及健身目標達成，無法以金幣直接購買。此設計旨在引導玩家實際參與運動，防止僅上線簽到而不運動的情形。系統加入連續登入進度條，以一週七天為單位，讓使用者看到再累積幾天輪盤即可加入更高稀有度獎品；符合條件的使用者，其抽獎券與輪盤介面皆升級為對應稀有度的顏色與樣式（如金色邊框、發光特效），與未達標使用者形成強烈的視覺對比，強化每日登入的參與動力。輪盤抽獎命中率為：碎片 48%、抽獎券 15%、功能卡 20%、普通 8%、稀有 5%、史詩 3%、神話 1%。</w:t>
      </w:r>
      <w:r>
        <w:rPr>
          <w:rFonts w:ascii="新細明體" w:eastAsia="新細明體" w:hAnsi="新細明體" w:cs="新細明體"/>
          <w:sz w:val="24"/>
          <w:szCs w:val="24"/>
        </w:rPr>
      </w:r>
    </w:p>
    <w:p w14:paraId="5D228B57" w14:textId="77777777" w:rsidR="00D44DCB" w:rsidRDefault="00000000">
      <w:pPr>
        <w:spacing w:after="120" w:line="360" w:lineRule="auto"/>
        <w:jc w:val="both"/>
      </w:pPr>
      <w:r>
        <w:rPr>
          <w:rFonts w:ascii="新細明體" w:eastAsia="新細明體" w:hAnsi="新細明體" w:cs="新細明體"/>
          <w:b/>
          <w:bCs/>
          <w:sz w:val="24"/>
          <w:szCs w:val="24"/>
        </w:rPr>
        <w:t>金幣與經驗值對接｜金幣的唯一獲取來源為健身結算，遊戲端不設任何其他金幣產出管道（例如餵寵物不可獲得金幣），以確保健身端與遊戲端的金幣數據一致。經驗值在兩端皆為只增不減並即時同步連動，因此不會產生扣除時的同步異常問題。此機制與第二章所述之單一寫入入口設計相一致——金幣的增加僅能透過訓練結算此一函式，系統對外提供之介面不含任何加值方法，進一步明確了金幣產出的唯一管道。</w:t>
      </w:r>
      <w:r>
        <w:rPr>
          <w:rFonts w:ascii="新細明體" w:eastAsia="新細明體" w:hAnsi="新細明體" w:cs="新細明體"/>
          <w:sz w:val="24"/>
          <w:szCs w:val="24"/>
        </w:rPr>
      </w:r>
    </w:p>
    <w:p w14:paraId="5D228B58" w14:textId="77777777" w:rsidR="00D44DCB" w:rsidRDefault="00000000">
      <w:pPr>
        <w:spacing w:after="120" w:line="360" w:lineRule="auto"/>
        <w:jc w:val="both"/>
      </w:pPr>
      <w:r>
        <w:rPr>
          <w:rFonts w:ascii="新細明體" w:eastAsia="新細明體" w:hAnsi="新細明體" w:cs="新細明體"/>
          <w:b/>
          <w:bCs/>
          <w:sz w:val="24"/>
          <w:szCs w:val="24"/>
        </w:rPr>
        <w:t>結算畫面｜</w:t>
      </w:r>
      <w:r>
        <w:rPr>
          <w:rFonts w:ascii="新細明體" w:eastAsia="新細明體" w:hAnsi="新細明體" w:cs="新細明體"/>
          <w:sz w:val="24"/>
          <w:szCs w:val="24"/>
        </w:rPr>
        <w:t>健身結束後的結算畫面將顯示金幣、經驗值、碎片與抽獎券四項資訊。金幣與經驗值常駐於健身端與遊戲端雙向顯示；碎片與抽獎券僅在結算畫面及遊戲端提示中顯示，主畫面不做同步呈現。</w:t>
      </w:r>
    </w:p>
    <w:p w14:paraId="5D228B59" w14:textId="77777777" w:rsidR="00D44DCB" w:rsidRDefault="00000000">
      <w:pPr>
        <w:spacing w:after="120" w:line="360" w:lineRule="auto"/>
        <w:jc w:val="both"/>
      </w:pPr>
      <w:r>
        <w:rPr>
          <w:rFonts w:ascii="新細明體" w:eastAsia="新細明體" w:hAnsi="新細明體" w:cs="新細明體"/>
          <w:b/>
          <w:bCs/>
          <w:sz w:val="24"/>
          <w:szCs w:val="24"/>
        </w:rPr>
        <w:t>建模現況｜</w:t>
      </w:r>
      <w:r>
        <w:rPr>
          <w:rFonts w:ascii="新細明體" w:eastAsia="新細明體" w:hAnsi="新細明體" w:cs="新細明體"/>
          <w:sz w:val="24"/>
          <w:szCs w:val="24"/>
        </w:rPr>
        <w:t>目前四維卡在建模嵌入遊戲的技術問題。團隊規劃若短期內無法解決，將先擱置該部分，優先處理其他可推進的項目，後續再行解決。</w:t>
      </w:r>
    </w:p>
    <w:p w14:paraId="5D228B59" w14:textId="77777777" w:rsidR="00D44DCB" w:rsidRDefault="00000000">
      <w:pPr>
        <w:spacing w:after="120" w:line="360" w:lineRule="auto"/>
        <w:jc w:val="both"/>
      </w:pPr>
      <w:r>
        <w:rPr>
          <w:rFonts w:ascii="新細明體" w:eastAsia="新細明體" w:hAnsi="新細明體" w:cs="新細明體"/>
          <w:b/>
          <w:bCs/>
          <w:sz w:val="24"/>
          <w:szCs w:val="24"/>
        </w:rPr>
        <w:t>寵物生命跡象與照護｜為寵物系統加入活動力與營養值兩項狀態指標。若使用者長期未餵食或未登入，寵物活動力逐步下降並躲在窩裡不出來互動。商店中加入狗飼料品項（如西沙等），餵食可提升寵物生命力與營養值、增加互動活性；同時加入戶外狗窩作為島嶼裝飾與寵物活動空間。連續多天未登入時，島嶼地面將出現寵物排泄物並隨天數堆積，此懲罰機制可與園丁、管家 NPC 結合，NPC 可協助清理但需消耗資源或達成特定條件。</w:t>
      </w:r>
      <w:r>
        <w:rPr>
          <w:rFonts w:ascii="新細明體" w:eastAsia="新細明體" w:hAnsi="新細明體" w:cs="新細明體"/>
          <w:sz w:val="24"/>
          <w:szCs w:val="24"/>
        </w:rPr>
      </w:r>
    </w:p>
    <w:p w14:paraId="5D228B59" w14:textId="77777777" w:rsidR="00D44DCB" w:rsidRDefault="00000000">
      <w:pPr>
        <w:spacing w:after="120" w:line="360" w:lineRule="auto"/>
        <w:jc w:val="both"/>
      </w:pPr>
      <w:r>
        <w:rPr>
          <w:rFonts w:ascii="新細明體" w:eastAsia="新細明體" w:hAnsi="新細明體" w:cs="新細明體"/>
          <w:b/>
          <w:bCs/>
          <w:sz w:val="24"/>
          <w:szCs w:val="24"/>
        </w:rPr>
        <w:t>商店新增商品：圍欄｜商店中加入「圍欄」類別商品，供使用者購買後放置於島嶼上，用於劃分區域、裝飾庭院或圍護寵物活動範圍。圍欄提供多種風格選擇（如木質、金屬、花園式），並對應不同稀有度等級與定價。</w:t>
      </w:r>
      <w:r>
        <w:rPr>
          <w:rFonts w:ascii="新細明體" w:eastAsia="新細明體" w:hAnsi="新細明體" w:cs="新細明體"/>
          <w:sz w:val="24"/>
          <w:szCs w:val="24"/>
        </w:rPr>
      </w:r>
    </w:p>
    <w:p w14:paraId="5D228B59" w14:textId="77777777" w:rsidR="00D44DCB" w:rsidRDefault="00000000">
      <w:pPr>
        <w:spacing w:after="120" w:line="360" w:lineRule="auto"/>
        <w:jc w:val="both"/>
      </w:pPr>
      <w:r>
        <w:rPr>
          <w:rFonts w:ascii="新細明體" w:eastAsia="新細明體" w:hAnsi="新細明體" w:cs="新細明體"/>
          <w:b/>
          <w:bCs/>
          <w:sz w:val="24"/>
          <w:szCs w:val="24"/>
        </w:rPr>
        <w:t>功能卡系統｜加入功能卡機制，首張功能卡為「雙倍金幣卡」，使用後下次健身結算金幣翻倍，未來將持續引進新種類功能卡。功能卡採隨機上線制，每隔數週於限時商店中返場販售；獲取管道包含限時商店購買（金幣購入，定價較高）與輪盤抽獎（命中率約 20%）。此機制為進階玩家提供策略性消費選項，同時以限時供應控制經濟平衡。功能卡之倍率上限與生效次數由健身辨識端定義，遊戲端僅能宣告使用一張已持有的功能卡，金幣仍全數於訓練結算函式產出，不另闢加值管道。</w:t>
      </w:r>
      <w:r>
        <w:rPr>
          <w:rFonts w:ascii="新細明體" w:eastAsia="新細明體" w:hAnsi="新細明體" w:cs="新細明體"/>
          <w:sz w:val="24"/>
          <w:szCs w:val="24"/>
        </w:rPr>
      </w:r>
    </w:p>
    <w:p w14:paraId="5D228ABB" w14:textId="77777777" w:rsidR="00D44DCB" w:rsidRDefault="00000000">
      <w:pPr>
        <w:pStyle w:val="2"/>
        <w:spacing w:before="240" w:after="160" w:line="360" w:lineRule="auto"/>
      </w:pPr>
      <w:r>
        <w:rPr>
          <w:rFonts w:ascii="標楷體" w:eastAsia="標楷體" w:hAnsi="標楷體" w:cs="標楷體"/>
          <w:b/>
          <w:bCs/>
        </w:rPr>
        <w:t>健身辨識端｜預期結果</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1. 交付成果</w:t>
      </w:r>
    </w:p>
    <w:p w14:paraId="5D228ABF" w14:textId="77777777" w:rsidR="00D44DCB" w:rsidRDefault="00000000">
      <w:pPr>
        <w:spacing w:after="120" w:line="360" w:lineRule="auto"/>
        <w:jc w:val="center"/>
      </w:pPr>
      <w:r>
        <w:rPr>
          <w:rFonts w:ascii="新細明體" w:eastAsia="新細明體" w:hAnsi="新細明體" w:cs="新細明體"/>
          <w:b/>
          <w:bCs/>
          <w:sz w:val="24"/>
          <w:szCs w:val="24"/>
        </w:rPr>
        <w:t>表 6-2　健身辨識端交付成果</w:t>
      </w:r>
    </w:p>
    <w:tbl>
      <w:tblPr>
        <w:tblW w:w="96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3200"/>
        <w:gridCol w:w="3200"/>
        <w:gridCol w:w="3200"/>
      </w:tblGrid>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交付項目</w:t>
            </w:r>
          </w:p>
        </w:tc>
        <w:tc>
          <w:tcPr>
            <w:tcW w:w="1600" w:type="dxa"/>
            <w:shd w:val="clear" w:color="auto" w:fill="D9E2F3"/>
            <w:tcMar>
              <w:top w:w="40" w:type="dxa"/>
              <w:left w:w="80" w:type="dxa"/>
              <w:bottom w:w="40" w:type="dxa"/>
              <w:right w:w="80" w:type="dxa"/>
            </w:tcMar>
          </w:tcPr>
          <w:p>
            <w:r>
              <w:t>內容</w:t>
            </w:r>
          </w:p>
        </w:tc>
        <w:tc>
          <w:tcPr>
            <w:tcW w:w="3600" w:type="dxa"/>
            <w:shd w:val="clear" w:color="auto" w:fill="D9E2F3"/>
            <w:tcMar>
              <w:top w:w="40" w:type="dxa"/>
              <w:left w:w="80" w:type="dxa"/>
              <w:bottom w:w="40" w:type="dxa"/>
              <w:right w:w="80" w:type="dxa"/>
            </w:tcMar>
          </w:tcPr>
          <w:p>
            <w:r>
              <w:t>狀態</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整合系統</w:t>
            </w:r>
          </w:p>
        </w:tc>
        <w:tc>
          <w:tcPr>
            <w:tcW w:w="1600" w:type="dxa"/>
            <w:shd w:val="clear" w:color="auto" w:fill="D9E2F3"/>
            <w:tcMar>
              <w:top w:w="40" w:type="dxa"/>
              <w:left w:w="80" w:type="dxa"/>
              <w:bottom w:w="40" w:type="dxa"/>
              <w:right w:w="80" w:type="dxa"/>
            </w:tcMar>
          </w:tcPr>
          <w:p>
            <w:r>
              <w:t>單一網站應用程式，開啟瀏覽器即可使用，無須安裝與註冊</w:t>
            </w:r>
          </w:p>
        </w:tc>
        <w:tc>
          <w:tcPr>
            <w:tcW w:w="3600" w:type="dxa"/>
            <w:shd w:val="clear" w:color="auto" w:fill="D9E2F3"/>
            <w:tcMar>
              <w:top w:w="40" w:type="dxa"/>
              <w:left w:w="80" w:type="dxa"/>
              <w:bottom w:w="40" w:type="dxa"/>
              <w:right w:w="80" w:type="dxa"/>
            </w:tcMar>
          </w:tcPr>
          <w:p>
            <w:r>
              <w:t>開發中</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動作判定能力</w:t>
            </w:r>
          </w:p>
        </w:tc>
        <w:tc>
          <w:tcPr>
            <w:tcW w:w="1600" w:type="dxa"/>
            <w:shd w:val="clear" w:color="auto" w:fill="D9E2F3"/>
            <w:tcMar>
              <w:top w:w="40" w:type="dxa"/>
              <w:left w:w="80" w:type="dxa"/>
              <w:bottom w:w="40" w:type="dxa"/>
              <w:right w:w="80" w:type="dxa"/>
            </w:tcMar>
          </w:tcPr>
          <w:p>
            <w:r>
              <w:t>各動作具完整週期判定、錯誤原因輸出與修正提示</w:t>
            </w:r>
          </w:p>
        </w:tc>
        <w:tc>
          <w:tcPr>
            <w:tcW w:w="3600" w:type="dxa"/>
            <w:shd w:val="clear" w:color="auto" w:fill="D9E2F3"/>
            <w:tcMar>
              <w:top w:w="40" w:type="dxa"/>
              <w:left w:w="80" w:type="dxa"/>
              <w:bottom w:w="40" w:type="dxa"/>
              <w:right w:w="80" w:type="dxa"/>
            </w:tcMar>
          </w:tcPr>
          <w:p>
            <w:r>
              <w:t>四項已實作，二項規劃中</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真人驗證資料集</w:t>
            </w:r>
          </w:p>
        </w:tc>
        <w:tc>
          <w:tcPr>
            <w:tcW w:w="1600" w:type="dxa"/>
            <w:shd w:val="clear" w:color="auto" w:fill="D9E2F3"/>
            <w:tcMar>
              <w:top w:w="40" w:type="dxa"/>
              <w:left w:w="80" w:type="dxa"/>
              <w:bottom w:w="40" w:type="dxa"/>
              <w:right w:w="80" w:type="dxa"/>
            </w:tcMar>
          </w:tcPr>
          <w:p>
            <w:r>
              <w:t>受試者之標準與指定錯誤樣態樣本，含人工標註與混淆矩陣</w:t>
            </w:r>
          </w:p>
        </w:tc>
        <w:tc>
          <w:tcPr>
            <w:tcW w:w="3600" w:type="dxa"/>
            <w:shd w:val="clear" w:color="auto" w:fill="D9E2F3"/>
            <w:tcMar>
              <w:top w:w="40" w:type="dxa"/>
              <w:left w:w="80" w:type="dxa"/>
              <w:bottom w:w="40" w:type="dxa"/>
              <w:right w:w="80" w:type="dxa"/>
            </w:tcMar>
          </w:tcPr>
          <w:p>
            <w:r>
              <w:t>規劃中・尚未執行</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判定依據溯源紀錄</w:t>
            </w:r>
          </w:p>
        </w:tc>
        <w:tc>
          <w:tcPr>
            <w:tcW w:w="1600" w:type="dxa"/>
            <w:shd w:val="clear" w:color="auto" w:fill="D9E2F3"/>
            <w:tcMar>
              <w:top w:w="40" w:type="dxa"/>
              <w:left w:w="80" w:type="dxa"/>
              <w:bottom w:w="40" w:type="dxa"/>
              <w:right w:w="80" w:type="dxa"/>
            </w:tcMar>
          </w:tcPr>
          <w:p>
            <w:r>
              <w:t>各門檻標明知識來源等級</w:t>
            </w:r>
          </w:p>
        </w:tc>
        <w:tc>
          <w:tcPr>
            <w:tcW w:w="3600" w:type="dxa"/>
            <w:shd w:val="clear" w:color="auto" w:fill="D9E2F3"/>
            <w:tcMar>
              <w:top w:w="40" w:type="dxa"/>
              <w:left w:w="80" w:type="dxa"/>
              <w:bottom w:w="40" w:type="dxa"/>
              <w:right w:w="80" w:type="dxa"/>
            </w:tcMar>
          </w:tcPr>
          <w:p>
            <w:r>
              <w:t>已建立</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兩端整合規格</w:t>
            </w:r>
          </w:p>
        </w:tc>
        <w:tc>
          <w:tcPr>
            <w:tcW w:w="1600" w:type="dxa"/>
            <w:shd w:val="clear" w:color="auto" w:fill="D9E2F3"/>
            <w:tcMar>
              <w:top w:w="40" w:type="dxa"/>
              <w:left w:w="80" w:type="dxa"/>
              <w:bottom w:w="40" w:type="dxa"/>
              <w:right w:w="80" w:type="dxa"/>
            </w:tcMar>
          </w:tcPr>
          <w:p>
            <w:r>
              <w:t>模組契約、資源存取介面、驗收標準</w:t>
            </w:r>
          </w:p>
        </w:tc>
        <w:tc>
          <w:tcPr>
            <w:tcW w:w="3600" w:type="dxa"/>
            <w:shd w:val="clear" w:color="auto" w:fill="D9E2F3"/>
            <w:tcMar>
              <w:top w:w="40" w:type="dxa"/>
              <w:left w:w="80" w:type="dxa"/>
              <w:bottom w:w="40" w:type="dxa"/>
              <w:right w:w="80" w:type="dxa"/>
            </w:tcMar>
          </w:tcPr>
          <w:p>
            <w:r>
              <w:t>已定稿</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動作示範素材</w:t>
            </w:r>
          </w:p>
        </w:tc>
        <w:tc>
          <w:tcPr>
            <w:tcW w:w="1600" w:type="dxa"/>
            <w:shd w:val="clear" w:color="auto" w:fill="D9E2F3"/>
            <w:tcMar>
              <w:top w:w="40" w:type="dxa"/>
              <w:left w:w="80" w:type="dxa"/>
              <w:bottom w:w="40" w:type="dxa"/>
              <w:right w:w="80" w:type="dxa"/>
            </w:tcMar>
          </w:tcPr>
          <w:p>
            <w:r>
              <w:t>各動作之真人示範影片</w:t>
            </w:r>
          </w:p>
        </w:tc>
        <w:tc>
          <w:tcPr>
            <w:tcW w:w="3600" w:type="dxa"/>
            <w:shd w:val="clear" w:color="auto" w:fill="D9E2F3"/>
            <w:tcMar>
              <w:top w:w="40" w:type="dxa"/>
              <w:left w:w="80" w:type="dxa"/>
              <w:bottom w:w="40" w:type="dxa"/>
              <w:right w:w="80" w:type="dxa"/>
            </w:tcMar>
          </w:tcPr>
          <w:p>
            <w:r>
              <w:t>規劃中・隨真人測試拍攝</w:t>
            </w:r>
          </w:p>
        </w:tc>
      </w:tr>
    </w:tbl>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2. 驗證指標與解讀界線</w:t>
      </w:r>
    </w:p>
    <w:p w14:paraId="5D228ABF" w14:textId="77777777" w:rsidR="00D44DCB" w:rsidRDefault="00000000">
      <w:pPr>
        <w:spacing w:after="120" w:line="360" w:lineRule="auto"/>
        <w:jc w:val="center"/>
      </w:pPr>
      <w:r>
        <w:rPr>
          <w:rFonts w:ascii="新細明體" w:eastAsia="新細明體" w:hAnsi="新細明體" w:cs="新細明體"/>
          <w:b/>
          <w:bCs/>
          <w:sz w:val="24"/>
          <w:szCs w:val="24"/>
        </w:rPr>
        <w:t>表 6-3　健身辨識端驗證指標與解讀界線</w:t>
      </w:r>
    </w:p>
    <w:tbl>
      <w:tblPr>
        <w:tblW w:w="96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1800"/>
        <w:gridCol w:w="1800"/>
        <w:gridCol w:w="1800"/>
        <w:gridCol w:w="1800"/>
      </w:tblGrid>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評估面向</w:t>
            </w:r>
          </w:p>
        </w:tc>
        <w:tc>
          <w:tcPr>
            <w:tcW w:w="1600" w:type="dxa"/>
            <w:shd w:val="clear" w:color="auto" w:fill="D9E2F3"/>
            <w:tcMar>
              <w:top w:w="40" w:type="dxa"/>
              <w:left w:w="80" w:type="dxa"/>
              <w:bottom w:w="40" w:type="dxa"/>
              <w:right w:w="80" w:type="dxa"/>
            </w:tcMar>
          </w:tcPr>
          <w:p>
            <w:r>
              <w:t>觀察重點</w:t>
            </w:r>
          </w:p>
        </w:tc>
        <w:tc>
          <w:tcPr>
            <w:tcW w:w="3600" w:type="dxa"/>
            <w:shd w:val="clear" w:color="auto" w:fill="D9E2F3"/>
            <w:tcMar>
              <w:top w:w="40" w:type="dxa"/>
              <w:left w:w="80" w:type="dxa"/>
              <w:bottom w:w="40" w:type="dxa"/>
              <w:right w:w="80" w:type="dxa"/>
            </w:tcMar>
          </w:tcPr>
          <w:p>
            <w:r>
              <w:t>驗證方式</w:t>
            </w:r>
          </w:p>
        </w:tc>
        <w:tc>
          <w:tcPr>
            <w:tcW w:w="3600" w:type="dxa"/>
            <w:shd w:val="clear" w:color="auto" w:fill="D9E2F3"/>
            <w:tcMar>
              <w:top w:w="40" w:type="dxa"/>
              <w:left w:w="80" w:type="dxa"/>
              <w:bottom w:w="40" w:type="dxa"/>
              <w:right w:w="80" w:type="dxa"/>
            </w:tcMar>
          </w:tcPr>
          <w:p>
            <w:r>
              <w:t>解讀界線</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規則邏輯</w:t>
            </w:r>
          </w:p>
        </w:tc>
        <w:tc>
          <w:tcPr>
            <w:tcW w:w="1600" w:type="dxa"/>
            <w:shd w:val="clear" w:color="auto" w:fill="D9E2F3"/>
            <w:tcMar>
              <w:top w:w="40" w:type="dxa"/>
              <w:left w:w="80" w:type="dxa"/>
              <w:bottom w:w="40" w:type="dxa"/>
              <w:right w:w="80" w:type="dxa"/>
            </w:tcMar>
          </w:tcPr>
          <w:p>
            <w:r>
              <w:t>正負樣本之判定是否符合規格</w:t>
            </w:r>
          </w:p>
        </w:tc>
        <w:tc>
          <w:tcPr>
            <w:tcW w:w="3600" w:type="dxa"/>
            <w:shd w:val="clear" w:color="auto" w:fill="D9E2F3"/>
            <w:tcMar>
              <w:top w:w="40" w:type="dxa"/>
              <w:left w:w="80" w:type="dxa"/>
              <w:bottom w:w="40" w:type="dxa"/>
              <w:right w:w="80" w:type="dxa"/>
            </w:tcMar>
          </w:tcPr>
          <w:p>
            <w:r>
              <w:t>固定種子之自動化測試</w:t>
            </w:r>
          </w:p>
        </w:tc>
        <w:tc>
          <w:tcPr>
            <w:tcW w:w="3600" w:type="dxa"/>
            <w:shd w:val="clear" w:color="auto" w:fill="D9E2F3"/>
            <w:tcMar>
              <w:top w:w="40" w:type="dxa"/>
              <w:left w:w="80" w:type="dxa"/>
              <w:bottom w:w="40" w:type="dxa"/>
              <w:right w:w="80" w:type="dxa"/>
            </w:tcMar>
          </w:tcPr>
          <w:p>
            <w:r>
              <w:t>僅確認規則自洽，不推論真人準確率</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體型不變性</w:t>
            </w:r>
          </w:p>
        </w:tc>
        <w:tc>
          <w:tcPr>
            <w:tcW w:w="1600" w:type="dxa"/>
            <w:shd w:val="clear" w:color="auto" w:fill="D9E2F3"/>
            <w:tcMar>
              <w:top w:w="40" w:type="dxa"/>
              <w:left w:w="80" w:type="dxa"/>
              <w:bottom w:w="40" w:type="dxa"/>
              <w:right w:w="80" w:type="dxa"/>
            </w:tcMar>
          </w:tcPr>
          <w:p>
            <w:r>
              <w:t>不同身高使用者之判定一致性</w:t>
            </w:r>
          </w:p>
        </w:tc>
        <w:tc>
          <w:tcPr>
            <w:tcW w:w="3600" w:type="dxa"/>
            <w:shd w:val="clear" w:color="auto" w:fill="D9E2F3"/>
            <w:tcMar>
              <w:top w:w="40" w:type="dxa"/>
              <w:left w:w="80" w:type="dxa"/>
              <w:bottom w:w="40" w:type="dxa"/>
              <w:right w:w="80" w:type="dxa"/>
            </w:tcMar>
          </w:tcPr>
          <w:p>
            <w:r>
              <w:t>真人測試（體型差距拉開）</w:t>
            </w:r>
          </w:p>
        </w:tc>
        <w:tc>
          <w:tcPr>
            <w:tcW w:w="3600" w:type="dxa"/>
            <w:shd w:val="clear" w:color="auto" w:fill="D9E2F3"/>
            <w:tcMar>
              <w:top w:w="40" w:type="dxa"/>
              <w:left w:w="80" w:type="dxa"/>
              <w:bottom w:w="40" w:type="dxa"/>
              <w:right w:w="80" w:type="dxa"/>
            </w:tcMar>
          </w:tcPr>
          <w:p>
            <w:r>
              <w:t>樣本數有限，不作族群推論</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鏡頭距離不變性</w:t>
            </w:r>
          </w:p>
        </w:tc>
        <w:tc>
          <w:tcPr>
            <w:tcW w:w="1600" w:type="dxa"/>
            <w:shd w:val="clear" w:color="auto" w:fill="D9E2F3"/>
            <w:tcMar>
              <w:top w:w="40" w:type="dxa"/>
              <w:left w:w="80" w:type="dxa"/>
              <w:bottom w:w="40" w:type="dxa"/>
              <w:right w:w="80" w:type="dxa"/>
            </w:tcMar>
          </w:tcPr>
          <w:p>
            <w:r>
              <w:t>縮放範圍內之判定一致性</w:t>
            </w:r>
          </w:p>
        </w:tc>
        <w:tc>
          <w:tcPr>
            <w:tcW w:w="3600" w:type="dxa"/>
            <w:shd w:val="clear" w:color="auto" w:fill="D9E2F3"/>
            <w:tcMar>
              <w:top w:w="40" w:type="dxa"/>
              <w:left w:w="80" w:type="dxa"/>
              <w:bottom w:w="40" w:type="dxa"/>
              <w:right w:w="80" w:type="dxa"/>
            </w:tcMar>
          </w:tcPr>
          <w:p>
            <w:r>
              <w:t>縮放擾動測試</w:t>
            </w:r>
          </w:p>
        </w:tc>
        <w:tc>
          <w:tcPr>
            <w:tcW w:w="3600" w:type="dxa"/>
            <w:shd w:val="clear" w:color="auto" w:fill="D9E2F3"/>
            <w:tcMar>
              <w:top w:w="40" w:type="dxa"/>
              <w:left w:w="80" w:type="dxa"/>
              <w:bottom w:w="40" w:type="dxa"/>
              <w:right w:w="80" w:type="dxa"/>
            </w:tcMar>
          </w:tcPr>
          <w:p>
            <w:r>
              <w:t>僅涵蓋測試所及之範圍</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錯誤樣態辨識</w:t>
            </w:r>
          </w:p>
        </w:tc>
        <w:tc>
          <w:tcPr>
            <w:tcW w:w="1600" w:type="dxa"/>
            <w:shd w:val="clear" w:color="auto" w:fill="D9E2F3"/>
            <w:tcMar>
              <w:top w:w="40" w:type="dxa"/>
              <w:left w:w="80" w:type="dxa"/>
              <w:bottom w:w="40" w:type="dxa"/>
              <w:right w:w="80" w:type="dxa"/>
            </w:tcMar>
          </w:tcPr>
          <w:p>
            <w:r>
              <w:t>指定錯誤是否被正確攔截</w:t>
            </w:r>
          </w:p>
        </w:tc>
        <w:tc>
          <w:tcPr>
            <w:tcW w:w="3600" w:type="dxa"/>
            <w:shd w:val="clear" w:color="auto" w:fill="D9E2F3"/>
            <w:tcMar>
              <w:top w:w="40" w:type="dxa"/>
              <w:left w:w="80" w:type="dxa"/>
              <w:bottom w:w="40" w:type="dxa"/>
              <w:right w:w="80" w:type="dxa"/>
            </w:tcMar>
          </w:tcPr>
          <w:p>
            <w:r>
              <w:t>真人測試混淆矩陣</w:t>
            </w:r>
          </w:p>
        </w:tc>
        <w:tc>
          <w:tcPr>
            <w:tcW w:w="3600" w:type="dxa"/>
            <w:shd w:val="clear" w:color="auto" w:fill="D9E2F3"/>
            <w:tcMar>
              <w:top w:w="40" w:type="dxa"/>
              <w:left w:w="80" w:type="dxa"/>
              <w:bottom w:w="40" w:type="dxa"/>
              <w:right w:w="80" w:type="dxa"/>
            </w:tcMar>
          </w:tcPr>
          <w:p>
            <w:r>
              <w:t>標籤依拍攝指令設定，未經教練獨立標註</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系統整合</w:t>
            </w:r>
          </w:p>
        </w:tc>
        <w:tc>
          <w:tcPr>
            <w:tcW w:w="1600" w:type="dxa"/>
            <w:shd w:val="clear" w:color="auto" w:fill="D9E2F3"/>
            <w:tcMar>
              <w:top w:w="40" w:type="dxa"/>
              <w:left w:w="80" w:type="dxa"/>
              <w:bottom w:w="40" w:type="dxa"/>
              <w:right w:w="80" w:type="dxa"/>
            </w:tcMar>
          </w:tcPr>
          <w:p>
            <w:r>
              <w:t>兩端資料一致性與操作銜接</w:t>
            </w:r>
          </w:p>
        </w:tc>
        <w:tc>
          <w:tcPr>
            <w:tcW w:w="3600" w:type="dxa"/>
            <w:shd w:val="clear" w:color="auto" w:fill="D9E2F3"/>
            <w:tcMar>
              <w:top w:w="40" w:type="dxa"/>
              <w:left w:w="80" w:type="dxa"/>
              <w:bottom w:w="40" w:type="dxa"/>
              <w:right w:w="80" w:type="dxa"/>
            </w:tcMar>
          </w:tcPr>
          <w:p>
            <w:r>
              <w:t>整合驗收五項</w:t>
            </w:r>
          </w:p>
        </w:tc>
        <w:tc>
          <w:tcPr>
            <w:tcW w:w="3600" w:type="dxa"/>
            <w:shd w:val="clear" w:color="auto" w:fill="D9E2F3"/>
            <w:tcMar>
              <w:top w:w="40" w:type="dxa"/>
              <w:left w:w="80" w:type="dxa"/>
              <w:bottom w:w="40" w:type="dxa"/>
              <w:right w:w="80" w:type="dxa"/>
            </w:tcMar>
          </w:tcPr>
          <w:p>
            <w:r>
              <w:t>僅確認流程可用，不推論使用成效</w:t>
            </w:r>
          </w:p>
        </w:tc>
      </w:tr>
    </w:tbl>
    <w:p w14:paraId="5D228B5A" w14:textId="77777777" w:rsidR="00D44DCB" w:rsidRDefault="00000000">
      <w:pPr>
        <w:pStyle w:val="1"/>
        <w:spacing w:before="360" w:after="200" w:line="360" w:lineRule="auto"/>
      </w:pPr>
      <w:r>
        <w:rPr>
          <w:rFonts w:ascii="標楷體" w:eastAsia="標楷體" w:hAnsi="標楷體" w:cs="標楷體"/>
          <w:b/>
          <w:bCs/>
          <w:sz w:val="28"/>
          <w:szCs w:val="32"/>
        </w:rPr>
        <w:t>（三）用途</w:t>
      </w:r>
    </w:p>
    <w:p w14:paraId="5D228B5B"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網站健身操作｜</w:t>
      </w:r>
      <w:r>
        <w:rPr>
          <w:rFonts w:ascii="新細明體" w:eastAsia="新細明體" w:hAnsi="新細明體" w:cs="新細明體"/>
          <w:sz w:val="24"/>
          <w:szCs w:val="24"/>
        </w:rPr>
        <w:t>完成整合後，讓使用者在網站中選擇健身項目、進入訓練畫面、查看結算結果及追蹤紀錄，形成連續的使用流程。</w:t>
      </w:r>
    </w:p>
    <w:p w14:paraId="5D228B5C"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lastRenderedPageBreak/>
        <w:t>遊戲化成果呈現｜</w:t>
      </w:r>
      <w:r>
        <w:rPr>
          <w:rFonts w:ascii="新細明體" w:eastAsia="新細明體" w:hAnsi="新細明體" w:cs="新細明體"/>
          <w:sz w:val="24"/>
          <w:szCs w:val="24"/>
        </w:rPr>
        <w:t>以角色、獎勵、商店、穿搭、住家佈置與島嶼建造，呈現健身參與所累積的結果與進度。</w:t>
      </w:r>
    </w:p>
    <w:p w14:paraId="5D228B5D"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角色個人化｜</w:t>
      </w:r>
      <w:r>
        <w:rPr>
          <w:rFonts w:ascii="新細明體" w:eastAsia="新細明體" w:hAnsi="新細明體" w:cs="新細明體"/>
          <w:sz w:val="24"/>
          <w:szCs w:val="24"/>
        </w:rPr>
        <w:t>人物模型、髮型、穿搭與裝飾完成調整後，預期提供較清楚、協調且具角色特色的外觀呈現。</w:t>
      </w:r>
    </w:p>
    <w:p w14:paraId="5D228B5E"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回訪提醒與負向回饋｜</w:t>
      </w:r>
      <w:r>
        <w:rPr>
          <w:rFonts w:ascii="新細明體" w:eastAsia="新細明體" w:hAnsi="新細明體" w:cs="新細明體"/>
          <w:sz w:val="24"/>
          <w:szCs w:val="24"/>
        </w:rPr>
        <w:t>手機端大型訊息框、顏色變化、每日挑戰式通知、登入中斷後的解鎖，以及藤蔓侵蝕事件，規劃用於提醒使用者返回遊戲，並讓中斷參與產生可見的遊戲內後果。</w:t>
      </w:r>
    </w:p>
    <w:p w14:paraId="5D228B5F"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島嶼角色互動｜</w:t>
      </w:r>
      <w:r>
        <w:rPr>
          <w:rFonts w:ascii="新細明體" w:eastAsia="新細明體" w:hAnsi="新細明體" w:cs="新細明體"/>
          <w:sz w:val="24"/>
          <w:szCs w:val="24"/>
        </w:rPr>
        <w:t>動物 NPC 完成後，預期透過園丁、管家等職務角色及其島嶼正向作用，增加使用者與島嶼居民之間的互動內容。</w:t>
      </w:r>
    </w:p>
    <w:p w14:paraId="5D228B60"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操作引導｜</w:t>
      </w:r>
      <w:r>
        <w:rPr>
          <w:rFonts w:ascii="新細明體" w:eastAsia="新細明體" w:hAnsi="新細明體" w:cs="新細明體"/>
          <w:sz w:val="24"/>
          <w:szCs w:val="24"/>
        </w:rPr>
        <w:t>載入畫面與新手引導完成優化後，預期協助使用者理解遊戲風格、主要介面及操作流程。</w:t>
      </w:r>
    </w:p>
    <w:p w14:paraId="5D228B61"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碎片機制｜</w:t>
      </w:r>
      <w:r>
        <w:rPr>
          <w:rFonts w:ascii="新細明體" w:eastAsia="新細明體" w:hAnsi="新細明體" w:cs="新細明體"/>
          <w:sz w:val="24"/>
          <w:szCs w:val="24"/>
        </w:rPr>
        <w:t>目前僅能作為高機率考慮中的遊戲構想列入企劃；在詳細規則未定前，不預設其收集、合成、建造、兌換或獎勵用途。</w:t>
      </w:r>
    </w:p>
    <w:p w14:paraId="5D228B62"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飾品稀有度與取得（未來藍圖）｜透過「普通、稀有、史詩、神話」四級稀有度劃分（商店占比 60%/25%/12%/3%），並以經驗值累積至指定等級作為最高階商品的解鎖條件，為使用者提供明確的收集目標與長期動力。</w:t>
      </w:r>
      <w:r>
        <w:rPr>
          <w:rFonts w:ascii="新細明體" w:eastAsia="新細明體" w:hAnsi="新細明體" w:cs="新細明體"/>
          <w:sz w:val="24"/>
          <w:szCs w:val="24"/>
        </w:rPr>
      </w:r>
    </w:p>
    <w:p w14:paraId="5D228B63"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每日簽到與活動限定（未來藍圖）｜</w:t>
      </w:r>
      <w:r>
        <w:rPr>
          <w:rFonts w:ascii="新細明體" w:eastAsia="新細明體" w:hAnsi="新細明體" w:cs="新細明體"/>
          <w:sz w:val="24"/>
          <w:szCs w:val="24"/>
        </w:rPr>
        <w:t>以每日簽到獎勵、節日限定絕版品及補簽機制，建立使用者每日回訪的習慣與節慶期間的參與高峰。</w:t>
      </w:r>
    </w:p>
    <w:p w14:paraId="5D228B64"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幸運輪盤與抽獎券（未來藍圖）｜以不可用金幣購買的抽獎券作為運動目標達成獎勵，引導使用者透過實際健身而非僅登入來獲取遊戲資源；連續登入進度條與輪盤視覺升級讓每日參與的差異一目了然。</w:t>
      </w:r>
      <w:r>
        <w:rPr>
          <w:rFonts w:ascii="新細明體" w:eastAsia="新細明體" w:hAnsi="新細明體" w:cs="新細明體"/>
          <w:sz w:val="24"/>
          <w:szCs w:val="24"/>
        </w:rPr>
      </w:r>
    </w:p>
    <w:p w14:paraId="5D228B64"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寵物生命跡象與照護（未來藍圖）｜透過寵物活動力與營養值指標、飼料商品及排泄物懲罰機制，增加使用者與寵物的互動深度，並結合 NPC 職務形成島嶼生態系統。</w:t>
      </w:r>
      <w:r>
        <w:rPr>
          <w:rFonts w:ascii="新細明體" w:eastAsia="新細明體" w:hAnsi="新細明體" w:cs="新細明體"/>
          <w:sz w:val="24"/>
          <w:szCs w:val="24"/>
        </w:rPr>
      </w:r>
    </w:p>
    <w:p w14:paraId="5D228B64"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商店新增商品：圍欄（未來藍圖）｜以多風格、多稀有度的圍欄商品，為使用者的島嶼提供區域劃分與庭院裝飾功能，豐富島嶼建設的可玩性。</w:t>
      </w:r>
      <w:r>
        <w:rPr>
          <w:rFonts w:ascii="新細明體" w:eastAsia="新細明體" w:hAnsi="新細明體" w:cs="新細明體"/>
          <w:sz w:val="24"/>
          <w:szCs w:val="24"/>
        </w:rPr>
      </w:r>
    </w:p>
    <w:p w14:paraId="5D228B64"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功能卡系統（未來藍圖）｜以限時供應的功能卡（如雙倍金幣卡）提供進階玩家策略性消費選項，透過限時商店與輪盤兩種管道獲取，豐富遊戲經濟的層次。</w:t>
      </w:r>
      <w:r>
        <w:rPr>
          <w:rFonts w:ascii="新細明體" w:eastAsia="新細明體" w:hAnsi="新細明體" w:cs="新細明體"/>
          <w:sz w:val="24"/>
          <w:szCs w:val="24"/>
        </w:rPr>
      </w:r>
    </w:p>
    <w:p w14:paraId="5D228ABB" w14:textId="77777777" w:rsidR="00D44DCB" w:rsidRDefault="00000000">
      <w:pPr>
        <w:pStyle w:val="2"/>
        <w:spacing w:before="240" w:after="160" w:line="360" w:lineRule="auto"/>
      </w:pPr>
      <w:r>
        <w:rPr>
          <w:rFonts w:ascii="標楷體" w:eastAsia="標楷體" w:hAnsi="標楷體" w:cs="標楷體"/>
          <w:b/>
          <w:bCs/>
        </w:rPr>
        <w:t>健身辨識端｜用途</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居家自主訓練｜開啟瀏覽器並對準鏡頭即可開始，無須器材、場地與安裝。此為本作品之主要設計場景。</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校園體適能輔助｜學生於課後自主練習，教師檢視過程指標。本作品之動作項目與體適能檢測項目部分重疊（伏地挺身、仰臥起坐）。</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社區運動推廣｜因零安裝且無伺服器成本，適合於社區據點單機佈建。</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健身入門引導｜作為新手於接受教練指導前之自主練習工具，補足教練不在場時之回饋空缺。</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不適用範圍｜需器材或負重之訓練動作、需判讀深度或旋轉之複合動作、復健與術後訓練（須由醫療專業人員指導）、需精確評分或競賽判定之場合。</w:t>
      </w:r>
    </w:p>
    <w:p w14:paraId="5D228B65" w14:textId="77777777" w:rsidR="00D44DCB" w:rsidRDefault="00000000">
      <w:pPr>
        <w:pStyle w:val="1"/>
        <w:spacing w:before="360" w:after="200" w:line="360" w:lineRule="auto"/>
      </w:pPr>
      <w:r>
        <w:rPr>
          <w:rFonts w:ascii="標楷體" w:eastAsia="標楷體" w:hAnsi="標楷體" w:cs="標楷體"/>
          <w:b/>
          <w:bCs/>
          <w:sz w:val="28"/>
          <w:szCs w:val="32"/>
        </w:rPr>
        <w:t>（四）影響</w:t>
      </w:r>
    </w:p>
    <w:p w14:paraId="5D228B66" w14:textId="77777777" w:rsidR="00D44DCB" w:rsidRDefault="00000000">
      <w:pPr>
        <w:spacing w:after="120" w:line="360" w:lineRule="auto"/>
        <w:jc w:val="both"/>
      </w:pPr>
      <w:r>
        <w:rPr>
          <w:rFonts w:ascii="新細明體" w:eastAsia="新細明體" w:hAnsi="新細明體" w:cs="新細明體"/>
          <w:b/>
          <w:bCs/>
          <w:sz w:val="24"/>
          <w:szCs w:val="24"/>
        </w:rPr>
        <w:t>整合體驗｜</w:t>
      </w:r>
      <w:r>
        <w:rPr>
          <w:rFonts w:ascii="新細明體" w:eastAsia="新細明體" w:hAnsi="新細明體" w:cs="新細明體"/>
          <w:sz w:val="24"/>
          <w:szCs w:val="24"/>
        </w:rPr>
        <w:t>本作品預期把健身流程、訓練結果、追蹤紀錄與遊戲互動集中於同一網站，使健身功能與角色、獎勵及島嶼內容形成共同流程，而不是彼此分離的系統。</w:t>
      </w:r>
    </w:p>
    <w:p w14:paraId="5D228B67" w14:textId="77777777" w:rsidR="00D44DCB" w:rsidRDefault="00000000">
      <w:pPr>
        <w:spacing w:after="120" w:line="360" w:lineRule="auto"/>
        <w:jc w:val="both"/>
      </w:pPr>
      <w:r>
        <w:rPr>
          <w:rFonts w:ascii="新細明體" w:eastAsia="新細明體" w:hAnsi="新細明體" w:cs="新細明體"/>
          <w:b/>
          <w:bCs/>
          <w:sz w:val="24"/>
          <w:szCs w:val="24"/>
        </w:rPr>
        <w:t>視覺與角色體驗｜</w:t>
      </w:r>
      <w:r>
        <w:rPr>
          <w:rFonts w:ascii="新細明體" w:eastAsia="新細明體" w:hAnsi="新細明體" w:cs="新細明體"/>
          <w:sz w:val="24"/>
          <w:szCs w:val="24"/>
        </w:rPr>
        <w:t>人物五官與身體構造的呈現、髮型與穿搭協調、畫質、特效、UI 及載入畫面完成調整後，可望使角色與介面更容易辨識，並建立較一致的視覺風格。新手引導完善後，亦有助於降低首次使用者理解操作流程的負擔。</w:t>
      </w:r>
    </w:p>
    <w:p w14:paraId="5D228B68" w14:textId="77777777" w:rsidR="00D44DCB" w:rsidRDefault="00000000">
      <w:pPr>
        <w:spacing w:after="120" w:line="360" w:lineRule="auto"/>
        <w:jc w:val="both"/>
      </w:pPr>
      <w:r>
        <w:rPr>
          <w:rFonts w:ascii="新細明體" w:eastAsia="新細明體" w:hAnsi="新細明體" w:cs="新細明體"/>
          <w:b/>
          <w:bCs/>
          <w:sz w:val="24"/>
          <w:szCs w:val="24"/>
        </w:rPr>
        <w:t>持續參與與世界互動｜</w:t>
      </w:r>
      <w:r>
        <w:rPr>
          <w:rFonts w:ascii="新細明體" w:eastAsia="新細明體" w:hAnsi="新細明體" w:cs="新細明體"/>
          <w:sz w:val="24"/>
          <w:szCs w:val="24"/>
        </w:rPr>
        <w:t>提醒、遊戲後果、寵物與 NPC 等規劃，意圖增加使用者留存與</w:t>
        <w:lastRenderedPageBreak/>
        <w:t>持續參與感。具有職務特色的動物 NPC 可望增加島嶼的角色層次；登入與島嶼狀態的可見變化，則使參與歷程不只停留在數字紀錄。上述影響仍屬預期，尚無實測結果。</w:t>
      </w:r>
    </w:p>
    <w:p w14:paraId="5D228B69" w14:textId="77777777" w:rsidR="00D44DCB" w:rsidRDefault="00000000">
      <w:pPr>
        <w:spacing w:after="120" w:line="360" w:lineRule="auto"/>
        <w:jc w:val="both"/>
      </w:pPr>
      <w:r>
        <w:rPr>
          <w:rFonts w:ascii="新細明體" w:eastAsia="新細明體" w:hAnsi="新細明體" w:cs="新細明體"/>
          <w:b/>
          <w:bCs/>
          <w:sz w:val="24"/>
          <w:szCs w:val="24"/>
        </w:rPr>
        <w:t>公平性與付費壓力｜</w:t>
      </w:r>
      <w:r>
        <w:rPr>
          <w:rFonts w:ascii="新細明體" w:eastAsia="新細明體" w:hAnsi="新細明體" w:cs="新細明體"/>
          <w:sz w:val="24"/>
          <w:szCs w:val="24"/>
        </w:rPr>
        <w:t>來源所述的登入中斷後「花錢解鎖大獎」可能造成公平性、付費壓力與失去獎勵的焦慮。具體付費方式、價格及條件尚未定義，正式採用前應先檢視其必要性、透明度及對不同使用者的影響。</w:t>
      </w:r>
    </w:p>
    <w:p w14:paraId="5D228B6A" w14:textId="77777777" w:rsidR="00D44DCB" w:rsidRDefault="00000000">
      <w:pPr>
        <w:spacing w:after="120" w:line="360" w:lineRule="auto"/>
        <w:jc w:val="both"/>
      </w:pPr>
      <w:r>
        <w:rPr>
          <w:rFonts w:ascii="新細明體" w:eastAsia="新細明體" w:hAnsi="新細明體" w:cs="新細明體"/>
          <w:b/>
          <w:bCs/>
          <w:sz w:val="24"/>
          <w:szCs w:val="24"/>
        </w:rPr>
        <w:t>通知與使用自主性｜</w:t>
      </w:r>
      <w:r>
        <w:rPr>
          <w:rFonts w:ascii="新細明體" w:eastAsia="新細明體" w:hAnsi="新細明體" w:cs="新細明體"/>
          <w:sz w:val="24"/>
          <w:szCs w:val="24"/>
        </w:rPr>
        <w:t>每日挑戰式通知、大型框體及強烈顏色變化雖可提高提醒的顯著程度，也可能造成反感、干擾或心理壓力。通知頻率、文案、同意方式與關閉機制尚未定案，須以使用者控制與可用性測試結果作為設計依據。</w:t>
      </w:r>
    </w:p>
    <w:p w14:paraId="5D228B6B" w14:textId="77777777" w:rsidR="00D44DCB" w:rsidRDefault="00000000">
      <w:pPr>
        <w:spacing w:after="120" w:line="360" w:lineRule="auto"/>
        <w:jc w:val="both"/>
      </w:pPr>
      <w:r>
        <w:rPr>
          <w:rFonts w:ascii="新細明體" w:eastAsia="新細明體" w:hAnsi="新細明體" w:cs="新細明體"/>
          <w:b/>
          <w:bCs/>
          <w:sz w:val="24"/>
          <w:szCs w:val="24"/>
        </w:rPr>
        <w:t>資產與挫折感｜</w:t>
      </w:r>
      <w:r>
        <w:rPr>
          <w:rFonts w:ascii="新細明體" w:eastAsia="新細明體" w:hAnsi="新細明體" w:cs="新細明體"/>
          <w:sz w:val="24"/>
          <w:szCs w:val="24"/>
        </w:rPr>
        <w:t>藤蔓撐開或破壞地板、房屋、室內及島嶼的設計，可能強化遊戲後果，也可能使使用者對既有資產產生不安全感或挫折。其效果是視覺狀態、可逆事件或實際資產變更尚未提供，正式設計前須明確界定並進行接受度測試。</w:t>
      </w:r>
    </w:p>
    <w:p w14:paraId="5D228B6B" w14:textId="77777777" w:rsidR="00D44DCB" w:rsidRDefault="00000000">
      <w:pPr>
        <w:spacing w:after="120" w:line="360" w:lineRule="auto"/>
        <w:jc w:val="both"/>
      </w:pPr>
      <w:r>
        <w:rPr>
          <w:rFonts w:ascii="新細明體" w:eastAsia="新細明體" w:hAnsi="新細明體" w:cs="新細明體"/>
          <w:b/>
          <w:bCs/>
          <w:sz w:val="24"/>
          <w:szCs w:val="24"/>
        </w:rPr>
        <w:t>寵物照護與懲罰感受｜寵物活動力下降與排泄物堆積雖可作為回訪誘因，但過度的負面呈現可能使部分使用者感到不適或增加焦慮。飼料商品的定價與消耗速率須避免形成額外的付費壓力；排泄物機制的視覺呈現與觸發天數應以使用者接受度測試結果作為設計依據。</w:t>
      </w:r>
      <w:r>
        <w:rPr>
          <w:rFonts w:ascii="新細明體" w:eastAsia="新細明體" w:hAnsi="新細明體" w:cs="新細明體"/>
          <w:sz w:val="24"/>
          <w:szCs w:val="24"/>
        </w:rPr>
      </w:r>
    </w:p>
    <w:p w14:paraId="5D228B6B" w14:textId="77777777" w:rsidR="00D44DCB" w:rsidRDefault="00000000">
      <w:pPr>
        <w:spacing w:after="120" w:line="360" w:lineRule="auto"/>
        <w:jc w:val="both"/>
      </w:pPr>
      <w:r>
        <w:rPr>
          <w:rFonts w:ascii="新細明體" w:eastAsia="新細明體" w:hAnsi="新細明體" w:cs="新細明體"/>
          <w:b/>
          <w:bCs/>
          <w:sz w:val="24"/>
          <w:szCs w:val="24"/>
        </w:rPr>
        <w:t>功能卡經濟影響｜功能卡的限時供應與較高定價可能引導玩家在限時商店期間集中消費，對金幣經濟產生短期波動。功能卡的效果強度（如雙倍金幣）與供應頻率須謹慎平衡，避免持有功能卡的玩家與未持有者之間產生過大的資源差距；其定價亦須高於單次結算之金幣增量，以避免形成金幣的自我增殖迴圈。</w:t>
      </w:r>
      <w:r>
        <w:rPr>
          <w:rFonts w:ascii="新細明體" w:eastAsia="新細明體" w:hAnsi="新細明體" w:cs="新細明體"/>
          <w:sz w:val="24"/>
          <w:szCs w:val="24"/>
        </w:rPr>
      </w:r>
    </w:p>
    <w:p w14:paraId="5D228ABB" w14:textId="77777777" w:rsidR="00D44DCB" w:rsidRDefault="00000000">
      <w:pPr>
        <w:pStyle w:val="2"/>
        <w:spacing w:before="240" w:after="160" w:line="360" w:lineRule="auto"/>
      </w:pPr>
      <w:r>
        <w:rPr>
          <w:rFonts w:ascii="標楷體" w:eastAsia="標楷體" w:hAnsi="標楷體" w:cs="標楷體"/>
          <w:b/>
          <w:bCs/>
        </w:rPr>
        <w:t>健身辨識端｜影響</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1. 對個人</w:t>
      </w:r>
    </w:p>
    <w:p w14:paraId="5D228ABF" w14:textId="77777777" w:rsidR="00D44DCB" w:rsidRDefault="00000000">
      <w:pPr>
        <w:spacing w:after="120" w:line="360" w:lineRule="auto"/>
        <w:jc w:val="center"/>
      </w:pPr>
      <w:r>
        <w:rPr>
          <w:rFonts w:ascii="新細明體" w:eastAsia="新細明體" w:hAnsi="新細明體" w:cs="新細明體"/>
          <w:b/>
          <w:bCs/>
          <w:sz w:val="24"/>
          <w:szCs w:val="24"/>
        </w:rPr>
        <w:t>表 6-4　運動行為門檻與本作品之對應</w:t>
      </w:r>
    </w:p>
    <w:tbl>
      <w:tblPr>
        <w:tblW w:w="96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4800"/>
        <w:gridCol w:w="4800"/>
      </w:tblGrid>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門檻</w:t>
            </w:r>
          </w:p>
        </w:tc>
        <w:tc>
          <w:tcPr>
            <w:tcW w:w="1600" w:type="dxa"/>
            <w:shd w:val="clear" w:color="auto" w:fill="D9E2F3"/>
            <w:tcMar>
              <w:top w:w="40" w:type="dxa"/>
              <w:left w:w="80" w:type="dxa"/>
              <w:bottom w:w="40" w:type="dxa"/>
              <w:right w:w="80" w:type="dxa"/>
            </w:tcMar>
          </w:tcPr>
          <w:p>
            <w:r>
              <w:t>本作品之對應</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開始運動</w:t>
            </w:r>
          </w:p>
        </w:tc>
        <w:tc>
          <w:tcPr>
            <w:tcW w:w="1600" w:type="dxa"/>
            <w:shd w:val="clear" w:color="auto" w:fill="D9E2F3"/>
            <w:tcMar>
              <w:top w:w="40" w:type="dxa"/>
              <w:left w:w="80" w:type="dxa"/>
              <w:bottom w:w="40" w:type="dxa"/>
              <w:right w:w="80" w:type="dxa"/>
            </w:tcMar>
          </w:tcPr>
          <w:p>
            <w:r>
              <w:t>零安裝、零器材、零註冊即可試用</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持續運動</w:t>
            </w:r>
          </w:p>
        </w:tc>
        <w:tc>
          <w:tcPr>
            <w:tcW w:w="1600" w:type="dxa"/>
            <w:shd w:val="clear" w:color="auto" w:fill="D9E2F3"/>
            <w:tcMar>
              <w:top w:w="40" w:type="dxa"/>
              <w:left w:w="80" w:type="dxa"/>
              <w:bottom w:w="40" w:type="dxa"/>
              <w:right w:w="80" w:type="dxa"/>
            </w:tcMar>
          </w:tcPr>
          <w:p>
            <w:r>
              <w:t>即時回饋使進步可感知，島嶼建設使累積可見</w:t>
            </w:r>
          </w:p>
        </w:tc>
      </w:tr>
      <w:tr w:rsidR="00D44DCB" w14:paraId="5D228AC5"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tcPr>
          <w:p>
            <w:r>
              <w:t>動作正確性</w:t>
            </w:r>
          </w:p>
        </w:tc>
        <w:tc>
          <w:tcPr>
            <w:tcW w:w="1600" w:type="dxa"/>
            <w:shd w:val="clear" w:color="auto" w:fill="D9E2F3"/>
            <w:tcMar>
              <w:top w:w="40" w:type="dxa"/>
              <w:left w:w="80" w:type="dxa"/>
              <w:bottom w:w="40" w:type="dxa"/>
              <w:right w:w="80" w:type="dxa"/>
            </w:tcMar>
          </w:tcPr>
          <w:p>
            <w:r>
              <w:t>錯誤於發生當下被指出，而非長期錯誤而不自知</w:t>
            </w:r>
          </w:p>
        </w:tc>
      </w:tr>
    </w:tbl>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2. 對運動指導可近性</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一對一教練指導具成本門檻，並非所有使用者皆能負擔。本作品於教練不在場時提供一層具體且可解釋之動作回饋，服務對象為「無教練資源但希望正確訓練」之族群。</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界線說明｜本作品不取代教練，其回饋範圍限於系統已建立標準卡之動作與已定義之錯誤樣態。</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3. 對運動參與之對應</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依教育部體育署 113 年運動現況調查，我國規律運動人口比例為 35.3%（定義為每週三次以上、每次三十分鐘以上且運動時會喘會流汗）。未運動者之主要原因依序為「因工作沒有時間」（24.0%）、「懶得運動」（22.2%）與「工作太累」（21.1%）；另在家運動占最常運動地點之 18.3%。</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前三項原因中，「沒有時間」與「工作太累」合計 45.1%，均與必須外出、必須到場、必須另行安排時段高度相關。本作品之產品形態（零安裝、居家、短時段、無器材）正對應於此類障礙。</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界線說明｜規律運動人口比例之年變動幅度以零點數個百分點計，單一作品之貢獻無從自母體指標中辨識。本作品主張者為產品形態與調查所示障礙之對應關係，非對國民運動率之可衡量影響。</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4. 對運動習慣之作用</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本作品之機制設計對應行為改變之數項環節：降低啟動摩擦（零安裝）、提供回饋（即時判定）、綁定品質（僅有效次數換取獎勵）、呈現累積（島嶼建設與連續天數）、設定近程目標（每日任務與週目標）。</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遊戲化對身體活動之促進效果已有隨機對照試驗之統合分析支持。Mazeas 等人（2022）納入 16 篇隨機對照試驗、共 2,407 名參與者，結果顯示遊戲化介入對身體活動行為具小至中等之效果量（Hedges g = 0.42, 95% CI 0.14–0.69）。</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本作品與該類研究之差異在於獎勵依據：多數研究以步數或活動時間為獎勵基準，本作品則以通過品質判定之動作次數為基準，使獎勵不僅回應「是否活動」，亦回應「動作是否正確」。</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界線說明｜上開文獻之受試族群、介入形式與獎勵機制與本作品未盡相同，其效果量不得直接套用於本作品。本作品不宣稱可養成運動習慣；期程內將以「使用者接受提示後次一動作之改善幅度」作為可觀測之代理指標，該指標僅需比較同一使用者之前後表現。</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5. 對應永續發展目標</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本作品呼應聯合國永續發展目標 SDG 3「良好健康與福祉」，具體對應於透過預防促進健康福祉之方向：提供可長期追蹤之運動過程指標（訓練頻率、累計時間、達標率、常見錯誤趨勢、連續天數），使使用者得以觀察並調整自身之運動行為。世界衛生組織建議成人每週應累積 150 至 300 分鐘中等強度有氧活動，並每週至少兩天從事肌力訓練（World Health Organization, 2020）。</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界線說明｜此對應屬設計目標，不代表已產生公共衛生、臨床或醫療成果。本作品所提供者為過程指標，非健康結果指標。</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6. 技術與方法論之示範</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本作品於兩項面向提出同類作品少見之作法。其一為可解釋之規則式判定：在深度學習成為預設選項之情況下，選擇規則式架構以換取指出錯誤所在之能力。其二為判定依據之三級溯源制度：每項技術參數均標明知識來源等級，使技術主張得以追溯與檢驗。</w:t>
      </w:r>
    </w:p>
    <w:p w14:paraId="5D228B6C" w14:textId="77777777" w:rsidR="00D44DCB" w:rsidRDefault="00000000">
      <w:pPr>
        <w:pStyle w:val="1"/>
        <w:spacing w:before="360" w:after="200" w:line="360" w:lineRule="auto"/>
      </w:pPr>
      <w:r>
        <w:rPr>
          <w:rFonts w:ascii="標楷體" w:eastAsia="標楷體" w:hAnsi="標楷體" w:cs="標楷體"/>
          <w:b/>
          <w:bCs/>
          <w:sz w:val="28"/>
          <w:szCs w:val="32"/>
        </w:rPr>
        <w:t>（五）效益</w:t>
      </w:r>
    </w:p>
    <w:p w14:paraId="5D228B6D"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流程整合效益｜</w:t>
      </w:r>
      <w:r>
        <w:rPr>
          <w:rFonts w:ascii="新細明體" w:eastAsia="新細明體" w:hAnsi="新細明體" w:cs="新細明體"/>
          <w:sz w:val="24"/>
          <w:szCs w:val="24"/>
        </w:rPr>
        <w:t>預期將健身選擇、訓練、結算、紀錄與遊戲互動集中呈現，使作品核心概念及操作關係較容易理解。</w:t>
      </w:r>
    </w:p>
    <w:p w14:paraId="5D228B6E"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視覺呈現效益｜</w:t>
      </w:r>
      <w:r>
        <w:rPr>
          <w:rFonts w:ascii="新細明體" w:eastAsia="新細明體" w:hAnsi="新細明體" w:cs="新細明體"/>
          <w:sz w:val="24"/>
          <w:szCs w:val="24"/>
        </w:rPr>
        <w:t>人物模型、髮型與穿搭、畫質、特效、UI 及載入畫面完成調整後，可望提升角色辨識度、造型協調性及整體風格一致性。</w:t>
      </w:r>
    </w:p>
    <w:p w14:paraId="5D228B6F"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使用引導效益｜</w:t>
      </w:r>
      <w:r>
        <w:rPr>
          <w:rFonts w:ascii="新細明體" w:eastAsia="新細明體" w:hAnsi="新細明體" w:cs="新細明體"/>
          <w:sz w:val="24"/>
          <w:szCs w:val="24"/>
        </w:rPr>
        <w:t>新手引導完成完善後，預期使主要介面、功能入口與操作順序更容易被理解。</w:t>
      </w:r>
    </w:p>
    <w:p w14:paraId="5D228B70"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參與回饋效益｜</w:t>
      </w:r>
      <w:r>
        <w:rPr>
          <w:rFonts w:ascii="新細明體" w:eastAsia="新細明體" w:hAnsi="新細明體" w:cs="新細明體"/>
          <w:sz w:val="24"/>
          <w:szCs w:val="24"/>
        </w:rPr>
        <w:t>獎勵、提醒、登入中斷機制、藤蔓侵蝕與島嶼進度，規劃為使用者提供提醒、累積或遊戲後果；實際回訪與持續參與效果須待測試確認。</w:t>
      </w:r>
    </w:p>
    <w:p w14:paraId="5D228B71"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角色互動效益｜</w:t>
      </w:r>
      <w:r>
        <w:rPr>
          <w:rFonts w:ascii="新細明體" w:eastAsia="新細明體" w:hAnsi="新細明體" w:cs="新細明體"/>
          <w:sz w:val="24"/>
          <w:szCs w:val="24"/>
        </w:rPr>
        <w:t>寵物與動物 NPC 完成後，可望增加使用者與島嶼之間的互動，並以尚待定義的正向作用豐富島嶼內容。</w:t>
      </w:r>
    </w:p>
    <w:p w14:paraId="5D228B71"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寵物照護互動效益｜寵物生命跡象機制可望增加使用者與寵物之間的情感連結與互動頻率，飼料、狗窩等商品進一步擴展島嶼生態；排泄物與 NPC 清理的聯動則增加島嶼管理的趣味性。實際參與意願與情感反應須待測試確認。</w:t>
      </w:r>
      <w:r>
        <w:rPr>
          <w:rFonts w:ascii="新細明體" w:eastAsia="新細明體" w:hAnsi="新細明體" w:cs="新細明體"/>
          <w:sz w:val="24"/>
          <w:szCs w:val="24"/>
        </w:rPr>
      </w:r>
    </w:p>
    <w:p w14:paraId="5D228B71"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功能卡與商品擴充效益｜功能卡、圍欄等新商品類別可望豐富商店內容與消費選項，為進階使用者提供更多策略規劃空間；限時供應機制預期創造回訪誘因與消費節奏。</w:t>
      </w:r>
      <w:r>
        <w:rPr>
          <w:rFonts w:ascii="新細明體" w:eastAsia="新細明體" w:hAnsi="新細明體" w:cs="新細明體"/>
          <w:sz w:val="24"/>
          <w:szCs w:val="24"/>
        </w:rPr>
      </w:r>
    </w:p>
    <w:p w14:paraId="5D228B72"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作品展示效益｜</w:t>
      </w:r>
      <w:r>
        <w:rPr>
          <w:rFonts w:ascii="新細明體" w:eastAsia="新細明體" w:hAnsi="新細明體" w:cs="新細明體"/>
          <w:sz w:val="24"/>
          <w:szCs w:val="24"/>
        </w:rPr>
        <w:t>以同一網站呈現健身影像辨識、訓練紀錄、角色養成及島嶼互動，使競賽評審較容易掌握作品的整合特色。</w:t>
      </w:r>
    </w:p>
    <w:p w14:paraId="5D228B73" w14:textId="77777777" w:rsidR="00D44DCB" w:rsidRDefault="00000000">
      <w:pPr>
        <w:pStyle w:val="a4"/>
        <w:numPr>
          <w:ilvl w:val="0"/>
          <w:numId w:val="1"/>
        </w:numPr>
        <w:spacing w:after="80" w:line="360" w:lineRule="auto"/>
      </w:pPr>
      <w:r>
        <w:rPr>
          <w:rFonts w:ascii="新細明體" w:eastAsia="新細明體" w:hAnsi="新細明體" w:cs="新細明體"/>
          <w:b/>
          <w:bCs/>
          <w:sz w:val="24"/>
          <w:szCs w:val="24"/>
        </w:rPr>
        <w:t>健康促進效益｜</w:t>
      </w:r>
      <w:r>
        <w:rPr>
          <w:rFonts w:ascii="新細明體" w:eastAsia="新細明體" w:hAnsi="新細明體" w:cs="新細明體"/>
          <w:sz w:val="24"/>
          <w:szCs w:val="24"/>
        </w:rPr>
        <w:t>作品期望透過遊戲化健身體驗支持運動參與與健康生活意識；不預先宣稱習慣養成、辨識準確率、醫療效果或健康改善幅度。</w:t>
      </w:r>
    </w:p>
    <w:p w14:paraId="5D228B74" w14:textId="77777777" w:rsidR="00D44DCB" w:rsidRDefault="00D44DCB"/>
    <w:p w14:paraId="5D228ABB" w14:textId="77777777" w:rsidR="00D44DCB" w:rsidRDefault="00000000">
      <w:pPr>
        <w:pStyle w:val="2"/>
        <w:spacing w:before="240" w:after="160" w:line="360" w:lineRule="auto"/>
      </w:pPr>
      <w:r>
        <w:rPr>
          <w:rFonts w:ascii="標楷體" w:eastAsia="標楷體" w:hAnsi="標楷體" w:cs="標楷體"/>
          <w:b/>
          <w:bCs/>
        </w:rPr>
        <w:t>健身辨識端｜效益</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動作品質效益｜使用者於訓練當下即可得知動作錯誤所在與修正方式，而非事後僅取得次數統計。</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參與動機效益｜島嶼建設將抽象之訓練累積轉為可見成果；連續天數與週目標提供近程與中程目標。</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可近性效益｜僅需一台具鏡頭之裝置與瀏覽器，無須器材、場地、安裝與交通。</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隱私效益｜影像全程不離開使用者裝置，不上傳亦不儲存，解除使用鏡頭之隱私疑慮。</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無障礙效益｜提供高對比與單色兩種替代顯示模式，使核心功能不因使用者之色覺條件而失效。</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成本效益｜使用者端硬體、安裝、伺服器與技術授權成本均為零；所採技術（MediaPipe、Three.js、Chart.js）皆為開源。全案不依賴任何付費服務，作品於競賽結束後仍可持續維護與散布，並具備於校園及社區佈建之可行性。</w:t>
      </w:r>
    </w:p>
    <w:p w14:paraId="5D228A8A" w14:textId="77777777" w:rsidR="00D44DCB" w:rsidRDefault="00000000">
      <w:pPr>
        <w:spacing w:after="120" w:line="360" w:lineRule="auto"/>
        <w:ind w:firstLine="480"/>
        <w:jc w:val="both"/>
      </w:pPr>
      <w:r>
        <w:rPr>
          <w:rFonts w:ascii="新細明體" w:eastAsia="新細明體" w:hAnsi="新細明體" w:cs="新細明體"/>
          <w:sz w:val="24"/>
          <w:szCs w:val="24"/>
        </w:rPr>
        <w:t>教學應用效益｜判定規則可完整說明，且不涉及學生影像之保存，適合教學場域使用。</w:t>
      </w:r>
    </w:p>
    <w:p w14:paraId="5D228B75" w14:textId="77777777" w:rsidR="00D44DCB" w:rsidRDefault="00000000">
      <w:pPr>
        <w:spacing w:after="120" w:line="360" w:lineRule="auto"/>
        <w:jc w:val="center"/>
      </w:pPr>
      <w:r>
        <w:rPr>
          <w:rFonts w:ascii="新細明體" w:eastAsia="新細明體" w:hAnsi="新細明體" w:cs="新細明體"/>
          <w:b/>
          <w:bCs/>
          <w:sz w:val="24"/>
          <w:szCs w:val="24"/>
        </w:rPr>
        <w:t>表 6-5　預期效益與驗證方式</w:t>
      </w:r>
    </w:p>
    <w:tbl>
      <w:tblPr>
        <w:tblW w:w="960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1400"/>
        <w:gridCol w:w="2800"/>
        <w:gridCol w:w="2800"/>
        <w:gridCol w:w="2600"/>
      </w:tblGrid>
      <w:tr w:rsidR="00D44DCB" w14:paraId="5D228B7A" w14:textId="77777777">
        <w:tblPrEx>
          <w:tblCellMar>
            <w:top w:w="0" w:type="dxa"/>
            <w:bottom w:w="0" w:type="dxa"/>
          </w:tblCellMar>
        </w:tblPrEx>
        <w:trPr>
          <w:tblHeader/>
        </w:trPr>
        <w:tc>
          <w:tcPr>
            <w:tcW w:w="1400" w:type="dxa"/>
            <w:shd w:val="clear" w:color="auto" w:fill="D9E2F3"/>
            <w:tcMar>
              <w:top w:w="40" w:type="dxa"/>
              <w:left w:w="80" w:type="dxa"/>
              <w:bottom w:w="40" w:type="dxa"/>
              <w:right w:w="80" w:type="dxa"/>
            </w:tcMar>
          </w:tcPr>
          <w:p w14:paraId="5D228B76" w14:textId="77777777" w:rsidR="00D44DCB" w:rsidRDefault="00000000">
            <w:pPr>
              <w:spacing w:after="40"/>
            </w:pPr>
            <w:r>
              <w:rPr>
                <w:rFonts w:ascii="新細明體" w:eastAsia="新細明體" w:hAnsi="新細明體" w:cs="新細明體"/>
                <w:b/>
                <w:bCs/>
                <w:sz w:val="22"/>
                <w:szCs w:val="22"/>
              </w:rPr>
              <w:t>評估面向</w:t>
            </w:r>
          </w:p>
        </w:tc>
        <w:tc>
          <w:tcPr>
            <w:tcW w:w="2800" w:type="dxa"/>
            <w:shd w:val="clear" w:color="auto" w:fill="D9E2F3"/>
            <w:tcMar>
              <w:top w:w="40" w:type="dxa"/>
              <w:left w:w="80" w:type="dxa"/>
              <w:bottom w:w="40" w:type="dxa"/>
              <w:right w:w="80" w:type="dxa"/>
            </w:tcMar>
          </w:tcPr>
          <w:p w14:paraId="5D228B77" w14:textId="77777777" w:rsidR="00D44DCB" w:rsidRDefault="00000000">
            <w:pPr>
              <w:spacing w:after="40"/>
            </w:pPr>
            <w:r>
              <w:rPr>
                <w:rFonts w:ascii="新細明體" w:eastAsia="新細明體" w:hAnsi="新細明體" w:cs="新細明體"/>
                <w:b/>
                <w:bCs/>
                <w:sz w:val="22"/>
                <w:szCs w:val="22"/>
              </w:rPr>
              <w:t>觀察重點</w:t>
            </w:r>
          </w:p>
        </w:tc>
        <w:tc>
          <w:tcPr>
            <w:tcW w:w="2800" w:type="dxa"/>
            <w:shd w:val="clear" w:color="auto" w:fill="D9E2F3"/>
            <w:tcMar>
              <w:top w:w="40" w:type="dxa"/>
              <w:left w:w="80" w:type="dxa"/>
              <w:bottom w:w="40" w:type="dxa"/>
              <w:right w:w="80" w:type="dxa"/>
            </w:tcMar>
          </w:tcPr>
          <w:p w14:paraId="5D228B78" w14:textId="77777777" w:rsidR="00D44DCB" w:rsidRDefault="00000000">
            <w:pPr>
              <w:spacing w:after="40"/>
            </w:pPr>
            <w:r>
              <w:rPr>
                <w:rFonts w:ascii="新細明體" w:eastAsia="新細明體" w:hAnsi="新細明體" w:cs="新細明體"/>
                <w:b/>
                <w:bCs/>
                <w:sz w:val="22"/>
                <w:szCs w:val="22"/>
              </w:rPr>
              <w:t>驗證方式</w:t>
            </w:r>
          </w:p>
        </w:tc>
        <w:tc>
          <w:tcPr>
            <w:tcW w:w="2600" w:type="dxa"/>
            <w:shd w:val="clear" w:color="auto" w:fill="D9E2F3"/>
            <w:tcMar>
              <w:top w:w="40" w:type="dxa"/>
              <w:left w:w="80" w:type="dxa"/>
              <w:bottom w:w="40" w:type="dxa"/>
              <w:right w:w="80" w:type="dxa"/>
            </w:tcMar>
          </w:tcPr>
          <w:p w14:paraId="5D228B79" w14:textId="77777777" w:rsidR="00D44DCB" w:rsidRDefault="00000000">
            <w:pPr>
              <w:spacing w:after="40"/>
            </w:pPr>
            <w:r>
              <w:rPr>
                <w:rFonts w:ascii="新細明體" w:eastAsia="新細明體" w:hAnsi="新細明體" w:cs="新細明體"/>
                <w:b/>
                <w:bCs/>
                <w:sz w:val="22"/>
                <w:szCs w:val="22"/>
              </w:rPr>
              <w:t>解讀界線</w:t>
            </w:r>
          </w:p>
        </w:tc>
      </w:tr>
      <w:tr w:rsidR="00D44DCB" w14:paraId="5D228B7F" w14:textId="77777777">
        <w:tblPrEx>
          <w:tblCellMar>
            <w:top w:w="0" w:type="dxa"/>
            <w:bottom w:w="0" w:type="dxa"/>
          </w:tblCellMar>
        </w:tblPrEx>
        <w:tc>
          <w:tcPr>
            <w:tcW w:w="1400" w:type="dxa"/>
            <w:tcMar>
              <w:top w:w="40" w:type="dxa"/>
              <w:left w:w="80" w:type="dxa"/>
              <w:bottom w:w="40" w:type="dxa"/>
              <w:right w:w="80" w:type="dxa"/>
            </w:tcMar>
          </w:tcPr>
          <w:p w14:paraId="5D228B7B" w14:textId="77777777" w:rsidR="00D44DCB" w:rsidRDefault="00000000">
            <w:pPr>
              <w:spacing w:after="40"/>
            </w:pPr>
            <w:r>
              <w:rPr>
                <w:rFonts w:ascii="新細明體" w:eastAsia="新細明體" w:hAnsi="新細明體" w:cs="新細明體"/>
              </w:rPr>
              <w:t>整合流程</w:t>
            </w:r>
          </w:p>
        </w:tc>
        <w:tc>
          <w:tcPr>
            <w:tcW w:w="2800" w:type="dxa"/>
            <w:tcMar>
              <w:top w:w="40" w:type="dxa"/>
              <w:left w:w="80" w:type="dxa"/>
              <w:bottom w:w="40" w:type="dxa"/>
              <w:right w:w="80" w:type="dxa"/>
            </w:tcMar>
          </w:tcPr>
          <w:p w14:paraId="5D228B7C" w14:textId="77777777" w:rsidR="00D44DCB" w:rsidRDefault="00000000">
            <w:pPr>
              <w:spacing w:after="40"/>
            </w:pPr>
            <w:r>
              <w:rPr>
                <w:rFonts w:ascii="新細明體" w:eastAsia="新細明體" w:hAnsi="新細明體" w:cs="新細明體"/>
              </w:rPr>
              <w:t>健身選擇、訓練、結算、追蹤與遊戲回饋的銜接</w:t>
            </w:r>
          </w:p>
        </w:tc>
        <w:tc>
          <w:tcPr>
            <w:tcW w:w="2800" w:type="dxa"/>
            <w:tcMar>
              <w:top w:w="40" w:type="dxa"/>
              <w:left w:w="80" w:type="dxa"/>
              <w:bottom w:w="40" w:type="dxa"/>
              <w:right w:w="80" w:type="dxa"/>
            </w:tcMar>
          </w:tcPr>
          <w:p w14:paraId="5D228B7D" w14:textId="77777777" w:rsidR="00D44DCB" w:rsidRDefault="00000000">
            <w:pPr>
              <w:spacing w:after="40"/>
            </w:pPr>
            <w:r>
              <w:rPr>
                <w:rFonts w:ascii="新細明體" w:eastAsia="新細明體" w:hAnsi="新細明體" w:cs="新細明體"/>
              </w:rPr>
              <w:t>完成整合後進行流程與內容一致性測試</w:t>
            </w:r>
          </w:p>
        </w:tc>
        <w:tc>
          <w:tcPr>
            <w:tcW w:w="2600" w:type="dxa"/>
            <w:tcMar>
              <w:top w:w="40" w:type="dxa"/>
              <w:left w:w="80" w:type="dxa"/>
              <w:bottom w:w="40" w:type="dxa"/>
              <w:right w:w="80" w:type="dxa"/>
            </w:tcMar>
          </w:tcPr>
          <w:p w14:paraId="5D228B7E" w14:textId="77777777" w:rsidR="00D44DCB" w:rsidRDefault="00000000">
            <w:pPr>
              <w:spacing w:after="40"/>
            </w:pPr>
            <w:r>
              <w:rPr>
                <w:rFonts w:ascii="新細明體" w:eastAsia="新細明體" w:hAnsi="新細明體" w:cs="新細明體"/>
              </w:rPr>
              <w:t>只確認流程可用，不推論健康成效</w:t>
            </w:r>
          </w:p>
        </w:tc>
      </w:tr>
      <w:tr w:rsidR="00D44DCB" w14:paraId="5D228B84" w14:textId="77777777">
        <w:tblPrEx>
          <w:tblCellMar>
            <w:top w:w="0" w:type="dxa"/>
            <w:bottom w:w="0" w:type="dxa"/>
          </w:tblCellMar>
        </w:tblPrEx>
        <w:tc>
          <w:tcPr>
            <w:tcW w:w="1400" w:type="dxa"/>
            <w:tcMar>
              <w:top w:w="40" w:type="dxa"/>
              <w:left w:w="80" w:type="dxa"/>
              <w:bottom w:w="40" w:type="dxa"/>
              <w:right w:w="80" w:type="dxa"/>
            </w:tcMar>
          </w:tcPr>
          <w:p w14:paraId="5D228B80" w14:textId="77777777" w:rsidR="00D44DCB" w:rsidRDefault="00000000">
            <w:pPr>
              <w:spacing w:after="40"/>
            </w:pPr>
            <w:r>
              <w:rPr>
                <w:rFonts w:ascii="新細明體" w:eastAsia="新細明體" w:hAnsi="新細明體" w:cs="新細明體"/>
              </w:rPr>
              <w:t>角色與視覺</w:t>
            </w:r>
          </w:p>
        </w:tc>
        <w:tc>
          <w:tcPr>
            <w:tcW w:w="2800" w:type="dxa"/>
            <w:tcMar>
              <w:top w:w="40" w:type="dxa"/>
              <w:left w:w="80" w:type="dxa"/>
              <w:bottom w:w="40" w:type="dxa"/>
              <w:right w:w="80" w:type="dxa"/>
            </w:tcMar>
          </w:tcPr>
          <w:p w14:paraId="5D228B81" w14:textId="77777777" w:rsidR="00D44DCB" w:rsidRDefault="00000000">
            <w:pPr>
              <w:spacing w:after="40"/>
            </w:pPr>
            <w:r>
              <w:rPr>
                <w:rFonts w:ascii="新細明體" w:eastAsia="新細明體" w:hAnsi="新細明體" w:cs="新細明體"/>
              </w:rPr>
              <w:t>模型辨識度、穿搭協調、畫質、特效、UI 與載入畫面一致性</w:t>
            </w:r>
          </w:p>
        </w:tc>
        <w:tc>
          <w:tcPr>
            <w:tcW w:w="2800" w:type="dxa"/>
            <w:tcMar>
              <w:top w:w="40" w:type="dxa"/>
              <w:left w:w="80" w:type="dxa"/>
              <w:bottom w:w="40" w:type="dxa"/>
              <w:right w:w="80" w:type="dxa"/>
            </w:tcMar>
          </w:tcPr>
          <w:p w14:paraId="5D228B82" w14:textId="77777777" w:rsidR="00D44DCB" w:rsidRDefault="00000000">
            <w:pPr>
              <w:spacing w:after="40"/>
            </w:pPr>
            <w:r>
              <w:rPr>
                <w:rFonts w:ascii="新細明體" w:eastAsia="新細明體" w:hAnsi="新細明體" w:cs="新細明體"/>
              </w:rPr>
              <w:t>以設計規範檢核及可用性觀察確認</w:t>
            </w:r>
          </w:p>
        </w:tc>
        <w:tc>
          <w:tcPr>
            <w:tcW w:w="2600" w:type="dxa"/>
            <w:tcMar>
              <w:top w:w="40" w:type="dxa"/>
              <w:left w:w="80" w:type="dxa"/>
              <w:bottom w:w="40" w:type="dxa"/>
              <w:right w:w="80" w:type="dxa"/>
            </w:tcMar>
          </w:tcPr>
          <w:p w14:paraId="5D228B83" w14:textId="77777777" w:rsidR="00D44DCB" w:rsidRDefault="00000000">
            <w:pPr>
              <w:spacing w:after="40"/>
            </w:pPr>
            <w:r>
              <w:rPr>
                <w:rFonts w:ascii="新細明體" w:eastAsia="新細明體" w:hAnsi="新細明體" w:cs="新細明體"/>
              </w:rPr>
              <w:t>不以風格參考保證同等品質</w:t>
            </w:r>
          </w:p>
        </w:tc>
      </w:tr>
      <w:tr w:rsidR="00D44DCB" w14:paraId="5D228B89" w14:textId="77777777">
        <w:tblPrEx>
          <w:tblCellMar>
            <w:top w:w="0" w:type="dxa"/>
            <w:bottom w:w="0" w:type="dxa"/>
          </w:tblCellMar>
        </w:tblPrEx>
        <w:tc>
          <w:tcPr>
            <w:tcW w:w="1400" w:type="dxa"/>
            <w:tcMar>
              <w:top w:w="40" w:type="dxa"/>
              <w:left w:w="80" w:type="dxa"/>
              <w:bottom w:w="40" w:type="dxa"/>
              <w:right w:w="80" w:type="dxa"/>
            </w:tcMar>
          </w:tcPr>
          <w:p w14:paraId="5D228B85" w14:textId="77777777" w:rsidR="00D44DCB" w:rsidRDefault="00000000">
            <w:pPr>
              <w:spacing w:after="40"/>
            </w:pPr>
            <w:r>
              <w:rPr>
                <w:rFonts w:ascii="新細明體" w:eastAsia="新細明體" w:hAnsi="新細明體" w:cs="新細明體"/>
              </w:rPr>
              <w:t>新手引導</w:t>
            </w:r>
          </w:p>
        </w:tc>
        <w:tc>
          <w:tcPr>
            <w:tcW w:w="2800" w:type="dxa"/>
            <w:tcMar>
              <w:top w:w="40" w:type="dxa"/>
              <w:left w:w="80" w:type="dxa"/>
              <w:bottom w:w="40" w:type="dxa"/>
              <w:right w:w="80" w:type="dxa"/>
            </w:tcMar>
          </w:tcPr>
          <w:p w14:paraId="5D228B86" w14:textId="77777777" w:rsidR="00D44DCB" w:rsidRDefault="00000000">
            <w:pPr>
              <w:spacing w:after="40"/>
            </w:pPr>
            <w:r>
              <w:rPr>
                <w:rFonts w:ascii="新細明體" w:eastAsia="新細明體" w:hAnsi="新細明體" w:cs="新細明體"/>
              </w:rPr>
              <w:t>首次使用者能否理解主要介面與操作順序</w:t>
            </w:r>
          </w:p>
        </w:tc>
        <w:tc>
          <w:tcPr>
            <w:tcW w:w="2800" w:type="dxa"/>
            <w:tcMar>
              <w:top w:w="40" w:type="dxa"/>
              <w:left w:w="80" w:type="dxa"/>
              <w:bottom w:w="40" w:type="dxa"/>
              <w:right w:w="80" w:type="dxa"/>
            </w:tcMar>
          </w:tcPr>
          <w:p w14:paraId="5D228B87" w14:textId="77777777" w:rsidR="00D44DCB" w:rsidRDefault="00000000">
            <w:pPr>
              <w:spacing w:after="40"/>
            </w:pPr>
            <w:r>
              <w:rPr>
                <w:rFonts w:ascii="新細明體" w:eastAsia="新細明體" w:hAnsi="新細明體" w:cs="新細明體"/>
              </w:rPr>
              <w:t>依引導流程進行任務完成觀察</w:t>
            </w:r>
          </w:p>
        </w:tc>
        <w:tc>
          <w:tcPr>
            <w:tcW w:w="2600" w:type="dxa"/>
            <w:tcMar>
              <w:top w:w="40" w:type="dxa"/>
              <w:left w:w="80" w:type="dxa"/>
              <w:bottom w:w="40" w:type="dxa"/>
              <w:right w:w="80" w:type="dxa"/>
            </w:tcMar>
          </w:tcPr>
          <w:p w14:paraId="5D228B88" w14:textId="77777777" w:rsidR="00D44DCB" w:rsidRDefault="00000000">
            <w:pPr>
              <w:spacing w:after="40"/>
            </w:pPr>
            <w:r>
              <w:rPr>
                <w:rFonts w:ascii="新細明體" w:eastAsia="新細明體" w:hAnsi="新細明體" w:cs="新細明體"/>
              </w:rPr>
              <w:t>結果以實際測試為準</w:t>
            </w:r>
          </w:p>
        </w:tc>
      </w:tr>
      <w:tr w:rsidR="00D44DCB" w14:paraId="5D228B8E" w14:textId="77777777">
        <w:tblPrEx>
          <w:tblCellMar>
            <w:top w:w="0" w:type="dxa"/>
            <w:bottom w:w="0" w:type="dxa"/>
          </w:tblCellMar>
        </w:tblPrEx>
        <w:tc>
          <w:tcPr>
            <w:tcW w:w="1400" w:type="dxa"/>
            <w:tcMar>
              <w:top w:w="40" w:type="dxa"/>
              <w:left w:w="80" w:type="dxa"/>
              <w:bottom w:w="40" w:type="dxa"/>
              <w:right w:w="80" w:type="dxa"/>
            </w:tcMar>
          </w:tcPr>
          <w:p w14:paraId="5D228B8A" w14:textId="77777777" w:rsidR="00D44DCB" w:rsidRDefault="00000000">
            <w:pPr>
              <w:spacing w:after="40"/>
            </w:pPr>
            <w:r>
              <w:rPr>
                <w:rFonts w:ascii="新細明體" w:eastAsia="新細明體" w:hAnsi="新細明體" w:cs="新細明體"/>
              </w:rPr>
              <w:t>提醒與懲罰</w:t>
            </w:r>
          </w:p>
        </w:tc>
        <w:tc>
          <w:tcPr>
            <w:tcW w:w="2800" w:type="dxa"/>
            <w:tcMar>
              <w:top w:w="40" w:type="dxa"/>
              <w:left w:w="80" w:type="dxa"/>
              <w:bottom w:w="40" w:type="dxa"/>
              <w:right w:w="80" w:type="dxa"/>
            </w:tcMar>
          </w:tcPr>
          <w:p w14:paraId="5D228B8B" w14:textId="77777777" w:rsidR="00D44DCB" w:rsidRDefault="00000000">
            <w:pPr>
              <w:spacing w:after="40"/>
            </w:pPr>
            <w:r>
              <w:rPr>
                <w:rFonts w:ascii="新細明體" w:eastAsia="新細明體" w:hAnsi="新細明體" w:cs="新細明體"/>
              </w:rPr>
              <w:t>通知理解、回訪意圖、付費壓力、挫折感與使用者控制</w:t>
            </w:r>
          </w:p>
        </w:tc>
        <w:tc>
          <w:tcPr>
            <w:tcW w:w="2800" w:type="dxa"/>
            <w:tcMar>
              <w:top w:w="40" w:type="dxa"/>
              <w:left w:w="80" w:type="dxa"/>
              <w:bottom w:w="40" w:type="dxa"/>
              <w:right w:w="80" w:type="dxa"/>
            </w:tcMar>
          </w:tcPr>
          <w:p w14:paraId="5D228B8C" w14:textId="77777777" w:rsidR="00D44DCB" w:rsidRDefault="00000000">
            <w:pPr>
              <w:spacing w:after="40"/>
            </w:pPr>
            <w:r>
              <w:rPr>
                <w:rFonts w:ascii="新細明體" w:eastAsia="新細明體" w:hAnsi="新細明體" w:cs="新細明體"/>
              </w:rPr>
              <w:t>機制定案後進行公平性及使用者感受測試</w:t>
            </w:r>
          </w:p>
        </w:tc>
        <w:tc>
          <w:tcPr>
            <w:tcW w:w="2600" w:type="dxa"/>
            <w:tcMar>
              <w:top w:w="40" w:type="dxa"/>
              <w:left w:w="80" w:type="dxa"/>
              <w:bottom w:w="40" w:type="dxa"/>
              <w:right w:w="80" w:type="dxa"/>
            </w:tcMar>
          </w:tcPr>
          <w:p w14:paraId="5D228B8D" w14:textId="77777777" w:rsidR="00D44DCB" w:rsidRDefault="00000000">
            <w:pPr>
              <w:spacing w:after="40"/>
            </w:pPr>
            <w:r>
              <w:rPr>
                <w:rFonts w:ascii="新細明體" w:eastAsia="新細明體" w:hAnsi="新細明體" w:cs="新細明體"/>
              </w:rPr>
              <w:t>不預先宣稱提升留存或黏著</w:t>
            </w:r>
          </w:p>
        </w:tc>
      </w:tr>
      <w:tr w:rsidR="00D44DCB" w14:paraId="5D228B93" w14:textId="77777777">
        <w:tblPrEx>
          <w:tblCellMar>
            <w:top w:w="0" w:type="dxa"/>
            <w:bottom w:w="0" w:type="dxa"/>
          </w:tblCellMar>
        </w:tblPrEx>
        <w:tc>
          <w:tcPr>
            <w:tcW w:w="1400" w:type="dxa"/>
            <w:tcMar>
              <w:top w:w="40" w:type="dxa"/>
              <w:left w:w="80" w:type="dxa"/>
              <w:bottom w:w="40" w:type="dxa"/>
              <w:right w:w="80" w:type="dxa"/>
            </w:tcMar>
          </w:tcPr>
          <w:p w14:paraId="5D228B8F" w14:textId="77777777" w:rsidR="00D44DCB" w:rsidRDefault="00000000">
            <w:pPr>
              <w:spacing w:after="40"/>
            </w:pPr>
            <w:r>
              <w:rPr>
                <w:rFonts w:ascii="新細明體" w:eastAsia="新細明體" w:hAnsi="新細明體" w:cs="新細明體"/>
              </w:rPr>
              <w:t>NPC 與島嶼</w:t>
            </w:r>
          </w:p>
        </w:tc>
        <w:tc>
          <w:tcPr>
            <w:tcW w:w="2800" w:type="dxa"/>
            <w:tcMar>
              <w:top w:w="40" w:type="dxa"/>
              <w:left w:w="80" w:type="dxa"/>
              <w:bottom w:w="40" w:type="dxa"/>
              <w:right w:w="80" w:type="dxa"/>
            </w:tcMar>
          </w:tcPr>
          <w:p w14:paraId="5D228B90" w14:textId="77777777" w:rsidR="00D44DCB" w:rsidRDefault="00000000">
            <w:pPr>
              <w:spacing w:after="40"/>
            </w:pPr>
            <w:r>
              <w:rPr>
                <w:rFonts w:ascii="新細明體" w:eastAsia="新細明體" w:hAnsi="新細明體" w:cs="新細明體"/>
              </w:rPr>
              <w:t>角色互動、職務特色與正向作用是否清楚</w:t>
            </w:r>
          </w:p>
        </w:tc>
        <w:tc>
          <w:tcPr>
            <w:tcW w:w="2800" w:type="dxa"/>
            <w:tcMar>
              <w:top w:w="40" w:type="dxa"/>
              <w:left w:w="80" w:type="dxa"/>
              <w:bottom w:w="40" w:type="dxa"/>
              <w:right w:w="80" w:type="dxa"/>
            </w:tcMar>
          </w:tcPr>
          <w:p w14:paraId="5D228B91" w14:textId="77777777" w:rsidR="00D44DCB" w:rsidRDefault="00000000">
            <w:pPr>
              <w:spacing w:after="40"/>
            </w:pPr>
            <w:r>
              <w:rPr>
                <w:rFonts w:ascii="新細明體" w:eastAsia="新細明體" w:hAnsi="新細明體" w:cs="新細明體"/>
              </w:rPr>
              <w:t>功能完成後檢查互動流程及規則可理解性</w:t>
            </w:r>
          </w:p>
        </w:tc>
        <w:tc>
          <w:tcPr>
            <w:tcW w:w="2600" w:type="dxa"/>
            <w:tcMar>
              <w:top w:w="40" w:type="dxa"/>
              <w:left w:w="80" w:type="dxa"/>
              <w:bottom w:w="40" w:type="dxa"/>
              <w:right w:w="80" w:type="dxa"/>
            </w:tcMar>
          </w:tcPr>
          <w:p w14:paraId="5D228B92" w14:textId="77777777" w:rsidR="00D44DCB" w:rsidRDefault="00000000">
            <w:pPr>
              <w:spacing w:after="40"/>
            </w:pPr>
            <w:r>
              <w:rPr>
                <w:rFonts w:ascii="新細明體" w:eastAsia="新細明體" w:hAnsi="新細明體" w:cs="新細明體"/>
              </w:rPr>
              <w:t>未定數值與作用不先列為效益</w:t>
            </w:r>
          </w:p>
        </w:tc>
      </w:tr>
      <w:tr w:rsidR="00D44DCB" w14:paraId="5D228B98" w14:textId="77777777">
        <w:tblPrEx>
          <w:tblCellMar>
            <w:top w:w="0" w:type="dxa"/>
            <w:bottom w:w="0" w:type="dxa"/>
          </w:tblCellMar>
        </w:tblPrEx>
        <w:tc>
          <w:tcPr>
            <w:tcW w:w="1400" w:type="dxa"/>
            <w:tcMar>
              <w:top w:w="40" w:type="dxa"/>
              <w:left w:w="80" w:type="dxa"/>
              <w:bottom w:w="40" w:type="dxa"/>
              <w:right w:w="80" w:type="dxa"/>
            </w:tcMar>
          </w:tcPr>
          <w:p w14:paraId="5D228B94" w14:textId="77777777" w:rsidR="00D44DCB" w:rsidRDefault="00000000">
            <w:pPr>
              <w:spacing w:after="40"/>
            </w:pPr>
            <w:r>
              <w:rPr>
                <w:rFonts w:ascii="新細明體" w:eastAsia="新細明體" w:hAnsi="新細明體" w:cs="新細明體"/>
              </w:rPr>
              <w:t>健康促進</w:t>
            </w:r>
          </w:p>
        </w:tc>
        <w:tc>
          <w:tcPr>
            <w:tcW w:w="2800" w:type="dxa"/>
            <w:tcMar>
              <w:top w:w="40" w:type="dxa"/>
              <w:left w:w="80" w:type="dxa"/>
              <w:bottom w:w="40" w:type="dxa"/>
              <w:right w:w="80" w:type="dxa"/>
            </w:tcMar>
          </w:tcPr>
          <w:p w14:paraId="5D228B95" w14:textId="77777777" w:rsidR="00D44DCB" w:rsidRDefault="00000000">
            <w:pPr>
              <w:spacing w:after="40"/>
            </w:pPr>
            <w:r>
              <w:rPr>
                <w:rFonts w:ascii="新細明體" w:eastAsia="新細明體" w:hAnsi="新細明體" w:cs="新細明體"/>
              </w:rPr>
              <w:t>使用者是否能理解健身流程、紀錄與遊戲進度的關聯</w:t>
            </w:r>
          </w:p>
        </w:tc>
        <w:tc>
          <w:tcPr>
            <w:tcW w:w="2800" w:type="dxa"/>
            <w:tcMar>
              <w:top w:w="40" w:type="dxa"/>
              <w:left w:w="80" w:type="dxa"/>
              <w:bottom w:w="40" w:type="dxa"/>
              <w:right w:w="80" w:type="dxa"/>
            </w:tcMar>
          </w:tcPr>
          <w:p w14:paraId="5D228B96" w14:textId="77777777" w:rsidR="00D44DCB" w:rsidRDefault="00000000">
            <w:pPr>
              <w:spacing w:after="40"/>
            </w:pPr>
            <w:r>
              <w:rPr>
                <w:rFonts w:ascii="新細明體" w:eastAsia="新細明體" w:hAnsi="新細明體" w:cs="新細明體"/>
              </w:rPr>
              <w:t>依整合版本測試與回饋資料評估</w:t>
            </w:r>
          </w:p>
        </w:tc>
        <w:tc>
          <w:tcPr>
            <w:tcW w:w="2600" w:type="dxa"/>
            <w:tcMar>
              <w:top w:w="40" w:type="dxa"/>
              <w:left w:w="80" w:type="dxa"/>
              <w:bottom w:w="40" w:type="dxa"/>
              <w:right w:w="80" w:type="dxa"/>
            </w:tcMar>
          </w:tcPr>
          <w:p w14:paraId="5D228B97" w14:textId="77777777" w:rsidR="00D44DCB" w:rsidRDefault="00000000">
            <w:pPr>
              <w:spacing w:after="40"/>
            </w:pPr>
            <w:r>
              <w:rPr>
                <w:rFonts w:ascii="新細明體" w:eastAsia="新細明體" w:hAnsi="新細明體" w:cs="新細明體"/>
              </w:rPr>
              <w:t>不推論醫療、臨床或疾病改善效果</w:t>
            </w:r>
          </w:p>
        </w:tc>
      </w:tr>
      <w:tr w:rsidR="00D44DCB" w14:paraId="5D228B98" w14:textId="77777777">
        <w:tblPrEx>
          <w:tblCellMar>
            <w:top w:w="0" w:type="dxa"/>
            <w:bottom w:w="0" w:type="dxa"/>
          </w:tblCellMar>
        </w:tblPrEx>
        <w:tc>
          <w:tcPr>
            <w:tcW w:w="1400" w:type="dxa"/>
            <w:tcMar>
              <w:top w:w="40" w:type="dxa"/>
              <w:left w:w="80" w:type="dxa"/>
              <w:bottom w:w="40" w:type="dxa"/>
              <w:right w:w="80" w:type="dxa"/>
            </w:tcMar>
          </w:tcPr>
          <w:p w14:paraId="5D228B94" w14:textId="77777777" w:rsidR="00D44DCB" w:rsidRDefault="00000000">
            <w:pPr>
              <w:spacing w:after="40"/>
            </w:pPr>
            <w:r>
              <w:rPr>
                <w:rFonts w:ascii="新細明體" w:eastAsia="新細明體" w:hAnsi="新細明體" w:cs="新細明體"/>
              </w:rPr>
              <w:t>功能卡與商品</w:t>
            </w:r>
          </w:p>
        </w:tc>
        <w:tc>
          <w:tcPr>
            <w:tcW w:w="2800" w:type="dxa"/>
            <w:tcMar>
              <w:top w:w="40" w:type="dxa"/>
              <w:left w:w="80" w:type="dxa"/>
              <w:bottom w:w="40" w:type="dxa"/>
              <w:right w:w="80" w:type="dxa"/>
            </w:tcMar>
          </w:tcPr>
          <w:p w14:paraId="5D228B95" w14:textId="77777777" w:rsidR="00D44DCB" w:rsidRDefault="00000000">
            <w:pPr>
              <w:spacing w:after="40"/>
            </w:pPr>
            <w:r>
              <w:rPr>
                <w:rFonts w:ascii="新細明體" w:eastAsia="新細明體" w:hAnsi="新細明體" w:cs="新細明體"/>
              </w:rPr>
              <w:t>功能卡效果、供應頻率、經濟影響與商店商品多樣性</w:t>
            </w:r>
          </w:p>
        </w:tc>
        <w:tc>
          <w:tcPr>
            <w:tcW w:w="2800" w:type="dxa"/>
            <w:tcMar>
              <w:top w:w="40" w:type="dxa"/>
              <w:left w:w="80" w:type="dxa"/>
              <w:bottom w:w="40" w:type="dxa"/>
              <w:right w:w="80" w:type="dxa"/>
            </w:tcMar>
          </w:tcPr>
          <w:p w14:paraId="5D228B96" w14:textId="77777777" w:rsidR="00D44DCB" w:rsidRDefault="00000000">
            <w:pPr>
              <w:spacing w:after="40"/>
            </w:pPr>
            <w:r>
              <w:rPr>
                <w:rFonts w:ascii="新細明體" w:eastAsia="新細明體" w:hAnsi="新細明體" w:cs="新細明體"/>
              </w:rPr>
              <w:t>機制上線後追蹤金幣流通與消費行為</w:t>
            </w:r>
          </w:p>
        </w:tc>
        <w:tc>
          <w:tcPr>
            <w:tcW w:w="2600" w:type="dxa"/>
            <w:tcMar>
              <w:top w:w="40" w:type="dxa"/>
              <w:left w:w="80" w:type="dxa"/>
              <w:bottom w:w="40" w:type="dxa"/>
              <w:right w:w="80" w:type="dxa"/>
            </w:tcMar>
          </w:tcPr>
          <w:p w14:paraId="5D228B97" w14:textId="77777777" w:rsidR="00D44DCB" w:rsidRDefault="00000000">
            <w:pPr>
              <w:spacing w:after="40"/>
            </w:pPr>
            <w:r>
              <w:rPr>
                <w:rFonts w:ascii="新細明體" w:eastAsia="新細明體" w:hAnsi="新細明體" w:cs="新細明體"/>
              </w:rPr>
              <w:t>不預先宣稱消費轉化或留存提升</w:t>
            </w:r>
          </w:p>
        </w:tc>
      </w:tr>
      <w:tr w:rsidR="00D44DCB" w14:paraId="5D228B98" w14:textId="77777777">
        <w:tblPrEx>
          <w:tblCellMar>
            <w:top w:w="0" w:type="dxa"/>
            <w:bottom w:w="0" w:type="dxa"/>
          </w:tblCellMar>
        </w:tblPrEx>
        <w:tc>
          <w:tcPr>
            <w:tcW w:w="1400" w:type="dxa"/>
            <w:tcMar>
              <w:top w:w="40" w:type="dxa"/>
              <w:left w:w="80" w:type="dxa"/>
              <w:bottom w:w="40" w:type="dxa"/>
              <w:right w:w="80" w:type="dxa"/>
            </w:tcMar>
          </w:tcPr>
          <w:p w14:paraId="5D228B94" w14:textId="77777777" w:rsidR="00D44DCB" w:rsidRDefault="00000000">
            <w:pPr>
              <w:spacing w:after="40"/>
            </w:pPr>
            <w:r>
              <w:rPr>
                <w:rFonts w:ascii="新細明體" w:eastAsia="新細明體" w:hAnsi="新細明體" w:cs="新細明體"/>
              </w:rPr>
              <w:t>寵物照護</w:t>
            </w:r>
          </w:p>
        </w:tc>
        <w:tc>
          <w:tcPr>
            <w:tcW w:w="2800" w:type="dxa"/>
            <w:tcMar>
              <w:top w:w="40" w:type="dxa"/>
              <w:left w:w="80" w:type="dxa"/>
              <w:bottom w:w="40" w:type="dxa"/>
              <w:right w:w="80" w:type="dxa"/>
            </w:tcMar>
          </w:tcPr>
          <w:p w14:paraId="5D228B95" w14:textId="77777777" w:rsidR="00D44DCB" w:rsidRDefault="00000000">
            <w:pPr>
              <w:spacing w:after="40"/>
            </w:pPr>
            <w:r>
              <w:rPr>
                <w:rFonts w:ascii="新細明體" w:eastAsia="新細明體" w:hAnsi="新細明體" w:cs="新細明體"/>
              </w:rPr>
              <w:t>活動力指標、餵食互動、排泄物觸發與 NPC 聯動</w:t>
            </w:r>
          </w:p>
        </w:tc>
        <w:tc>
          <w:tcPr>
            <w:tcW w:w="2800" w:type="dxa"/>
            <w:tcMar>
              <w:top w:w="40" w:type="dxa"/>
              <w:left w:w="80" w:type="dxa"/>
              <w:bottom w:w="40" w:type="dxa"/>
              <w:right w:w="80" w:type="dxa"/>
            </w:tcMar>
          </w:tcPr>
          <w:p w14:paraId="5D228B96" w14:textId="77777777" w:rsidR="00D44DCB" w:rsidRDefault="00000000">
            <w:pPr>
              <w:spacing w:after="40"/>
            </w:pPr>
            <w:r>
              <w:rPr>
                <w:rFonts w:ascii="新細明體" w:eastAsia="新細明體" w:hAnsi="新細明體" w:cs="新細明體"/>
              </w:rPr>
              <w:t>機制完成後進行使用者接受度與互動頻率測試</w:t>
            </w:r>
          </w:p>
        </w:tc>
        <w:tc>
          <w:tcPr>
            <w:tcW w:w="2600" w:type="dxa"/>
            <w:tcMar>
              <w:top w:w="40" w:type="dxa"/>
              <w:left w:w="80" w:type="dxa"/>
              <w:bottom w:w="40" w:type="dxa"/>
              <w:right w:w="80" w:type="dxa"/>
            </w:tcMar>
          </w:tcPr>
          <w:p w14:paraId="5D228B97" w14:textId="77777777" w:rsidR="00D44DCB" w:rsidRDefault="00000000">
            <w:pPr>
              <w:spacing w:after="40"/>
            </w:pPr>
            <w:r>
              <w:rPr>
                <w:rFonts w:ascii="新細明體" w:eastAsia="新細明體" w:hAnsi="新細明體" w:cs="新細明體"/>
              </w:rPr>
              <w:t>不預先宣稱情感連結或回訪效果</w:t>
            </w:r>
          </w:p>
        </w:tc>
      </w:tr>
    </w:tbl>
    <w:p w14:paraId="5D228B99" w14:textId="77777777" w:rsidR="00D44DCB" w:rsidRDefault="00D44DCB"/>
    <w:p w14:paraId="5D228B9A" w14:textId="77777777" w:rsidR="00D44DCB" w:rsidRDefault="00000000">
      <w:pPr>
        <w:spacing w:after="120" w:line="360" w:lineRule="auto"/>
        <w:jc w:val="both"/>
      </w:pPr>
      <w:r>
        <w:rPr>
          <w:rFonts w:ascii="新細明體" w:eastAsia="新細明體" w:hAnsi="新細明體" w:cs="新細明體"/>
          <w:b/>
          <w:bCs/>
          <w:sz w:val="24"/>
          <w:szCs w:val="24"/>
        </w:rPr>
        <w:t>效益判定原則｜</w:t>
      </w:r>
      <w:r>
        <w:rPr>
          <w:rFonts w:ascii="新細明體" w:eastAsia="新細明體" w:hAnsi="新細明體" w:cs="新細明體"/>
          <w:sz w:val="24"/>
          <w:szCs w:val="24"/>
        </w:rPr>
        <w:t>本章所列未完成項目均為規劃內容。除附件明載碎片機制「約九成可能納入」外，本章未新增任何量化成效、營運指標、使用者規模、通知成果或技術規格；各項效果須在功能完成並接受可重現測試後，才依實際資料陳述。</w:t>
      </w:r>
    </w:p>
    <w:p w14:paraId="5D228AB6" w14:textId="77777777" w:rsidR="00D44DCB" w:rsidRDefault="00000000">
      <w:pPr>
        <w:pStyle w:val="1"/>
        <w:spacing w:before="360" w:after="200" w:line="360" w:lineRule="auto"/>
      </w:pPr>
      <w:r>
        <w:rPr>
          <w:rFonts w:ascii="標楷體" w:eastAsia="標楷體" w:hAnsi="標楷體" w:cs="標楷體"/>
          <w:b/>
          <w:bCs/>
          <w:i w:val="0"/>
          <w:sz w:val="28"/>
          <w:szCs w:val="32"/>
        </w:rPr>
        <w:t>本章引用文獻（APA 第 7 版，請併入第十章「參考文獻」，不計入本章頁數）</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教育部體育署（2024）。《中華民國 113 年運動現況調查結案報告書》。世新大學執行。</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Mazeas, A., Duclos, M., Pereira, B., &amp; Chalabaev, A. (2022). Evaluating the effectiveness of gamification on physical activity: Systematic review and meta-analysis of randomized controlled trials. </w:t>
      </w:r>
      <w:r>
        <w:rPr>
          <w:rFonts w:ascii="新細明體" w:eastAsia="新細明體" w:hAnsi="新細明體" w:cs="新細明體"/>
          <w:i/>
        </w:rPr>
        <w:t>Journal of Medical Internet Research, 24</w:t>
      </w:r>
      <w:r>
        <w:rPr>
          <w:rFonts w:ascii="新細明體" w:eastAsia="新細明體" w:hAnsi="新細明體" w:cs="新細明體"/>
          <w:i w:val="0"/>
        </w:rPr>
        <w:t>(1), Article e26779. https://doi.org/10.2196/26779</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World Health Organization. (2020). </w:t>
      </w:r>
      <w:r>
        <w:rPr>
          <w:rFonts w:ascii="新細明體" w:eastAsia="新細明體" w:hAnsi="新細明體" w:cs="新細明體"/>
          <w:i/>
        </w:rPr>
        <w:t>WHO guidelines on physical activity and sedentary behaviour</w:t>
      </w:r>
      <w:r>
        <w:rPr>
          <w:rFonts w:ascii="新細明體" w:eastAsia="新細明體" w:hAnsi="新細明體" w:cs="新細明體"/>
          <w:i w:val="0"/>
        </w:rPr>
        <w:t>. https://www.who.int/publications/i/item/9789240015128</w:t>
      </w:r>
    </w:p>
    <w:p w14:paraId="5D228A88" w14:textId="77777777" w:rsidR="00D44DCB" w:rsidRDefault="00000000">
      <w:pPr>
        <w:spacing w:after="200" w:line="360" w:lineRule="auto"/>
        <w:jc w:val="center"/>
      </w:pPr>
      <w:r>
        <w:rPr>
          <w:rFonts w:ascii="標楷體" w:eastAsia="標楷體" w:hAnsi="標楷體" w:cs="標楷體"/>
          <w:b/>
          <w:bCs/>
          <w:i w:val="0"/>
          <w:sz w:val="32"/>
          <w:szCs w:val="32"/>
        </w:rPr>
        <w:t>十、參考文獻</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教育部體育署（2024）。《中華民國 113 年運動現況調查結案報告書》。世新大學執行。</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林暐庭、楊捷閔、徐誠佑、鄭磬蔚、姜建均、林威成（2025）。AI 影像辨識技術應用於健身課程。學校體育，207，49–63。</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Alshurafa, N., Eastwood, J.-A., Pourhomayoun, M., Nyamathi, S., Bao, L., Mortazavi, B., &amp; Sarrafzadeh, M. (2014). Anti-cheating: Detecting self-inflicted and impersonator cheaters for remote health monitoring systems with wearable sensors. In </w:t>
      </w:r>
      <w:r>
        <w:rPr>
          <w:rFonts w:ascii="新細明體" w:eastAsia="新細明體" w:hAnsi="新細明體" w:cs="新細明體"/>
          <w:i/>
        </w:rPr>
        <w:t>2014 11th International Conference on Wearable and Implantable Body Sensor Networks</w:t>
      </w:r>
      <w:r>
        <w:rPr>
          <w:rFonts w:ascii="新細明體" w:eastAsia="新細明體" w:hAnsi="新細明體" w:cs="新細明體"/>
          <w:i w:val="0"/>
        </w:rPr>
        <w:t xml:space="preserve"> (pp. 92–97). IEEE. https://doi.org/10.1109/BSN.2014.38</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Bazarevsky, V., Grishchenko, I., Raveendran, K., Zhu, T., Zhang, F., &amp; Grundmann, M. (2020). </w:t>
      </w:r>
      <w:r>
        <w:rPr>
          <w:rFonts w:ascii="新細明體" w:eastAsia="新細明體" w:hAnsi="新細明體" w:cs="新細明體"/>
          <w:i/>
        </w:rPr>
        <w:t>BlazePose: On-device real-time body pose tracking</w:t>
      </w:r>
      <w:r>
        <w:rPr>
          <w:rFonts w:ascii="新細明體" w:eastAsia="新細明體" w:hAnsi="新細明體" w:cs="新細明體"/>
          <w:i w:val="0"/>
        </w:rPr>
        <w:t xml:space="preserve"> (arXiv:2006.10204). arXiv. https://doi.org/10.48550/arXiv.2006.10204</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Casiez, G., Roussel, N., &amp; Vogel, D. (2012). 1 € filter: A simple speed-based low-pass filter for noisy input in interactive systems. In </w:t>
      </w:r>
      <w:r>
        <w:rPr>
          <w:rFonts w:ascii="新細明體" w:eastAsia="新細明體" w:hAnsi="新細明體" w:cs="新細明體"/>
          <w:i/>
        </w:rPr>
        <w:t>Proceedings of the SIGCHI Conference on Human Factors in Computing Systems</w:t>
      </w:r>
      <w:r>
        <w:rPr>
          <w:rFonts w:ascii="新細明體" w:eastAsia="新細明體" w:hAnsi="新細明體" w:cs="新細明體"/>
          <w:i w:val="0"/>
        </w:rPr>
        <w:t xml:space="preserve"> (pp. 2527–2530). Association for Computing Machinery. https://doi.org/10.1145/2207676.2208639</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Conroy, D. E., Yang, C.-H., &amp; Maher, J. P. (2014). Behavior change techniques in top-ranked mobile apps for physical activity. </w:t>
      </w:r>
      <w:r>
        <w:rPr>
          <w:rFonts w:ascii="新細明體" w:eastAsia="新細明體" w:hAnsi="新細明體" w:cs="新細明體"/>
          <w:i/>
        </w:rPr>
        <w:t>American Journal of Preventive Medicine, 46</w:t>
      </w:r>
      <w:r>
        <w:rPr>
          <w:rFonts w:ascii="新細明體" w:eastAsia="新細明體" w:hAnsi="新細明體" w:cs="新細明體"/>
          <w:i w:val="0"/>
        </w:rPr>
        <w:t>(6), 649–652. https://doi.org/10.1016/j.amepre.2014.01.010</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Dedhia, U., Bhoir, P., Ranka, P., &amp; Kanani, P. (2023). Pose estimation and virtual gym assistant using MediaPipe and machine learning. In </w:t>
      </w:r>
      <w:r>
        <w:rPr>
          <w:rFonts w:ascii="新細明體" w:eastAsia="新細明體" w:hAnsi="新細明體" w:cs="新細明體"/>
          <w:i/>
        </w:rPr>
        <w:t>2023 International Conference on Network, Multimedia and Information Technology (NMITCON)</w:t>
      </w:r>
      <w:r>
        <w:rPr>
          <w:rFonts w:ascii="新細明體" w:eastAsia="新細明體" w:hAnsi="新細明體" w:cs="新細明體"/>
          <w:i w:val="0"/>
        </w:rPr>
        <w:t xml:space="preserve"> (pp. 1–7). IEEE. https://doi.org/10.1109/NMITCON58196.2023.10275938</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Direito, A., Pfaeffli Dale, L., Shields, E., Dobson, R., Whittaker, R., &amp; Maddison, R. (2014). Do physical activity and dietary smartphone applications incorporate evidence-based behaviour change techniques? </w:t>
      </w:r>
      <w:r>
        <w:rPr>
          <w:rFonts w:ascii="新細明體" w:eastAsia="新細明體" w:hAnsi="新細明體" w:cs="新細明體"/>
          <w:i/>
        </w:rPr>
        <w:t>BMC Public Health, 14</w:t>
      </w:r>
      <w:r>
        <w:rPr>
          <w:rFonts w:ascii="新細明體" w:eastAsia="新細明體" w:hAnsi="新細明體" w:cs="新細明體"/>
          <w:i w:val="0"/>
        </w:rPr>
        <w:t>, Article 646. https://doi.org/10.1186/1471-2458-14-646</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Escamilla, R. F. (2001). Knee biomechanics of the dynamic squat exercise. </w:t>
      </w:r>
      <w:r>
        <w:rPr>
          <w:rFonts w:ascii="新細明體" w:eastAsia="新細明體" w:hAnsi="新細明體" w:cs="新細明體"/>
          <w:i/>
        </w:rPr>
        <w:t>Medicine &amp; Science in Sports &amp; Exercise, 33</w:t>
      </w:r>
      <w:r>
        <w:rPr>
          <w:rFonts w:ascii="新細明體" w:eastAsia="新細明體" w:hAnsi="新細明體" w:cs="新細明體"/>
          <w:i w:val="0"/>
        </w:rPr>
        <w:t>(1), 127–141. https://doi.org/10.1097/00005768-200101000-00020</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Hamari, J., Koivisto, J., &amp; Sarsa, H. (2014). Does gamification work? — A literature review of empirical studies on gamification. In </w:t>
      </w:r>
      <w:r>
        <w:rPr>
          <w:rFonts w:ascii="新細明體" w:eastAsia="新細明體" w:hAnsi="新細明體" w:cs="新細明體"/>
          <w:i/>
        </w:rPr>
        <w:t>2014 47th Hawaii International Conference on System Sciences</w:t>
      </w:r>
      <w:r>
        <w:rPr>
          <w:rFonts w:ascii="新細明體" w:eastAsia="新細明體" w:hAnsi="新細明體" w:cs="新細明體"/>
          <w:i w:val="0"/>
        </w:rPr>
        <w:t xml:space="preserve"> (pp. 3025–3034). IEEE. https://doi.org/10.1109/HICSS.2014.377</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Jaiswal, A., Chauhan, G., &amp; Srivastava, N. (2023). Using learnable physics for real-time exercise form recommendations. In </w:t>
      </w:r>
      <w:r>
        <w:rPr>
          <w:rFonts w:ascii="新細明體" w:eastAsia="新細明體" w:hAnsi="新細明體" w:cs="新細明體"/>
          <w:i/>
        </w:rPr>
        <w:t>Proceedings of the 17th ACM Conference on Recommender Systems</w:t>
      </w:r>
      <w:r>
        <w:rPr>
          <w:rFonts w:ascii="新細明體" w:eastAsia="新細明體" w:hAnsi="新細明體" w:cs="新細明體"/>
          <w:i w:val="0"/>
        </w:rPr>
        <w:t xml:space="preserve"> (pp. 688–695). Association for Computing Machinery. https://doi.org/10.1145/3604915.3608816</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Johnson, D., Deterding, S., Kuhn, K.-A., Staneva, A., Stoyanov, S., &amp; Hides, L. (2016). Gamification for health and wellbeing: A systematic review of the literature. </w:t>
      </w:r>
      <w:r>
        <w:rPr>
          <w:rFonts w:ascii="新細明體" w:eastAsia="新細明體" w:hAnsi="新細明體" w:cs="新細明體"/>
          <w:i/>
        </w:rPr>
        <w:t>Internet Interventions, 6</w:t>
      </w:r>
      <w:r>
        <w:rPr>
          <w:rFonts w:ascii="新細明體" w:eastAsia="新細明體" w:hAnsi="新細明體" w:cs="新細明體"/>
          <w:i w:val="0"/>
        </w:rPr>
        <w:t>, 89–106. https://doi.org/10.1016/j.invent.2016.10.002</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Kercher, V. M., Kercher, K., Levy, P., Bennion, T., Alexander, C., Amaral, P. C., Batrakoulis, A., Chávez, L. F. J. G., Cortés-Almanzar, P., Haro, J. L., Zavalza, A. R. P., Rodríguez, L. E. A., Franco, S., Santos-Rocha, R., Ramalho, F., Simões, V., Vieira, I., Ramos, L., Veiga, O. L., ... Romero-Caballero, A. (2023). 2023 fitness trends from around the globe. </w:t>
      </w:r>
      <w:r>
        <w:rPr>
          <w:rFonts w:ascii="新細明體" w:eastAsia="新細明體" w:hAnsi="新細明體" w:cs="新細明體"/>
          <w:i/>
        </w:rPr>
        <w:t>ACSM's Health &amp; Fitness Journal, 27</w:t>
      </w:r>
      <w:r>
        <w:rPr>
          <w:rFonts w:ascii="新細明體" w:eastAsia="新細明體" w:hAnsi="新細明體" w:cs="新細明體"/>
          <w:i w:val="0"/>
        </w:rPr>
        <w:t>(1), 19–30. https://doi.org/10.1249/FIT.0000000000000836</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Kerr, Z. Y., Collins, C. L., &amp; Comstock, R. D. (2010). Epidemiology of weight training-related injuries presenting to United States emergency departments, 1990 to 2007. </w:t>
      </w:r>
      <w:r>
        <w:rPr>
          <w:rFonts w:ascii="新細明體" w:eastAsia="新細明體" w:hAnsi="新細明體" w:cs="新細明體"/>
          <w:i/>
        </w:rPr>
        <w:t>The American Journal of Sports Medicine, 38</w:t>
      </w:r>
      <w:r>
        <w:rPr>
          <w:rFonts w:ascii="新細明體" w:eastAsia="新細明體" w:hAnsi="新細明體" w:cs="新細明體"/>
          <w:i w:val="0"/>
        </w:rPr>
        <w:t>(4), 765–771. https://doi.org/10.1177/0363546509351560</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Kwon, Y., &amp; Kim, D. (2022). Real-time workout posture correction using OpenCV and MediaPipe. </w:t>
      </w:r>
      <w:r>
        <w:rPr>
          <w:rFonts w:ascii="新細明體" w:eastAsia="新細明體" w:hAnsi="新細明體" w:cs="新細明體"/>
          <w:i/>
        </w:rPr>
        <w:t>The Journal of Korean Institute of Information Technology, 20</w:t>
      </w:r>
      <w:r>
        <w:rPr>
          <w:rFonts w:ascii="新細明體" w:eastAsia="新細明體" w:hAnsi="新細明體" w:cs="新細明體"/>
          <w:i w:val="0"/>
        </w:rPr>
        <w:t>(1), 199–208. https://doi.org/10.14801/jkiit.2022.20.1.199</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Lally, P., van Jaarsveld, C. H. M., Potts, H. W. W., &amp; Wardle, J. (2010). How are habits formed: Modelling habit formation in the real world. </w:t>
      </w:r>
      <w:r>
        <w:rPr>
          <w:rFonts w:ascii="新細明體" w:eastAsia="新細明體" w:hAnsi="新細明體" w:cs="新細明體"/>
          <w:i/>
        </w:rPr>
        <w:t>European Journal of Social Psychology, 40</w:t>
      </w:r>
      <w:r>
        <w:rPr>
          <w:rFonts w:ascii="新細明體" w:eastAsia="新細明體" w:hAnsi="新細明體" w:cs="新細明體"/>
          <w:i w:val="0"/>
        </w:rPr>
        <w:t>(6), 998–1009. https://doi.org/10.1002/ejsp.674</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Locke, E. A., &amp; Latham, G. P. (2002). Building a practically useful theory of goal setting and task motivation: A 35-year odyssey. </w:t>
      </w:r>
      <w:r>
        <w:rPr>
          <w:rFonts w:ascii="新細明體" w:eastAsia="新細明體" w:hAnsi="新細明體" w:cs="新細明體"/>
          <w:i/>
        </w:rPr>
        <w:t>American Psychologist, 57</w:t>
      </w:r>
      <w:r>
        <w:rPr>
          <w:rFonts w:ascii="新細明體" w:eastAsia="新細明體" w:hAnsi="新細明體" w:cs="新細明體"/>
          <w:i w:val="0"/>
        </w:rPr>
        <w:t>(9), 705–717. https://doi.org/10.1037/0003-066X.57.9.705</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Lugaresi, C., Tang, J., Nash, H., McClanahan, C., Uboweja, E., Hays, M., Zhang, F., Chang, C.-L., Yong, M. G., Lee, J., Chang, W.-T., Hua, W., Georg, M., &amp; Grundmann, M. (2019). </w:t>
      </w:r>
      <w:r>
        <w:rPr>
          <w:rFonts w:ascii="新細明體" w:eastAsia="新細明體" w:hAnsi="新細明體" w:cs="新細明體"/>
          <w:i/>
        </w:rPr>
        <w:t>MediaPipe: A framework for building perception pipelines</w:t>
      </w:r>
      <w:r>
        <w:rPr>
          <w:rFonts w:ascii="新細明體" w:eastAsia="新細明體" w:hAnsi="新細明體" w:cs="新細明體"/>
          <w:i w:val="0"/>
        </w:rPr>
        <w:t xml:space="preserve"> (arXiv:1906.08172). arXiv. https://doi.org/10.48550/arXiv.1906.08172</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Mazeas, A., Duclos, M., Pereira, B., &amp; Chalabaev, A. (2022). Evaluating the effectiveness of gamification on physical activity: Systematic review and meta-analysis of randomized controlled trials. </w:t>
      </w:r>
      <w:r>
        <w:rPr>
          <w:rFonts w:ascii="新細明體" w:eastAsia="新細明體" w:hAnsi="新細明體" w:cs="新細明體"/>
          <w:i/>
        </w:rPr>
        <w:t>Journal of Medical Internet Research, 24</w:t>
      </w:r>
      <w:r>
        <w:rPr>
          <w:rFonts w:ascii="新細明體" w:eastAsia="新細明體" w:hAnsi="新細明體" w:cs="新細明體"/>
          <w:i w:val="0"/>
        </w:rPr>
        <w:t>(1), Article e26779. https://doi.org/10.2196/26779</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Michie, S., Abraham, C., Whittington, C., McAteer, J., &amp; Gupta, S. (2009). Effective techniques in healthy eating and physical activity interventions: A meta-regression. </w:t>
      </w:r>
      <w:r>
        <w:rPr>
          <w:rFonts w:ascii="新細明體" w:eastAsia="新細明體" w:hAnsi="新細明體" w:cs="新細明體"/>
          <w:i/>
        </w:rPr>
        <w:t>Health Psychology, 28</w:t>
      </w:r>
      <w:r>
        <w:rPr>
          <w:rFonts w:ascii="新細明體" w:eastAsia="新細明體" w:hAnsi="新細明體" w:cs="新細明體"/>
          <w:i w:val="0"/>
        </w:rPr>
        <w:t>(6), 690–701. https://doi.org/10.1037/a0016136</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Myer, G. D., Kushner, A. M., Brent, J. L., Schoenfeld, B. J., Hugentobler, J., Lloyd, R. S., Vermeil, A., Chu, D. A., Harbin, J., &amp; McGill, S. M. (2014). The back squat: A proposed assessment of functional deficits and technical factors that limit performance. </w:t>
      </w:r>
      <w:r>
        <w:rPr>
          <w:rFonts w:ascii="新細明體" w:eastAsia="新細明體" w:hAnsi="新細明體" w:cs="新細明體"/>
          <w:i/>
        </w:rPr>
        <w:t>Strength and Conditioning Journal, 36</w:t>
      </w:r>
      <w:r>
        <w:rPr>
          <w:rFonts w:ascii="新細明體" w:eastAsia="新細明體" w:hAnsi="新細明體" w:cs="新細明體"/>
          <w:i w:val="0"/>
        </w:rPr>
        <w:t>(6), 4–27. https://doi.org/10.1519/SSC.0000000000000103</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Okabe, M., &amp; Ito, K. (2008). </w:t>
      </w:r>
      <w:r>
        <w:rPr>
          <w:rFonts w:ascii="新細明體" w:eastAsia="新細明體" w:hAnsi="新細明體" w:cs="新細明體"/>
          <w:i/>
        </w:rPr>
        <w:t>Color universal design (CUD): How to make figures and presentations that are friendly to colorblind people</w:t>
      </w:r>
      <w:r>
        <w:rPr>
          <w:rFonts w:ascii="新細明體" w:eastAsia="新細明體" w:hAnsi="新細明體" w:cs="新細明體"/>
          <w:i w:val="0"/>
        </w:rPr>
        <w:t>. Jikei Medical School / University of Tokyo.</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Ryan, R. M., &amp; Deci, E. L. (2000). Self-determination theory and the facilitation of intrinsic motivation, social development, and well-being. </w:t>
      </w:r>
      <w:r>
        <w:rPr>
          <w:rFonts w:ascii="新細明體" w:eastAsia="新細明體" w:hAnsi="新細明體" w:cs="新細明體"/>
          <w:i/>
        </w:rPr>
        <w:t>American Psychologist, 55</w:t>
      </w:r>
      <w:r>
        <w:rPr>
          <w:rFonts w:ascii="新細明體" w:eastAsia="新細明體" w:hAnsi="新細明體" w:cs="新細明體"/>
          <w:i w:val="0"/>
        </w:rPr>
        <w:t>(1), 68–78. https://doi.org/10.1037/0003-066X.55.1.68</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Saeb, S., Körding, K., &amp; Mohr, D. C. (2015). Making activity recognition robust against deceptive behavior. </w:t>
      </w:r>
      <w:r>
        <w:rPr>
          <w:rFonts w:ascii="新細明體" w:eastAsia="新細明體" w:hAnsi="新細明體" w:cs="新細明體"/>
          <w:i/>
        </w:rPr>
        <w:t>PLOS ONE, 10</w:t>
      </w:r>
      <w:r>
        <w:rPr>
          <w:rFonts w:ascii="新細明體" w:eastAsia="新細明體" w:hAnsi="新細明體" w:cs="新細明體"/>
          <w:i w:val="0"/>
        </w:rPr>
        <w:t>(12), Article e0144795. https://doi.org/10.1371/journal.pone.0144795</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Sardi, L., Idri, A., &amp; Fernández-Alemán, J. L. (2017). A systematic review of gamification in e-Health. </w:t>
      </w:r>
      <w:r>
        <w:rPr>
          <w:rFonts w:ascii="新細明體" w:eastAsia="新細明體" w:hAnsi="新細明體" w:cs="新細明體"/>
          <w:i/>
        </w:rPr>
        <w:t>Journal of Biomedical Informatics, 71</w:t>
      </w:r>
      <w:r>
        <w:rPr>
          <w:rFonts w:ascii="新細明體" w:eastAsia="新細明體" w:hAnsi="新細明體" w:cs="新細明體"/>
          <w:i w:val="0"/>
        </w:rPr>
        <w:t>, 31–48. https://doi.org/10.1016/j.jbi.2017.05.011</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Schoenfeld, B. J. (2010). Squatting kinematics and kinetics and their application to exercise performance. </w:t>
      </w:r>
      <w:r>
        <w:rPr>
          <w:rFonts w:ascii="新細明體" w:eastAsia="新細明體" w:hAnsi="新細明體" w:cs="新細明體"/>
          <w:i/>
        </w:rPr>
        <w:t>Journal of Strength and Conditioning Research, 24</w:t>
      </w:r>
      <w:r>
        <w:rPr>
          <w:rFonts w:ascii="新細明體" w:eastAsia="新細明體" w:hAnsi="新細明體" w:cs="新細明體"/>
          <w:i w:val="0"/>
        </w:rPr>
        <w:t>(12), 3497–3506. https://doi.org/10.1519/JSC.0b013e3181bac2d7</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Sperandei, S., Vieira, M. C., &amp; Reis, A. C. (2016). Adherence to physical activity in an unsupervised setting: Explanatory variables for high attrition rates among fitness center members. </w:t>
      </w:r>
      <w:r>
        <w:rPr>
          <w:rFonts w:ascii="新細明體" w:eastAsia="新細明體" w:hAnsi="新細明體" w:cs="新細明體"/>
          <w:i/>
        </w:rPr>
        <w:t>Journal of Science and Medicine in Sport, 19</w:t>
      </w:r>
      <w:r>
        <w:rPr>
          <w:rFonts w:ascii="新細明體" w:eastAsia="新細明體" w:hAnsi="新細明體" w:cs="新細明體"/>
          <w:i w:val="0"/>
        </w:rPr>
        <w:t>(11), 916–920. https://doi.org/10.1016/j.jsams.2015.12.522</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Strain, T., Flaxman, S., Guthold, R., Semenova, E., Cowan, M., Riley, L. M., Bull, F. C., &amp; Stevens, G. A. (2024). National, regional, and global trends in insufficient physical activity among adults from 2000 to 2022: A pooled analysis of 507 population-based surveys with 5.7 million participants. </w:t>
      </w:r>
      <w:r>
        <w:rPr>
          <w:rFonts w:ascii="新細明體" w:eastAsia="新細明體" w:hAnsi="新細明體" w:cs="新細明體"/>
          <w:i/>
        </w:rPr>
        <w:t>The Lancet Global Health, 12</w:t>
      </w:r>
      <w:r>
        <w:rPr>
          <w:rFonts w:ascii="新細明體" w:eastAsia="新細明體" w:hAnsi="新細明體" w:cs="新細明體"/>
          <w:i w:val="0"/>
        </w:rPr>
        <w:t>(8), e1232–e1243. https://doi.org/10.1016/S2214-109X(24)00150-5</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United Nations Department of Economic and Social Affairs. (n.d.). </w:t>
      </w:r>
      <w:r>
        <w:rPr>
          <w:rFonts w:ascii="新細明體" w:eastAsia="新細明體" w:hAnsi="新細明體" w:cs="新細明體"/>
          <w:i/>
        </w:rPr>
        <w:t>Goal 3: Ensure healthy lives and promote well-being for all at all ages</w:t>
      </w:r>
      <w:r>
        <w:rPr>
          <w:rFonts w:ascii="新細明體" w:eastAsia="新細明體" w:hAnsi="新細明體" w:cs="新細明體"/>
          <w:i w:val="0"/>
        </w:rPr>
        <w:t>. Retrieved August 19, 2026, from https://sdgs.un.org/goals/goal3</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Wong, B. (2011). Points of view: Color blindness. </w:t>
      </w:r>
      <w:r>
        <w:rPr>
          <w:rFonts w:ascii="新細明體" w:eastAsia="新細明體" w:hAnsi="新細明體" w:cs="新細明體"/>
          <w:i/>
        </w:rPr>
        <w:t>Nature Methods, 8</w:t>
      </w:r>
      <w:r>
        <w:rPr>
          <w:rFonts w:ascii="新細明體" w:eastAsia="新細明體" w:hAnsi="新細明體" w:cs="新細明體"/>
          <w:i w:val="0"/>
        </w:rPr>
        <w:t>(6), 441. https://doi.org/10.1038/nmeth.1618</w:t>
      </w:r>
    </w:p>
    <w:p w14:paraId="5D228A93" w14:textId="77777777" w:rsidR="00D44DCB" w:rsidRDefault="00000000">
      <w:pPr>
        <w:spacing w:after="80" w:line="360" w:lineRule="auto"/>
        <w:ind w:left="720" w:hanging="720"/>
        <w:jc w:val="both"/>
      </w:pPr>
      <w:r>
        <w:rPr>
          <w:rFonts w:ascii="新細明體" w:eastAsia="新細明體" w:hAnsi="新細明體" w:cs="新細明體"/>
          <w:i w:val="0"/>
        </w:rPr>
        <w:t xml:space="preserve">World Health Organization. (2020). </w:t>
      </w:r>
      <w:r>
        <w:rPr>
          <w:rFonts w:ascii="新細明體" w:eastAsia="新細明體" w:hAnsi="新細明體" w:cs="新細明體"/>
          <w:i/>
        </w:rPr>
        <w:t>WHO guidelines on physical activity and sedentary behaviour</w:t>
      </w:r>
      <w:r>
        <w:rPr>
          <w:rFonts w:ascii="新細明體" w:eastAsia="新細明體" w:hAnsi="新細明體" w:cs="新細明體"/>
          <w:i w:val="0"/>
        </w:rPr>
        <w:t>. https://www.who.int/publications/i/item/9789240015128</w:t>
      </w:r>
    </w:p>
    <w:sectPr w:rsidR="00D44DCB">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22EDA" w14:textId="77777777" w:rsidR="00CC2140" w:rsidRDefault="00CC2140" w:rsidP="006B6DD8">
      <w:r>
        <w:separator/>
      </w:r>
    </w:p>
  </w:endnote>
  <w:endnote w:type="continuationSeparator" w:id="0">
    <w:p w14:paraId="3F6EB5D2" w14:textId="77777777" w:rsidR="00CC2140" w:rsidRDefault="00CC2140" w:rsidP="006B6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微軟正黑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C7161" w14:textId="77777777" w:rsidR="00CC2140" w:rsidRDefault="00CC2140" w:rsidP="006B6DD8">
      <w:r>
        <w:separator/>
      </w:r>
    </w:p>
  </w:footnote>
  <w:footnote w:type="continuationSeparator" w:id="0">
    <w:p w14:paraId="4921D4E9" w14:textId="77777777" w:rsidR="00CC2140" w:rsidRDefault="00CC2140" w:rsidP="006B6D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97E25"/>
    <w:multiLevelType w:val="hybridMultilevel"/>
    <w:tmpl w:val="6ABA0338"/>
    <w:lvl w:ilvl="0" w:tplc="D7E4C488">
      <w:start w:val="1"/>
      <w:numFmt w:val="bullet"/>
      <w:lvlText w:val="●"/>
      <w:lvlJc w:val="left"/>
      <w:pPr>
        <w:ind w:left="720" w:hanging="360"/>
      </w:pPr>
    </w:lvl>
    <w:lvl w:ilvl="1" w:tplc="29FE6D36">
      <w:start w:val="1"/>
      <w:numFmt w:val="bullet"/>
      <w:lvlText w:val="○"/>
      <w:lvlJc w:val="left"/>
      <w:pPr>
        <w:ind w:left="1440" w:hanging="360"/>
      </w:pPr>
    </w:lvl>
    <w:lvl w:ilvl="2" w:tplc="425AD062">
      <w:start w:val="1"/>
      <w:numFmt w:val="bullet"/>
      <w:lvlText w:val="■"/>
      <w:lvlJc w:val="left"/>
      <w:pPr>
        <w:ind w:left="2160" w:hanging="360"/>
      </w:pPr>
    </w:lvl>
    <w:lvl w:ilvl="3" w:tplc="F1749BCA">
      <w:start w:val="1"/>
      <w:numFmt w:val="bullet"/>
      <w:lvlText w:val="●"/>
      <w:lvlJc w:val="left"/>
      <w:pPr>
        <w:ind w:left="2880" w:hanging="360"/>
      </w:pPr>
    </w:lvl>
    <w:lvl w:ilvl="4" w:tplc="11DA183A">
      <w:start w:val="1"/>
      <w:numFmt w:val="bullet"/>
      <w:lvlText w:val="○"/>
      <w:lvlJc w:val="left"/>
      <w:pPr>
        <w:ind w:left="3600" w:hanging="360"/>
      </w:pPr>
    </w:lvl>
    <w:lvl w:ilvl="5" w:tplc="E5EAE3FE">
      <w:start w:val="1"/>
      <w:numFmt w:val="bullet"/>
      <w:lvlText w:val="■"/>
      <w:lvlJc w:val="left"/>
      <w:pPr>
        <w:ind w:left="4320" w:hanging="360"/>
      </w:pPr>
    </w:lvl>
    <w:lvl w:ilvl="6" w:tplc="3428428E">
      <w:start w:val="1"/>
      <w:numFmt w:val="bullet"/>
      <w:lvlText w:val="●"/>
      <w:lvlJc w:val="left"/>
      <w:pPr>
        <w:ind w:left="5040" w:hanging="360"/>
      </w:pPr>
    </w:lvl>
    <w:lvl w:ilvl="7" w:tplc="A8928494">
      <w:start w:val="1"/>
      <w:numFmt w:val="bullet"/>
      <w:lvlText w:val="●"/>
      <w:lvlJc w:val="left"/>
      <w:pPr>
        <w:ind w:left="5760" w:hanging="360"/>
      </w:pPr>
    </w:lvl>
    <w:lvl w:ilvl="8" w:tplc="9D2888E2">
      <w:start w:val="1"/>
      <w:numFmt w:val="bullet"/>
      <w:lvlText w:val="●"/>
      <w:lvlJc w:val="left"/>
      <w:pPr>
        <w:ind w:left="6480" w:hanging="360"/>
      </w:pPr>
    </w:lvl>
  </w:abstractNum>
  <w:num w:numId="1" w16cid:durableId="78063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DCB"/>
    <w:rsid w:val="006B6DD8"/>
    <w:rsid w:val="00C31DA9"/>
    <w:rsid w:val="00CC2140"/>
    <w:rsid w:val="00D44DC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228A88"/>
  <w15:docId w15:val="{AB5A6D94-4BD1-4069-B999-427A0C01B6BD}"/>
</w:settings>
</file>

<file path=word/styles.xml><?xml version="1.0" encoding="utf-8"?>
<w:styles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mc="http://schemas.openxmlformats.org/markup-compatibility/2006" xmlns:w="http://schemas.openxmlformats.org/wordprocessingml/2006/main" mc:Ignorable="w14 w15 w16se w16cid w16 w16cex w16sdtdh w16sdtfl w16du">
  <w:docDefaults>
    <w:rPrDefault>
      <w:rPr>
        <w:rFonts w:ascii="新細明體" w:hAnsi="新細明體" w:cs="Times New Roman" w:eastAsia="新細明體"/>
        <w:lang w:val="en-US" w:eastAsia="zh-TW"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before="0" w:after="120" w:line="360" w:lineRule="auto"/>
    </w:pPr>
    <w:rPr>
      <w:rFonts w:ascii="新細明體" w:hAnsi="新細明體" w:eastAsia="新細明體" w:cs="Times New Roman"/>
      <w:sz w:val="24"/>
      <w:szCs w:val="24"/>
    </w:rPr>
  </w:style>
  <w:style w:type="paragraph" w:styleId="1">
    <w:name w:val="heading 1"/>
    <w:uiPriority w:val="9"/>
    <w:qFormat/>
    <w:pPr>
      <w:spacing w:before="360" w:after="200" w:line="360" w:lineRule="auto"/>
      <w:outlineLvl w:val="0"/>
    </w:pPr>
    <w:rPr>
      <w:sz w:val="32"/>
      <w:szCs w:val="32"/>
      <w:rFonts w:ascii="標楷體" w:hAnsi="標楷體" w:eastAsia="標楷體" w:cs="Times New Roman"/>
    </w:rPr>
  </w:style>
  <w:style w:type="paragraph" w:styleId="2">
    <w:name w:val="heading 2"/>
    <w:uiPriority w:val="9"/>
    <w:unhideWhenUsed/>
    <w:qFormat/>
    <w:pPr>
      <w:spacing w:before="240" w:after="120" w:line="360" w:lineRule="auto"/>
      <w:outlineLvl w:val="1"/>
    </w:pPr>
    <w:rPr>
      <w:sz w:val="28"/>
      <w:szCs w:val="28"/>
      <w:rFonts w:ascii="標楷體" w:hAnsi="標楷體" w:eastAsia="標楷體" w:cs="Times New Roman"/>
    </w:rPr>
  </w:style>
  <w:style w:type="paragraph" w:styleId="3">
    <w:name w:val="heading 3"/>
    <w:uiPriority w:val="9"/>
    <w:semiHidden/>
    <w:unhideWhenUsed/>
    <w:qFormat/>
    <w:pPr>
      <w:spacing w:before="200" w:after="100" w:line="360" w:lineRule="auto"/>
      <w:outlineLvl w:val="2"/>
    </w:pPr>
    <w:rPr>
      <w:sz w:val="26"/>
      <w:szCs w:val="26"/>
      <w:rFonts w:ascii="標楷體" w:hAnsi="標楷體" w:eastAsia="標楷體" w:cs="Times New Roman"/>
    </w:rPr>
  </w:style>
  <w:style w:type="paragraph" w:styleId="4">
    <w:name w:val="heading 4"/>
    <w:uiPriority w:val="9"/>
    <w:semiHidden/>
    <w:unhideWhenUsed/>
    <w:qFormat/>
    <w:pPr>
      <w:outlineLvl w:val="3"/>
    </w:pPr>
    <w:rPr>
      <w:i/>
      <w:iCs/>
    </w:rPr>
  </w:style>
  <w:style w:type="paragraph" w:styleId="5">
    <w:name w:val="heading 5"/>
    <w:uiPriority w:val="9"/>
    <w:semiHidden/>
    <w:unhideWhenUsed/>
    <w:qFormat/>
    <w:pPr>
      <w:outlineLvl w:val="4"/>
    </w:pPr>
    <w:rPr/>
  </w:style>
  <w:style w:type="paragraph" w:styleId="6">
    <w:name w:val="heading 6"/>
    <w:uiPriority w:val="9"/>
    <w:semiHidden/>
    <w:unhideWhenUsed/>
    <w:qFormat/>
    <w:pPr>
      <w:outlineLvl w:val="5"/>
    </w:pP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rPr/>
  </w:style>
  <w:style w:type="character" w:styleId="a5">
    <w:name w:val="Hyperlink"/>
    <w:uiPriority w:val="99"/>
    <w:unhideWhenUsed/>
    <w:rPr>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6B6DD8"/>
    <w:pPr>
      <w:tabs>
        <w:tab w:val="center" w:pos="4153"/>
        <w:tab w:val="right" w:pos="8306"/>
      </w:tabs>
      <w:snapToGrid w:val="0"/>
    </w:pPr>
  </w:style>
  <w:style w:type="character" w:customStyle="1" w:styleId="ad">
    <w:name w:val="頁首 字元"/>
    <w:basedOn w:val="a0"/>
    <w:link w:val="ac"/>
    <w:uiPriority w:val="99"/>
    <w:rsid w:val="006B6DD8"/>
  </w:style>
  <w:style w:type="paragraph" w:styleId="ae">
    <w:name w:val="footer"/>
    <w:basedOn w:val="a"/>
    <w:link w:val="af"/>
    <w:uiPriority w:val="99"/>
    <w:unhideWhenUsed/>
    <w:rsid w:val="006B6DD8"/>
    <w:pPr>
      <w:tabs>
        <w:tab w:val="center" w:pos="4153"/>
        <w:tab w:val="right" w:pos="8306"/>
      </w:tabs>
      <w:snapToGrid w:val="0"/>
    </w:pPr>
  </w:style>
  <w:style w:type="character" w:customStyle="1" w:styleId="af">
    <w:name w:val="頁尾 字元"/>
    <w:basedOn w:val="a0"/>
    <w:link w:val="ae"/>
    <w:uiPriority w:val="99"/>
    <w:rsid w:val="006B6D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2561</Words>
  <Characters>14599</Characters>
  <Application>Microsoft Office Word</Application>
  <DocSecurity>0</DocSecurity>
  <Lines>121</Lines>
  <Paragraphs>34</Paragraphs>
  <ScaleCrop>false</ScaleCrop>
  <Company/>
  <LinksUpToDate>false</LinksUpToDate>
  <CharactersWithSpaces>17126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Liu</cp:lastModifiedBy>
  <cp:revision>2</cp:revision>
  <dcterms:created xsi:type="dcterms:W3CDTF">2026-08-21T18:50:00Z</dcterms:created>
  <dcterms:modified xsi:type="dcterms:W3CDTF">2026-08-23T04:06:00Z</dcterms:modified>
</cp:coreProperties>
</file>