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228A88" w14:textId="77777777" w:rsidR="00D44DCB" w:rsidRDefault="00000000">
      <w:pPr>
        <w:spacing w:after="200" w:line="360" w:lineRule="auto"/>
        <w:jc w:val="center"/>
      </w:pPr>
      <w:r>
        <w:rPr>
          <w:rFonts w:ascii="標楷體" w:eastAsia="標楷體" w:hAnsi="標楷體" w:cs="標楷體"/>
          <w:b/>
          <w:bCs/>
          <w:sz w:val="32"/>
          <w:szCs w:val="32"/>
        </w:rPr>
        <w:t>二、作品動機（Why）</w:t>
      </w:r>
    </w:p>
    <w:p w14:paraId="5D228A89" w14:textId="77777777" w:rsidR="00D44DCB" w:rsidRDefault="00000000">
      <w:pPr>
        <w:pStyle w:val="2"/>
        <w:spacing w:before="240" w:after="160" w:line="360" w:lineRule="auto"/>
      </w:pPr>
      <w:r>
        <w:rPr>
          <w:rFonts w:ascii="標楷體" w:eastAsia="標楷體" w:hAnsi="標楷體" w:cs="標楷體"/>
          <w:b/>
          <w:bCs/>
        </w:rPr>
        <w:t>（一）背景</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世界衛生組織建議成人每週應累積 150 至 300 分鐘中等強度有氧活動，並每週至少兩天從事肌力訓練（World Health Organization, 2020），然而 2022 年全球仍有 31.3% 的成人未達建議量，且推估 2030 年將升至約 35%（Strain et al., 2024）。疫情期間居家健身房與線上訓練一度躍居趨勢前段，隨後隨防疫措施鬆綁而明顯回落——以美國為例，居家健身房自 2022 年的第 2 名降至 2023 年的第 13 名，線上直播與隨選運動由第 7 名降至第 21 名，行動運動應用程式由第 12 名降至第 19 名，該調查並指出線上導向趨勢與數位服務在歐洲與美國同步下滑（Kercher et al., 2023）。這正說明居家運動短缺的並非內容或器材，而是隨之而來的專業指導——國內研究亦指出，大學體育課的健身課程通常由一名教師帶領多名學生，逐一給予即時而個別化的回饋在現場難以落實（林暐庭等人，2025）。同一時期，姿勢估計技術已可在一般裝置端即時輸出 33 個全身關鍵點（Bazarevsky et al., 2020; Lugaresi et al., 2019），並經多項研究驗證可用於健身姿勢矯正與訓練進度規劃（Dedhia et al., 2023; Kwon &amp; Kim, 2022）。本作品即建立在此一「需求擴大、指導稀缺、技術已成熟」的落差之上，並直接對應聯合國永續發展目標第三項「良好健康與福祉」（United Nations Department of Economic and Social Affairs, n.d.）。就國內情形而言，依教育部體育署 113 年運動現況調查，我國規律運動人口比例為 35.3%（定義為每週三次以上、每次三十分鐘以上且運動時會喘會流汗）；未運動者的主要原因依序為「因工作沒有時間」（24.0%）、「懶得運動」（22.2%）與「工作太累」（21.1%），三者合計約六成七。其中「沒有時間」與「工作太累」合計 45.1%，均與必須外出、必須到場、必須另行安排時段高度相關；而在家運動已占最常運動地點的 18.3%。居家運動工具的品質，因此直接影響這近兩成人口的訓練成效（教育部體育署，2024）。</w:t>
      </w:r>
    </w:p>
    <w:p w14:paraId="5D228A8B" w14:textId="77777777" w:rsidR="00D44DCB" w:rsidRDefault="00000000">
      <w:pPr>
        <w:pStyle w:val="2"/>
        <w:spacing w:before="240" w:after="160" w:line="360" w:lineRule="auto"/>
      </w:pPr>
      <w:r>
        <w:rPr>
          <w:rFonts w:ascii="標楷體" w:eastAsia="標楷體" w:hAnsi="標楷體" w:cs="標楷體"/>
          <w:b/>
          <w:bCs/>
        </w:rPr>
        <w:t>（二）痛點</w:t>
      </w:r>
    </w:p>
    <w:p w14:paraId="5D228A8C" w14:textId="77777777" w:rsidR="00D44DCB" w:rsidRDefault="00000000">
      <w:pPr>
        <w:spacing w:after="120" w:line="360" w:lineRule="auto"/>
        <w:ind w:firstLine="480"/>
        <w:jc w:val="both"/>
      </w:pPr>
      <w:r>
        <w:rPr>
          <w:rFonts w:ascii="新細明體" w:eastAsia="新細明體" w:hAnsi="新細明體" w:cs="新細明體"/>
          <w:sz w:val="24"/>
          <w:szCs w:val="24"/>
        </w:rPr>
        <w:t xml:space="preserve">第一，居家運動不缺內容，缺的是當下把關。使用者真正需要的是訓練過程中可立即執行的修正建議，而非事後統計（Jaiswal et al., 2023）。第二，現有應用程式多半只計次、不判品質：排名前列之身體活動類應用程式所納入的行為改變技術數量偏少且集中於少數幾類（Conroy et al., 2014; Direito et al., 2014）。第三，錯誤動作會在無人糾正下累積成傷害——美國 1990 至 2007 年間重量訓練相關急診就診累計達 970,801 件且逐年上升（Kerr et al., 2010），而軀幹前傾、膝內夾與深度不足等技術缺陷已被明確列為需辨識與矯正的項目（Myer et al., 2014）。第四，動機難以維持：無監督情境下健身中心會員流失率極高且集中於參與初期（Sperandei et al., 2016），而行為自動化所需時間中位數約為 66 天（Lally et al., 2010）；使用者最容易放棄的階段，正好落在習慣</w:t>
        <w:lastRenderedPageBreak/>
        <w:t>尚未成形的階段。</w:t>
      </w:r>
    </w:p>
    <w:p w14:paraId="5D228A8D" w14:textId="77777777" w:rsidR="00D44DCB" w:rsidRDefault="00000000">
      <w:pPr>
        <w:pStyle w:val="2"/>
        <w:spacing w:before="240" w:after="160" w:line="360" w:lineRule="auto"/>
      </w:pPr>
      <w:r>
        <w:rPr>
          <w:rFonts w:ascii="標楷體" w:eastAsia="標楷體" w:hAnsi="標楷體" w:cs="標楷體"/>
          <w:b/>
          <w:bCs/>
        </w:rPr>
        <w:t>（三）解決的問題方式</w:t>
      </w:r>
    </w:p>
    <w:p w14:paraId="5D228A8E" w14:textId="77777777" w:rsidR="00D44DCB" w:rsidRDefault="00000000">
      <w:pPr>
        <w:spacing w:after="120" w:line="360" w:lineRule="auto"/>
        <w:ind w:firstLine="480"/>
        <w:jc w:val="both"/>
      </w:pPr>
      <w:r>
        <w:rPr>
          <w:rFonts w:ascii="新細明體" w:eastAsia="新細明體" w:hAnsi="新細明體" w:cs="新細明體"/>
          <w:sz w:val="24"/>
          <w:szCs w:val="24"/>
        </w:rPr>
        <w:t>本作品的核心主張是「不是計次，而是品質確認」：一次有效次數須同時滿足完整動作週期、標準深度與無顯著代償，且唯有有效次數能換取遊戲資源。對使用者而言，這個差別在訓練當下就看得到。深蹲蹲到一半起身，畫面上的腿部立刻轉為黃色，語音同步提示「再往下蹲，讓髖部低於膝蓋」；若改以彎腰代替下蹲，軀幹轉紅並提示「背部打直，用臀部往後坐」。結算時，這些動作不會計入有效次數，也換不到任何金幣。相較於僅能輸出通過與否的黑盒分類，可解釋的規則式判定能明確指出具體修正方向，直接回應使用者對可執行建議的需求（Jaiswal et al., 2023）。回饋設計以分段三色骨架與三級語音，落實行為改變技術中實證支持最強的「自我監控」與「行為回饋」——涵蓋 122 項評估的 meta 迴歸顯示，自我監控可解釋研究間最大比例的效果異質性，且與其他源自控制理論的技術併用時效果顯著較高（0.42 對 0.26）（Michie et al., 2009）。全部推論於使用者的瀏覽器內完成，原始影像不上傳、不儲存、不進入任何資料庫（Bazarevsky et al., 2020）；使用者無須以影像換取服務，亦不需安裝任何應用程式。判定門檻的來源分級、驗證方式與各項技術規格，詳見第三章與第四章。</w:t>
      </w:r>
    </w:p>
    <w:p w14:paraId="5D228A8F" w14:textId="77777777" w:rsidR="00D44DCB" w:rsidRDefault="00000000">
      <w:pPr>
        <w:pStyle w:val="2"/>
        <w:spacing w:before="240" w:after="160" w:line="360" w:lineRule="auto"/>
      </w:pPr>
      <w:r>
        <w:rPr>
          <w:rFonts w:ascii="標楷體" w:eastAsia="標楷體" w:hAnsi="標楷體" w:cs="標楷體"/>
          <w:b/>
          <w:bCs/>
        </w:rPr>
        <w:t>（四）特色點</w:t>
      </w:r>
    </w:p>
    <w:p w14:paraId="5D228A90" w14:textId="77777777" w:rsidR="00D44DCB" w:rsidRDefault="00000000">
      <w:pPr>
        <w:spacing w:after="120" w:line="360" w:lineRule="auto"/>
        <w:ind w:firstLine="480"/>
        <w:jc w:val="both"/>
      </w:pPr>
      <w:r>
        <w:rPr>
          <w:rFonts w:ascii="新細明體" w:eastAsia="新細明體" w:hAnsi="新細明體" w:cs="新細明體"/>
          <w:sz w:val="24"/>
          <w:szCs w:val="24"/>
        </w:rPr>
        <w:t>第一，獎勵綁定品質而非數量：基礎獎勵由有效次數產生、加成依姿勢達標率給予，錯誤次數不換取任何獎勵，使遊戲誘因與「把動作做對」完全同向，呼應目標設定理論中具體目標優於「盡力而為」的結論（Locke &amp; Latham, 2002）。第二，島嶼建設把抽象數據轉為可見的成長軌跡：使用者是自己島嶼的建築師，訓練成果轉換為可累積、可自由規劃的建設進度，藉此滿足自我決定理論所指的勝任感與自主性（Ryan &amp; Deci, 2000），此類進度視覺化與成就機制對健康行為參與的正面效果亦有系統性回顧支持（Johnson et al., 2016）。第三，金幣採兩層經濟——先於商店選購建材，再進行建造與升級——使「蓋起一棟房子」成為需要規劃與累積的具體目標，而非一次點擊即完成的消費（Locke &amp; Latham, 2002）。第四，連續訓練天數獎勵密集配置於前期，正對準習慣尚未成形而流失率最高的關鍵期（Lally et al., 2010; Sperandei et al., 2016）。第五，設每日任務、週目標與獎勵上限，避免使用者為刷金幣而過度運動，使訓練量維持在世界衛生組織建議的區間內（World Health Organization, 2020）；因為遊戲化的成效取決於機制是否與健康目標對齊，而非加上點數即必然有效（Hamari et al., 2014; Sardi et al., 2017）。第六，金幣的增加僅能透過訓練結算此一函式入口，系統對外提供之介面不含任何加值方法，使獎勵無法以偽造動作換取。獎勵一旦與運動資料綁定，使用者便存在造假誘因：實驗顯示受試者可刻意誘導手機活動辨識器將靜坐判定為行走，僅以正常活動資料訓練的分類器對此類造假僅約 38% 的辨識率，需納入造假樣本重新訓練後方提升至約 84%（Saeb et al., 2015）；在以點數或獎勵驅動的遠距健康監測系統中，防止使用者以搖晃裝置或請他人代持等方式虛增獎勵，已被視為必須處理的設計課題（Alshurafa et al., 2014）。</w:t>
      </w:r>
    </w:p>
    <w:p w14:paraId="5D228A91" w14:textId="77777777" w:rsidR="00D44DCB" w:rsidRDefault="00D44DCB"/>
    <w:p w14:paraId="5D228A88" w14:textId="77777777" w:rsidR="00D44DCB" w:rsidRDefault="00000000">
      <w:pPr>
        <w:spacing w:after="200" w:line="360" w:lineRule="auto"/>
        <w:jc w:val="center"/>
      </w:pPr>
      <w:r>
        <w:rPr>
          <w:rFonts w:ascii="標楷體" w:eastAsia="標楷體" w:hAnsi="標楷體" w:cs="標楷體"/>
          <w:b/>
          <w:bCs/>
          <w:sz w:val="32"/>
          <w:szCs w:val="32"/>
        </w:rPr>
        <w:t>三、執行計劃（How）</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（一）技術架構</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本作品採「裝置端 AI 感知 ＋ 可解釋規則判定」之混合架構，全流程於瀏覽器內執行，不需伺服器亦不上傳任何影像。</w:t>
      </w:r>
    </w:p>
    <w:p w14:paraId="5D228ABB" w14:textId="77777777" w:rsidR="00D44DCB" w:rsidRDefault="00000000">
      <w:pPr>
        <w:pStyle w:val="2"/>
        <w:spacing w:before="240" w:after="160" w:line="360" w:lineRule="auto"/>
      </w:pPr>
      <w:r>
        <w:rPr>
          <w:rFonts w:ascii="標楷體" w:eastAsia="標楷體" w:hAnsi="標楷體" w:cs="標楷體"/>
          <w:b/>
          <w:bCs/>
        </w:rPr>
        <w:t>1. 兩層結構</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感知層以 MediaPipe Pose Landmarker 取得單人 33 個人體關鍵點座標，該模型可於行動裝置即時執行且不需連網（Bazarevsky et al., 2020；Lugaresi et al., 2019）。判定層則由本團隊自行建構：將關鍵點向量化後計算關節夾角與相對高度，再以幾何條件判斷動作是否完成完整週期、是否達到標準深度、是否出現代償姿勢。</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此架構的設計取捨在於輸出內容。端到端深度學習模型僅能輸出品質分數，無法指出錯誤所在；規則式判定則可直接對應到具體關節與幾何條件，使系統得以回覆「軀幹前傾過度」或「動作未達標準深度」等可執行的修正指引。使用者於訓練當下需要的是可立即執行的修正建議，而非事後統計（Jaiswal et al., 2023）。</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界線說明｜感知層使用 Google 釋出之預訓練權重，本團隊未進行訓練或微調，其準確率繼承自原模型，本團隊未獨立驗證其在低角度居家鏡頭條件下的表現。判定層不含機器學習成分，故不存在訓練資料集。</w:t>
      </w:r>
    </w:p>
    <w:p w14:paraId="5D228ABF" w14:textId="77777777" w:rsidR="00D44DCB" w:rsidRDefault="00000000">
      <w:pPr>
        <w:spacing w:after="120" w:line="360" w:lineRule="auto"/>
        <w:jc w:val="center"/>
      </w:pPr>
      <w:r>
        <w:drawing>
          <wp:inline xmlns:a="http://schemas.openxmlformats.org/drawingml/2006/main" xmlns:pic="http://schemas.openxmlformats.org/drawingml/2006/picture">
            <wp:extent cx="5580000" cy="4153862"/>
            <wp:docPr id="1" name="Picture 1"/>
            <wp:cNvGraphicFramePr>
              <a:graphicFrameLocks noChangeAspect="1"/>
            </wp:cNvGraphicFramePr>
            <a:graphic>
              <a:graphicData uri="http://schemas.openxmlformats.org/drawingml/2006/picture">
                <pic:pic>
                  <pic:nvPicPr>
                    <pic:cNvPr id="0" name="fig1_arch.png"/>
                    <pic:cNvPicPr/>
                  </pic:nvPicPr>
                  <pic:blipFill>
                    <a:blip r:embed="rId9"/>
                    <a:stretch>
                      <a:fillRect/>
                    </a:stretch>
                  </pic:blipFill>
                  <pic:spPr>
                    <a:xfrm>
                      <a:off x="0" y="0"/>
                      <a:ext cx="5580000" cy="4153862"/>
                    </a:xfrm>
                    <a:prstGeom prst="rect"/>
                  </pic:spPr>
                </pic:pic>
              </a:graphicData>
            </a:graphic>
          </wp:inline>
        </w:drawing>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圖 3-1　系統架構：裝置端 AI 感知 ＋ 可解釋規則判定</w:t>
      </w:r>
    </w:p>
    <w:p w14:paraId="5D228ABB" w14:textId="77777777" w:rsidR="00D44DCB" w:rsidRDefault="00000000">
      <w:pPr>
        <w:pStyle w:val="2"/>
        <w:spacing w:before="240" w:after="160" w:line="360" w:lineRule="auto"/>
      </w:pPr>
      <w:r>
        <w:rPr>
          <w:rFonts w:ascii="標楷體" w:eastAsia="標楷體" w:hAnsi="標楷體" w:cs="標楷體"/>
          <w:b/>
          <w:bCs/>
        </w:rPr>
        <w:t>2. 資料流</w:t>
      </w:r>
    </w:p>
    <w:p w14:paraId="5D228ABF" w14:textId="77777777" w:rsidR="00D44DCB" w:rsidRDefault="00000000">
      <w:pPr>
        <w:spacing w:after="120" w:line="360" w:lineRule="auto"/>
        <w:jc w:val="center"/>
      </w:pPr>
      <w:r>
        <w:drawing>
          <wp:inline xmlns:a="http://schemas.openxmlformats.org/drawingml/2006/main" xmlns:pic="http://schemas.openxmlformats.org/drawingml/2006/picture">
            <wp:extent cx="5580000" cy="4534516"/>
            <wp:docPr id="2" name="Picture 2"/>
            <wp:cNvGraphicFramePr>
              <a:graphicFrameLocks noChangeAspect="1"/>
            </wp:cNvGraphicFramePr>
            <a:graphic>
              <a:graphicData uri="http://schemas.openxmlformats.org/drawingml/2006/picture">
                <pic:pic>
                  <pic:nvPicPr>
                    <pic:cNvPr id="0" name="fig2_flow.png"/>
                    <pic:cNvPicPr/>
                  </pic:nvPicPr>
                  <pic:blipFill>
                    <a:blip r:embed="rId10"/>
                    <a:stretch>
                      <a:fillRect/>
                    </a:stretch>
                  </pic:blipFill>
                  <pic:spPr>
                    <a:xfrm>
                      <a:off x="0" y="0"/>
                      <a:ext cx="5580000" cy="4534516"/>
                    </a:xfrm>
                    <a:prstGeom prst="rect"/>
                  </pic:spPr>
                </pic:pic>
              </a:graphicData>
            </a:graphic>
          </wp:inline>
        </w:drawing>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圖 3-2　資料流：從鏡頭影像到訓練結算的八個處理階段</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訊號平滑採 One-Euro Filter，該演算法在低延遲前提下抑制輸入抖動，適用於即時互動系統（Casiez et al., 2012）。體型正規化以肩寬、髖寬、軀幹長與腿長為基準，使判定門檻不因使用者身高或鏡頭遠近而改變。</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界線說明｜判定僅使用二維投影座標，不使用深度資訊。單鏡頭之深度估計在居家環境下不可靠，故各動作訂有建議機位，偏離機位將影響判定精度。</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（二）動作判定依據的三級溯源制度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本作品對判定門檻建立分級規範：每一項門檻均須標明其知識來源等級，工程校準值不得以文獻結論之形式呈現。</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3-1　判定門檻之知識來源分級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等級</w:t>
            </w:r>
          </w:p>
        </w:tc>
        <w:tc>
          <w:tcPr>
            <w:tcW w:w="1600" w:type="dxa"/>
            <w:shd w:val="clear" w:color="auto" w:fill="D9E2F3"/>
            <w:tcMar>
              <w:top w:w="40" w:type="dxa"/>
              <w:left w:w="80" w:type="dxa"/>
              <w:bottom w:w="40" w:type="dxa"/>
              <w:right w:w="80" w:type="dxa"/>
            </w:tcMar>
          </w:tcPr>
          <w:p>
            <w:r>
              <w:t>定義</w:t>
            </w:r>
          </w:p>
        </w:tc>
        <w:tc>
          <w:tcPr>
            <w:tcW w:w="3600" w:type="dxa"/>
            <w:shd w:val="clear" w:color="auto" w:fill="D9E2F3"/>
            <w:tcMar>
              <w:top w:w="40" w:type="dxa"/>
              <w:left w:w="80" w:type="dxa"/>
              <w:bottom w:w="40" w:type="dxa"/>
              <w:right w:w="80" w:type="dxa"/>
            </w:tcMar>
          </w:tcPr>
          <w:p>
            <w:r>
              <w:t>撰寫規範</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I 類</w:t>
            </w:r>
          </w:p>
        </w:tc>
        <w:tc>
          <w:tcPr>
            <w:tcW w:w="1600" w:type="dxa"/>
            <w:shd w:val="clear" w:color="auto" w:fill="D9E2F3"/>
            <w:tcMar>
              <w:top w:w="40" w:type="dxa"/>
              <w:left w:w="80" w:type="dxa"/>
              <w:bottom w:w="40" w:type="dxa"/>
              <w:right w:w="80" w:type="dxa"/>
            </w:tcMar>
          </w:tcPr>
          <w:p>
            <w:r>
              <w:t>對應該運動領域公認標準</w:t>
            </w:r>
          </w:p>
        </w:tc>
        <w:tc>
          <w:tcPr>
            <w:tcW w:w="3600" w:type="dxa"/>
            <w:shd w:val="clear" w:color="auto" w:fill="D9E2F3"/>
            <w:tcMar>
              <w:top w:w="40" w:type="dxa"/>
              <w:left w:w="80" w:type="dxa"/>
              <w:bottom w:w="40" w:type="dxa"/>
              <w:right w:w="80" w:type="dxa"/>
            </w:tcMar>
          </w:tcPr>
          <w:p>
            <w:r>
              <w:t>引用標準，並記錄本系統取值與標準之對應關係</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II 類</w:t>
            </w:r>
          </w:p>
        </w:tc>
        <w:tc>
          <w:tcPr>
            <w:tcW w:w="1600" w:type="dxa"/>
            <w:shd w:val="clear" w:color="auto" w:fill="D9E2F3"/>
            <w:tcMar>
              <w:top w:w="40" w:type="dxa"/>
              <w:left w:w="80" w:type="dxa"/>
              <w:bottom w:w="40" w:type="dxa"/>
              <w:right w:w="80" w:type="dxa"/>
            </w:tcMar>
          </w:tcPr>
          <w:p>
            <w:r>
              <w:t>領域通行之教練慣例；未查得規範該項幾何門檻之成文標準</w:t>
            </w:r>
          </w:p>
        </w:tc>
        <w:tc>
          <w:tcPr>
            <w:tcW w:w="3600" w:type="dxa"/>
            <w:shd w:val="clear" w:color="auto" w:fill="D9E2F3"/>
            <w:tcMar>
              <w:top w:w="40" w:type="dxa"/>
              <w:left w:w="80" w:type="dxa"/>
              <w:bottom w:w="40" w:type="dxa"/>
              <w:right w:w="80" w:type="dxa"/>
            </w:tcMar>
          </w:tcPr>
          <w:p>
            <w:r>
              <w:t>標明為慣例並敘明查證範圍，不以文獻形式引用</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III 類</w:t>
            </w:r>
          </w:p>
        </w:tc>
        <w:tc>
          <w:tcPr>
            <w:tcW w:w="1600" w:type="dxa"/>
            <w:shd w:val="clear" w:color="auto" w:fill="D9E2F3"/>
            <w:tcMar>
              <w:top w:w="40" w:type="dxa"/>
              <w:left w:w="80" w:type="dxa"/>
              <w:bottom w:w="40" w:type="dxa"/>
              <w:right w:w="80" w:type="dxa"/>
            </w:tcMar>
          </w:tcPr>
          <w:p>
            <w:r>
              <w:t>純工程參數，與運動標準無關</w:t>
            </w:r>
          </w:p>
        </w:tc>
        <w:tc>
          <w:tcPr>
            <w:tcW w:w="3600" w:type="dxa"/>
            <w:shd w:val="clear" w:color="auto" w:fill="D9E2F3"/>
            <w:tcMar>
              <w:top w:w="40" w:type="dxa"/>
              <w:left w:w="80" w:type="dxa"/>
              <w:bottom w:w="40" w:type="dxa"/>
              <w:right w:w="80" w:type="dxa"/>
            </w:tcMar>
          </w:tcPr>
          <w:p>
            <w:r>
              <w:t>標明為實測校準，附邊界值</w:t>
            </w:r>
          </w:p>
        </w:tc>
      </w:tr>
    </w:tbl>
    <w:p w14:paraId="5D228ABB" w14:textId="77777777" w:rsidR="00D44DCB" w:rsidRDefault="00000000">
      <w:pPr>
        <w:pStyle w:val="2"/>
        <w:spacing w:before="240" w:after="160" w:line="360" w:lineRule="auto"/>
      </w:pPr>
      <w:r>
        <w:rPr>
          <w:rFonts w:ascii="標楷體" w:eastAsia="標楷體" w:hAnsi="標楷體" w:cs="標楷體"/>
          <w:b/>
          <w:bCs/>
        </w:rPr>
        <w:t>1. 各動作門檻之知識來源</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3-2　各動作判定門檻之知識來源</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w:t>
            </w:r>
          </w:p>
        </w:tc>
        <w:tc>
          <w:tcPr>
            <w:tcW w:w="1600" w:type="dxa"/>
            <w:shd w:val="clear" w:color="auto" w:fill="D9E2F3"/>
            <w:tcMar>
              <w:top w:w="40" w:type="dxa"/>
              <w:left w:w="80" w:type="dxa"/>
              <w:bottom w:w="40" w:type="dxa"/>
              <w:right w:w="80" w:type="dxa"/>
            </w:tcMar>
          </w:tcPr>
          <w:p>
            <w:r>
              <w:t>領域依據</w:t>
            </w:r>
          </w:p>
        </w:tc>
        <w:tc>
          <w:tcPr>
            <w:tcW w:w="3600" w:type="dxa"/>
            <w:shd w:val="clear" w:color="auto" w:fill="D9E2F3"/>
            <w:tcMar>
              <w:top w:w="40" w:type="dxa"/>
              <w:left w:w="80" w:type="dxa"/>
              <w:bottom w:w="40" w:type="dxa"/>
              <w:right w:w="80" w:type="dxa"/>
            </w:tcMar>
          </w:tcPr>
          <w:p>
            <w:r>
              <w:t>等級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深蹲深度</w:t>
            </w:r>
          </w:p>
        </w:tc>
        <w:tc>
          <w:tcPr>
            <w:tcW w:w="1600" w:type="dxa"/>
            <w:shd w:val="clear" w:color="auto" w:fill="D9E2F3"/>
            <w:tcMar>
              <w:top w:w="40" w:type="dxa"/>
              <w:left w:w="80" w:type="dxa"/>
              <w:bottom w:w="40" w:type="dxa"/>
              <w:right w:w="80" w:type="dxa"/>
            </w:tcMar>
          </w:tcPr>
          <w:p>
            <w:r>
              <w:t>以平行蹲為目標深度，實際判定門檻略淺於平行（詳下節校準說明）。Escamilla（2001）就動態深蹲之膝關節生物力學指出，對膝關節健康之運動者建議採平行蹲而非深蹲，因更大屈膝角度下半月板與交叉／側副韌帶之受傷風險可能較高；Schoenfeld（2010）亦以 partial／parallel／full 之深度分類比較各深度的力學負荷與肌肉活化</w:t>
            </w:r>
          </w:p>
        </w:tc>
        <w:tc>
          <w:tcPr>
            <w:tcW w:w="3600" w:type="dxa"/>
            <w:shd w:val="clear" w:color="auto" w:fill="D9E2F3"/>
            <w:tcMar>
              <w:top w:w="40" w:type="dxa"/>
              <w:left w:w="80" w:type="dxa"/>
              <w:bottom w:w="40" w:type="dxa"/>
              <w:right w:w="80" w:type="dxa"/>
            </w:tcMar>
          </w:tcPr>
          <w:p>
            <w:r>
              <w:t>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伏地挺身深度</w:t>
            </w:r>
          </w:p>
        </w:tc>
        <w:tc>
          <w:tcPr>
            <w:tcW w:w="1600" w:type="dxa"/>
            <w:shd w:val="clear" w:color="auto" w:fill="D9E2F3"/>
            <w:tcMar>
              <w:top w:w="40" w:type="dxa"/>
              <w:left w:w="80" w:type="dxa"/>
              <w:bottom w:w="40" w:type="dxa"/>
              <w:right w:w="80" w:type="dxa"/>
            </w:tcMar>
          </w:tcPr>
          <w:p>
            <w:r>
              <w:t>肘關節屈曲至約 90 度（上臂與地面平行），為體適能檢測之通行判準（FitnessGram® 90° push-up、President's Challenge right angle push-up、ACSM／YMCA 肌耐力檢測）</w:t>
            </w:r>
          </w:p>
        </w:tc>
        <w:tc>
          <w:tcPr>
            <w:tcW w:w="3600" w:type="dxa"/>
            <w:shd w:val="clear" w:color="auto" w:fill="D9E2F3"/>
            <w:tcMar>
              <w:top w:w="40" w:type="dxa"/>
              <w:left w:w="80" w:type="dxa"/>
              <w:bottom w:w="40" w:type="dxa"/>
              <w:right w:w="80" w:type="dxa"/>
            </w:tcMar>
          </w:tcPr>
          <w:p>
            <w:r>
              <w:t>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高抬腿膝高</w:t>
            </w:r>
          </w:p>
        </w:tc>
        <w:tc>
          <w:tcPr>
            <w:tcW w:w="1600" w:type="dxa"/>
            <w:shd w:val="clear" w:color="auto" w:fill="D9E2F3"/>
            <w:tcMar>
              <w:top w:w="40" w:type="dxa"/>
              <w:left w:w="80" w:type="dxa"/>
              <w:bottom w:w="40" w:type="dxa"/>
              <w:right w:w="80" w:type="dxa"/>
            </w:tcMar>
          </w:tcPr>
          <w:p>
            <w:r>
              <w:t>膝抬至髖高（通行教學描述為大腿與地面平行）；此描述廣見於教練與體適能教學材料，惟未查得將其定為檢測標準之正式文件</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開合跳幅度</w:t>
            </w:r>
          </w:p>
        </w:tc>
        <w:tc>
          <w:tcPr>
            <w:tcW w:w="1600" w:type="dxa"/>
            <w:shd w:val="clear" w:color="auto" w:fill="D9E2F3"/>
            <w:tcMar>
              <w:top w:w="40" w:type="dxa"/>
              <w:left w:w="80" w:type="dxa"/>
              <w:bottom w:w="40" w:type="dxa"/>
              <w:right w:w="80" w:type="dxa"/>
            </w:tcMar>
          </w:tcPr>
          <w:p>
            <w:r>
              <w:t>手過肩、腳距超過肩寬。通行教學描述多要求雙手於頭頂相碰，本系統門檻設為手腕高於肩，較通行描述寬鬆，係為吸收低角度鏡頭之視角畸變（校準理由同深蹲，詳下節）</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軀幹前傾阻擋</w:t>
            </w:r>
          </w:p>
        </w:tc>
        <w:tc>
          <w:tcPr>
            <w:tcW w:w="1600" w:type="dxa"/>
            <w:shd w:val="clear" w:color="auto" w:fill="D9E2F3"/>
            <w:tcMar>
              <w:top w:w="40" w:type="dxa"/>
              <w:left w:w="80" w:type="dxa"/>
              <w:bottom w:w="40" w:type="dxa"/>
              <w:right w:w="80" w:type="dxa"/>
            </w:tcMar>
          </w:tcPr>
          <w:p>
            <w:r>
              <w:t>用於區分自然前傾與彎腰代償之工程門檻，其取值係由實測校準而得，非引自任何運動標準</w:t>
            </w:r>
          </w:p>
        </w:tc>
        <w:tc>
          <w:tcPr>
            <w:tcW w:w="3600" w:type="dxa"/>
            <w:shd w:val="clear" w:color="auto" w:fill="D9E2F3"/>
            <w:tcMar>
              <w:top w:w="40" w:type="dxa"/>
              <w:left w:w="80" w:type="dxa"/>
              <w:bottom w:w="40" w:type="dxa"/>
              <w:right w:w="80" w:type="dxa"/>
            </w:tcMar>
          </w:tcPr>
          <w:p>
            <w:r>
              <w:t>III</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採平行蹲而非更深深度作為目標，係依據上述文獻之建議，而非為降低判定難度所作之妥協。</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本系統之實際判定門檻略淺於平行蹲（達標時髖仍略高於膝），此為居家鏡頭條件下之校準結果，理由見下節。目標深度與實際門檻之差距不予隱藏：文件中同時列出領域標準值、本系統實際值與校準理由，使該取捨可被檢驗。</w:t>
      </w:r>
    </w:p>
    <w:p w14:paraId="5D228ABB" w14:textId="77777777" w:rsidR="00D44DCB" w:rsidRDefault="00000000">
      <w:pPr>
        <w:pStyle w:val="2"/>
        <w:spacing w:before="240" w:after="160" w:line="360" w:lineRule="auto"/>
      </w:pPr>
      <w:r>
        <w:rPr>
          <w:rFonts w:ascii="標楷體" w:eastAsia="標楷體" w:hAnsi="標楷體" w:cs="標楷體"/>
          <w:b/>
          <w:bCs/>
        </w:rPr>
        <w:t>2. 居家場景之門檻校準</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實驗室之理想機位與居家筆電鏡頭屬不同條件：低角度仰拍造成視角畸變，側面拍攝則有肢體遮擋。若逕行套用實驗室標準，將產生大量誤拒，使用者動作正確卻不被計次，反而損害系統可信度。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之門檻因此經居家場景校準，並完整記錄每一項校準值所對應的領域標準與校準理由。以深蹲為例：目標深度為平行蹲（髖與膝約略同高），實際達標門檻則容許髖略高於膝，其差距係為吸收低角度仰拍所致之視角畸變。</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此類校準值屬工程判斷，其適切性須以真人樣本驗證後方能確認；在驗證完成前，本作品不宣稱該門檻已達最適設定。</w:t>
      </w:r>
    </w:p>
    <w:p w14:paraId="5D228ABB" w14:textId="77777777" w:rsidR="00D44DCB" w:rsidRDefault="00000000">
      <w:pPr>
        <w:pStyle w:val="2"/>
        <w:spacing w:before="240" w:after="160" w:line="360" w:lineRule="auto"/>
      </w:pPr>
      <w:r>
        <w:rPr>
          <w:rFonts w:ascii="標楷體" w:eastAsia="標楷體" w:hAnsi="標楷體" w:cs="標楷體"/>
          <w:b/>
          <w:bCs/>
        </w:rPr>
        <w:t>3. 標準卡制度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每項動作建立一份標準卡，內容包含：關鍵關節與判定角度、達標容許區間、常見錯誤及其幾何特徵、知識來源等級。標準卡為動作擴充之最小單位——新增動作即新增一張標準卡，不需更動判定引擎，使動作庫之擴充工作得以分割並行。</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（三）驗證計畫</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本作品建立三階段驗證架構，各階段之外部性逐級提高。</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3-3　三階段驗證架構</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2400"/>
        <w:gridCol w:w="2400"/>
        <w:gridCol w:w="2400"/>
        <w:gridCol w:w="24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階段</w:t>
            </w:r>
          </w:p>
        </w:tc>
        <w:tc>
          <w:tcPr>
            <w:tcW w:w="1600" w:type="dxa"/>
            <w:shd w:val="clear" w:color="auto" w:fill="D9E2F3"/>
            <w:tcMar>
              <w:top w:w="40" w:type="dxa"/>
              <w:left w:w="80" w:type="dxa"/>
              <w:bottom w:w="40" w:type="dxa"/>
              <w:right w:w="80" w:type="dxa"/>
            </w:tcMar>
          </w:tcPr>
          <w:p>
            <w:r>
              <w:t>資料來源</w:t>
            </w:r>
          </w:p>
        </w:tc>
        <w:tc>
          <w:tcPr>
            <w:tcW w:w="3600" w:type="dxa"/>
            <w:shd w:val="clear" w:color="auto" w:fill="D9E2F3"/>
            <w:tcMar>
              <w:top w:w="40" w:type="dxa"/>
              <w:left w:w="80" w:type="dxa"/>
              <w:bottom w:w="40" w:type="dxa"/>
              <w:right w:w="80" w:type="dxa"/>
            </w:tcMar>
          </w:tcPr>
          <w:p>
            <w:r>
              <w:t>驗證目標</w:t>
            </w:r>
          </w:p>
        </w:tc>
        <w:tc>
          <w:tcPr>
            <w:tcW w:w="1600" w:type="dxa"/>
            <w:shd w:val="clear" w:color="auto" w:fill="D9E2F3"/>
            <w:tcMar>
              <w:top w:w="40" w:type="dxa"/>
              <w:left w:w="80" w:type="dxa"/>
              <w:bottom w:w="40" w:type="dxa"/>
              <w:right w:w="80" w:type="dxa"/>
            </w:tcMar>
          </w:tcPr>
          <w:p>
            <w:r>
              <w:t>狀態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自動化測試（合成骨架）</w:t>
            </w:r>
          </w:p>
        </w:tc>
        <w:tc>
          <w:tcPr>
            <w:tcW w:w="3600" w:type="dxa"/>
            <w:shd w:val="clear" w:color="auto" w:fill="D9E2F3"/>
            <w:tcMar>
              <w:top w:w="40" w:type="dxa"/>
              <w:left w:w="80" w:type="dxa"/>
              <w:bottom w:w="40" w:type="dxa"/>
              <w:right w:w="80" w:type="dxa"/>
            </w:tcMar>
          </w:tcPr>
          <w:p>
            <w:r>
              <w:t>規則邏輯正確性與回歸保護</w:t>
            </w:r>
          </w:p>
        </w:tc>
        <w:tc>
          <w:tcPr>
            <w:tcW w:w="1600" w:type="dxa"/>
            <w:shd w:val="clear" w:color="auto" w:fill="D9E2F3"/>
            <w:tcMar>
              <w:top w:w="40" w:type="dxa"/>
              <w:left w:w="80" w:type="dxa"/>
              <w:bottom w:w="40" w:type="dxa"/>
              <w:right w:w="80" w:type="dxa"/>
            </w:tcMar>
          </w:tcPr>
          <w:p>
            <w:r>
              <w:t>持續執行中</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專業示範影片</w:t>
            </w:r>
          </w:p>
        </w:tc>
        <w:tc>
          <w:tcPr>
            <w:tcW w:w="3600" w:type="dxa"/>
            <w:shd w:val="clear" w:color="auto" w:fill="D9E2F3"/>
            <w:tcMar>
              <w:top w:w="40" w:type="dxa"/>
              <w:left w:w="80" w:type="dxa"/>
              <w:bottom w:w="40" w:type="dxa"/>
              <w:right w:w="80" w:type="dxa"/>
            </w:tcMar>
          </w:tcPr>
          <w:p>
            <w:r>
              <w:t>標準動作之角度分佈，作為門檻訂定之外部參考</w:t>
            </w:r>
          </w:p>
        </w:tc>
        <w:tc>
          <w:tcPr>
            <w:tcW w:w="1600" w:type="dxa"/>
            <w:shd w:val="clear" w:color="auto" w:fill="D9E2F3"/>
            <w:tcMar>
              <w:top w:w="40" w:type="dxa"/>
              <w:left w:w="80" w:type="dxa"/>
              <w:bottom w:w="40" w:type="dxa"/>
              <w:right w:w="80" w:type="dxa"/>
            </w:tcMar>
          </w:tcPr>
          <w:p>
            <w:r>
              <w:t>已完成初步量測</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三</w:t>
            </w:r>
          </w:p>
        </w:tc>
        <w:tc>
          <w:tcPr>
            <w:tcW w:w="1600" w:type="dxa"/>
            <w:shd w:val="clear" w:color="auto" w:fill="D9E2F3"/>
            <w:tcMar>
              <w:top w:w="40" w:type="dxa"/>
              <w:left w:w="80" w:type="dxa"/>
              <w:bottom w:w="40" w:type="dxa"/>
              <w:right w:w="80" w:type="dxa"/>
            </w:tcMar>
          </w:tcPr>
          <w:p>
            <w:r>
              <w:t>自蒐真人樣本</w:t>
            </w:r>
          </w:p>
        </w:tc>
        <w:tc>
          <w:tcPr>
            <w:tcW w:w="3600" w:type="dxa"/>
            <w:shd w:val="clear" w:color="auto" w:fill="D9E2F3"/>
            <w:tcMar>
              <w:top w:w="40" w:type="dxa"/>
              <w:left w:w="80" w:type="dxa"/>
              <w:bottom w:w="40" w:type="dxa"/>
              <w:right w:w="80" w:type="dxa"/>
            </w:tcMar>
          </w:tcPr>
          <w:p>
            <w:r>
              <w:t>真實居家鏡頭條件下之判定表現</w:t>
            </w:r>
          </w:p>
        </w:tc>
        <w:tc>
          <w:tcPr>
            <w:tcW w:w="1600" w:type="dxa"/>
            <w:shd w:val="clear" w:color="auto" w:fill="D9E2F3"/>
            <w:tcMar>
              <w:top w:w="40" w:type="dxa"/>
              <w:left w:w="80" w:type="dxa"/>
              <w:bottom w:w="40" w:type="dxa"/>
              <w:right w:w="80" w:type="dxa"/>
            </w:tcMar>
          </w:tcPr>
          <w:p>
            <w:r>
              <w:t>規劃中・尚未執行</w:t>
            </w:r>
          </w:p>
        </w:tc>
      </w:tr>
    </w:tbl>
    <w:p w14:paraId="5D228ABB" w14:textId="77777777" w:rsidR="00D44DCB" w:rsidRDefault="00000000">
      <w:pPr>
        <w:pStyle w:val="2"/>
        <w:spacing w:before="240" w:after="160" w:line="360" w:lineRule="auto"/>
      </w:pPr>
      <w:r>
        <w:rPr>
          <w:rFonts w:ascii="標楷體" w:eastAsia="標楷體" w:hAnsi="標楷體" w:cs="標楷體"/>
          <w:b/>
          <w:bCs/>
        </w:rPr>
        <w:t>1. 階段一：自動化測試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以固定隨機種子產生合成骨架序列，涵蓋各動作之標準樣本與典型錯誤樣本，並施加縮放、平移、雜訊、關節遮擋與出框裁切等多維度擾動。測試採固定種子，結果可完整重現。</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合成骨架產生器由本團隊撰寫，與判定引擎共享同一組幾何假設。此階段測試證明的是規則邏輯之自洽性與回歸保護能力，不等同於真人辨識準確率。此為規則式系統驗證之固有限制，須以外部資料補足。</w:t>
      </w:r>
    </w:p>
    <w:p w14:paraId="5D228ABB" w14:textId="77777777" w:rsidR="00D44DCB" w:rsidRDefault="00000000">
      <w:pPr>
        <w:pStyle w:val="2"/>
        <w:spacing w:before="240" w:after="160" w:line="360" w:lineRule="auto"/>
      </w:pPr>
      <w:r>
        <w:rPr>
          <w:rFonts w:ascii="標楷體" w:eastAsia="標楷體" w:hAnsi="標楷體" w:cs="標楷體"/>
          <w:b/>
          <w:bCs/>
        </w:rPr>
        <w:t>2. 階段二：專業示範影片之角度分佈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以本作品自身之模型與參數量測專業示範影片，取得標準動作在各判定量上的實際分佈，作為門檻訂定之外部參考點。</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界線說明｜示範影片之機位未受控，其量測值適用於界定「標準動作之角度範圍」，不足以作為門檻校準之唯一依據。影片版權屬原作者，僅用於內部量測統計，不重製亦不納入作品內容。</w:t>
      </w:r>
    </w:p>
    <w:p w14:paraId="5D228ABB" w14:textId="77777777" w:rsidR="00D44DCB" w:rsidRDefault="00000000">
      <w:pPr>
        <w:pStyle w:val="2"/>
        <w:spacing w:before="240" w:after="160" w:line="360" w:lineRule="auto"/>
      </w:pPr>
      <w:r>
        <w:rPr>
          <w:rFonts w:ascii="標楷體" w:eastAsia="標楷體" w:hAnsi="標楷體" w:cs="標楷體"/>
          <w:b/>
          <w:bCs/>
        </w:rPr>
        <w:t>3. 階段三：真人樣本驗證（規劃中）</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3-4　真人樣本驗證規劃</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800"/>
        <w:gridCol w:w="4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項目</w:t>
            </w:r>
          </w:p>
        </w:tc>
        <w:tc>
          <w:tcPr>
            <w:tcW w:w="1600" w:type="dxa"/>
            <w:shd w:val="clear" w:color="auto" w:fill="D9E2F3"/>
            <w:tcMar>
              <w:top w:w="40" w:type="dxa"/>
              <w:left w:w="80" w:type="dxa"/>
              <w:bottom w:w="40" w:type="dxa"/>
              <w:right w:w="80" w:type="dxa"/>
            </w:tcMar>
          </w:tcPr>
          <w:p>
            <w:r>
              <w:t>規劃內容</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受試者</w:t>
            </w:r>
          </w:p>
        </w:tc>
        <w:tc>
          <w:tcPr>
            <w:tcW w:w="1600" w:type="dxa"/>
            <w:shd w:val="clear" w:color="auto" w:fill="D9E2F3"/>
            <w:tcMar>
              <w:top w:w="40" w:type="dxa"/>
              <w:left w:w="80" w:type="dxa"/>
              <w:bottom w:w="40" w:type="dxa"/>
              <w:right w:w="80" w:type="dxa"/>
            </w:tcMar>
          </w:tcPr>
          <w:p>
            <w:r>
              <w:t>5 至 8 人，體型差距刻意拉開，以驗證體型正規化層之一致性</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分組</w:t>
            </w:r>
          </w:p>
        </w:tc>
        <w:tc>
          <w:tcPr>
            <w:tcW w:w="1600" w:type="dxa"/>
            <w:shd w:val="clear" w:color="auto" w:fill="D9E2F3"/>
            <w:tcMar>
              <w:top w:w="40" w:type="dxa"/>
              <w:left w:w="80" w:type="dxa"/>
              <w:bottom w:w="40" w:type="dxa"/>
              <w:right w:w="80" w:type="dxa"/>
            </w:tcMar>
          </w:tcPr>
          <w:p>
            <w:r>
              <w:t>校準組（可反覆使用）／測試組（標定門檻期間不使用，僅量測一次）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每人每動作</w:t>
            </w:r>
          </w:p>
        </w:tc>
        <w:tc>
          <w:tcPr>
            <w:tcW w:w="1600" w:type="dxa"/>
            <w:shd w:val="clear" w:color="auto" w:fill="D9E2F3"/>
            <w:tcMar>
              <w:top w:w="40" w:type="dxa"/>
              <w:left w:w="80" w:type="dxa"/>
              <w:bottom w:w="40" w:type="dxa"/>
              <w:right w:w="80" w:type="dxa"/>
            </w:tcMar>
          </w:tcPr>
          <w:p>
            <w:r>
              <w:t>標準動作 10 次 ＋ 指定錯誤樣態 10 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拍攝批次</w:t>
            </w:r>
          </w:p>
        </w:tc>
        <w:tc>
          <w:tcPr>
            <w:tcW w:w="1600" w:type="dxa"/>
            <w:shd w:val="clear" w:color="auto" w:fill="D9E2F3"/>
            <w:tcMar>
              <w:top w:w="40" w:type="dxa"/>
              <w:left w:w="80" w:type="dxa"/>
              <w:bottom w:w="40" w:type="dxa"/>
              <w:right w:w="80" w:type="dxa"/>
            </w:tcMar>
          </w:tcPr>
          <w:p>
            <w:r>
              <w:t>校準批（機位固定並記錄）＋ 韌性批（低角度、一般室內燈光、站位不一）</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產出</w:t>
            </w:r>
          </w:p>
        </w:tc>
        <w:tc>
          <w:tcPr>
            <w:tcW w:w="1600" w:type="dxa"/>
            <w:shd w:val="clear" w:color="auto" w:fill="D9E2F3"/>
            <w:tcMar>
              <w:top w:w="40" w:type="dxa"/>
              <w:left w:w="80" w:type="dxa"/>
              <w:bottom w:w="40" w:type="dxa"/>
              <w:right w:w="80" w:type="dxa"/>
            </w:tcMar>
          </w:tcPr>
          <w:p>
            <w:r>
              <w:t>各動作之混淆矩陣、門檻分佈直方圖、逐案例分析</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校準集與測試集嚴格分離：若以同一批受試者之資料調整門檻並計算準確率，該數值必然偏高。此分離原則參照機器學習領域之標準實務。</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本階段量測之標籤依拍攝時之動作指令設定，未經專業教練獨立標註。所得結果應表述為「對預設錯誤樣態之辨識結果」，不得表述為動作品質判定之準確率。若驗證結果低於預期，將據實揭露並以資料重新標定門檻。</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（四）開發時程</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3-5　開發時程與整合作業</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期間</w:t>
            </w:r>
          </w:p>
        </w:tc>
        <w:tc>
          <w:tcPr>
            <w:tcW w:w="1600" w:type="dxa"/>
            <w:shd w:val="clear" w:color="auto" w:fill="D9E2F3"/>
            <w:tcMar>
              <w:top w:w="40" w:type="dxa"/>
              <w:left w:w="80" w:type="dxa"/>
              <w:bottom w:w="40" w:type="dxa"/>
              <w:right w:w="80" w:type="dxa"/>
            </w:tcMar>
          </w:tcPr>
          <w:p>
            <w:r>
              <w:t>AI 健身辨識端</w:t>
            </w:r>
          </w:p>
        </w:tc>
        <w:tc>
          <w:tcPr>
            <w:tcW w:w="3600" w:type="dxa"/>
            <w:shd w:val="clear" w:color="auto" w:fill="D9E2F3"/>
            <w:tcMar>
              <w:top w:w="40" w:type="dxa"/>
              <w:left w:w="80" w:type="dxa"/>
              <w:bottom w:w="40" w:type="dxa"/>
              <w:right w:w="80" w:type="dxa"/>
            </w:tcMar>
          </w:tcPr>
          <w:p>
            <w:r>
              <w:t>整合作業</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八月下旬</w:t>
            </w:r>
          </w:p>
        </w:tc>
        <w:tc>
          <w:tcPr>
            <w:tcW w:w="1600" w:type="dxa"/>
            <w:shd w:val="clear" w:color="auto" w:fill="D9E2F3"/>
            <w:tcMar>
              <w:top w:w="40" w:type="dxa"/>
              <w:left w:w="80" w:type="dxa"/>
              <w:bottom w:w="40" w:type="dxa"/>
              <w:right w:w="80" w:type="dxa"/>
            </w:tcMar>
          </w:tcPr>
          <w:p>
            <w:r>
              <w:t>整合插槽整備、判定層缺陷修正</w:t>
            </w:r>
          </w:p>
        </w:tc>
        <w:tc>
          <w:tcPr>
            <w:tcW w:w="3600" w:type="dxa"/>
            <w:shd w:val="clear" w:color="auto" w:fill="D9E2F3"/>
            <w:tcMar>
              <w:top w:w="40" w:type="dxa"/>
              <w:left w:w="80" w:type="dxa"/>
              <w:bottom w:w="40" w:type="dxa"/>
              <w:right w:w="80" w:type="dxa"/>
            </w:tcMar>
          </w:tcPr>
          <w:p>
            <w:r>
              <w:t>遊戲端專案交付</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九月上旬</w:t>
            </w:r>
          </w:p>
        </w:tc>
        <w:tc>
          <w:tcPr>
            <w:tcW w:w="1600" w:type="dxa"/>
            <w:shd w:val="clear" w:color="auto" w:fill="D9E2F3"/>
            <w:tcMar>
              <w:top w:w="40" w:type="dxa"/>
              <w:left w:w="80" w:type="dxa"/>
              <w:bottom w:w="40" w:type="dxa"/>
              <w:right w:w="80" w:type="dxa"/>
            </w:tcMar>
          </w:tcPr>
          <w:p>
            <w:r>
              <w:t>真人樣本拍攝與標註</w:t>
            </w:r>
          </w:p>
        </w:tc>
        <w:tc>
          <w:tcPr>
            <w:tcW w:w="3600" w:type="dxa"/>
            <w:shd w:val="clear" w:color="auto" w:fill="D9E2F3"/>
            <w:tcMar>
              <w:top w:w="40" w:type="dxa"/>
              <w:left w:w="80" w:type="dxa"/>
              <w:bottom w:w="40" w:type="dxa"/>
              <w:right w:w="80" w:type="dxa"/>
            </w:tcMar>
          </w:tcPr>
          <w:p>
            <w:r>
              <w:t>系統整合、視覺對齊</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九月中下旬</w:t>
            </w:r>
          </w:p>
        </w:tc>
        <w:tc>
          <w:tcPr>
            <w:tcW w:w="1600" w:type="dxa"/>
            <w:shd w:val="clear" w:color="auto" w:fill="D9E2F3"/>
            <w:tcMar>
              <w:top w:w="40" w:type="dxa"/>
              <w:left w:w="80" w:type="dxa"/>
              <w:bottom w:w="40" w:type="dxa"/>
              <w:right w:w="80" w:type="dxa"/>
            </w:tcMar>
          </w:tcPr>
          <w:p>
            <w:r>
              <w:t>動作庫擴充、結算流程打磨</w:t>
            </w:r>
          </w:p>
        </w:tc>
        <w:tc>
          <w:tcPr>
            <w:tcW w:w="3600" w:type="dxa"/>
            <w:shd w:val="clear" w:color="auto" w:fill="D9E2F3"/>
            <w:tcMar>
              <w:top w:w="40" w:type="dxa"/>
              <w:left w:w="80" w:type="dxa"/>
              <w:bottom w:w="40" w:type="dxa"/>
              <w:right w:w="80" w:type="dxa"/>
            </w:tcMar>
          </w:tcPr>
          <w:p>
            <w:r>
              <w:t>整合驗收、流程彩排</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十月一日</w:t>
            </w:r>
          </w:p>
        </w:tc>
        <w:tc>
          <w:tcPr>
            <w:tcW w:w="1600" w:type="dxa"/>
            <w:shd w:val="clear" w:color="auto" w:fill="D9E2F3"/>
            <w:tcMar>
              <w:top w:w="40" w:type="dxa"/>
              <w:left w:w="80" w:type="dxa"/>
              <w:bottom w:w="40" w:type="dxa"/>
              <w:right w:w="80" w:type="dxa"/>
            </w:tcMar>
          </w:tcPr>
          <w:p>
            <w:r>
              <w:t>—</w:t>
            </w:r>
          </w:p>
        </w:tc>
        <w:tc>
          <w:tcPr>
            <w:tcW w:w="3600" w:type="dxa"/>
            <w:shd w:val="clear" w:color="auto" w:fill="D9E2F3"/>
            <w:tcMar>
              <w:top w:w="40" w:type="dxa"/>
              <w:left w:w="80" w:type="dxa"/>
              <w:bottom w:w="40" w:type="dxa"/>
              <w:right w:w="80" w:type="dxa"/>
            </w:tcMar>
          </w:tcPr>
          <w:p>
            <w:r>
              <w:t>企劃書與海報交件</w:t>
            </w:r>
          </w:p>
        </w:tc>
      </w:tr>
    </w:tbl>
    <w:p w14:paraId="5D228A88" w14:textId="77777777" w:rsidR="00D44DCB" w:rsidRDefault="00000000">
      <w:pPr>
        <w:spacing w:after="200" w:line="360" w:lineRule="auto"/>
        <w:jc w:val="center"/>
      </w:pPr>
      <w:r>
        <w:rPr>
          <w:rFonts w:ascii="標楷體" w:eastAsia="標楷體" w:hAnsi="標楷體" w:cs="標楷體"/>
          <w:b/>
          <w:bCs/>
          <w:sz w:val="32"/>
          <w:szCs w:val="32"/>
        </w:rPr>
        <w:t>四、功能介紹、系統架構、操作介面及規格說明</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（一）產品全貌</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使用者開啟網站後，畫面底部是一列五個分頁的導覽列，操作方式與一般手機應用程式一致。首屏預設停在「今日」：上方是問候語與日期，中央一張今日任務卡顯示今天要完成的動作與進度環，下方依序是島嶼入口與本週目標的七日足跡，最底部只有一個按鈕——開始訓練。整個流程不需要註冊、不需要安裝，開啟瀏覽器即可使用。</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本作品為單一網站應用程式，以底部分頁列切換五項功能。訓練分頁為資源之唯一產出來源，島嶼分頁為資源之主要去處，此單向流動使運動參與與遊戲進展之間形成不可繞過的因果關係。</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4-1　功能分頁與職責劃分</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分頁</w:t>
            </w:r>
          </w:p>
        </w:tc>
        <w:tc>
          <w:tcPr>
            <w:tcW w:w="1600" w:type="dxa"/>
            <w:shd w:val="clear" w:color="auto" w:fill="D9E2F3"/>
            <w:tcMar>
              <w:top w:w="40" w:type="dxa"/>
              <w:left w:w="80" w:type="dxa"/>
              <w:bottom w:w="40" w:type="dxa"/>
              <w:right w:w="80" w:type="dxa"/>
            </w:tcMar>
          </w:tcPr>
          <w:p>
            <w:r>
              <w:t>核心職責</w:t>
            </w:r>
          </w:p>
        </w:tc>
        <w:tc>
          <w:tcPr>
            <w:tcW w:w="3600" w:type="dxa"/>
            <w:shd w:val="clear" w:color="auto" w:fill="D9E2F3"/>
            <w:tcMar>
              <w:top w:w="40" w:type="dxa"/>
              <w:left w:w="80" w:type="dxa"/>
              <w:bottom w:w="40" w:type="dxa"/>
              <w:right w:w="80" w:type="dxa"/>
            </w:tcMar>
          </w:tcPr>
          <w:p>
            <w:r>
              <w:t>開發端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今日</w:t>
            </w:r>
          </w:p>
        </w:tc>
        <w:tc>
          <w:tcPr>
            <w:tcW w:w="1600" w:type="dxa"/>
            <w:shd w:val="clear" w:color="auto" w:fill="D9E2F3"/>
            <w:tcMar>
              <w:top w:w="40" w:type="dxa"/>
              <w:left w:w="80" w:type="dxa"/>
              <w:bottom w:w="40" w:type="dxa"/>
              <w:right w:w="80" w:type="dxa"/>
            </w:tcMar>
          </w:tcPr>
          <w:p>
            <w:r>
              <w:t>首屏：今日任務、進度環、連續天數、週目標足跡</w:t>
            </w:r>
          </w:p>
        </w:tc>
        <w:tc>
          <w:tcPr>
            <w:tcW w:w="3600" w:type="dxa"/>
            <w:shd w:val="clear" w:color="auto" w:fill="D9E2F3"/>
            <w:tcMar>
              <w:top w:w="40" w:type="dxa"/>
              <w:left w:w="80" w:type="dxa"/>
              <w:bottom w:w="40" w:type="dxa"/>
              <w:right w:w="80" w:type="dxa"/>
            </w:tcMar>
          </w:tcPr>
          <w:p>
            <w:r>
              <w:t>健身端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島嶼</w:t>
            </w:r>
          </w:p>
        </w:tc>
        <w:tc>
          <w:tcPr>
            <w:tcW w:w="1600" w:type="dxa"/>
            <w:shd w:val="clear" w:color="auto" w:fill="D9E2F3"/>
            <w:tcMar>
              <w:top w:w="40" w:type="dxa"/>
              <w:left w:w="80" w:type="dxa"/>
              <w:bottom w:w="40" w:type="dxa"/>
              <w:right w:w="80" w:type="dxa"/>
            </w:tcMar>
          </w:tcPr>
          <w:p>
            <w:r>
              <w:t>以金幣與材料建設島嶼，將運動成果視覺化</w:t>
            </w:r>
          </w:p>
        </w:tc>
        <w:tc>
          <w:tcPr>
            <w:tcW w:w="3600" w:type="dxa"/>
            <w:shd w:val="clear" w:color="auto" w:fill="D9E2F3"/>
            <w:tcMar>
              <w:top w:w="40" w:type="dxa"/>
              <w:left w:w="80" w:type="dxa"/>
              <w:bottom w:w="40" w:type="dxa"/>
              <w:right w:w="80" w:type="dxa"/>
            </w:tcMar>
          </w:tcPr>
          <w:p>
            <w:r>
              <w:t>遊戲端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訓練</w:t>
            </w:r>
          </w:p>
        </w:tc>
        <w:tc>
          <w:tcPr>
            <w:tcW w:w="1600" w:type="dxa"/>
            <w:shd w:val="clear" w:color="auto" w:fill="D9E2F3"/>
            <w:tcMar>
              <w:top w:w="40" w:type="dxa"/>
              <w:left w:w="80" w:type="dxa"/>
              <w:bottom w:w="40" w:type="dxa"/>
              <w:right w:w="80" w:type="dxa"/>
            </w:tcMar>
          </w:tcPr>
          <w:p>
            <w:r>
              <w:t>核心：即時判定、矯正與結算</w:t>
            </w:r>
          </w:p>
        </w:tc>
        <w:tc>
          <w:tcPr>
            <w:tcW w:w="3600" w:type="dxa"/>
            <w:shd w:val="clear" w:color="auto" w:fill="D9E2F3"/>
            <w:tcMar>
              <w:top w:w="40" w:type="dxa"/>
              <w:left w:w="80" w:type="dxa"/>
              <w:bottom w:w="40" w:type="dxa"/>
              <w:right w:w="80" w:type="dxa"/>
            </w:tcMar>
          </w:tcPr>
          <w:p>
            <w:r>
              <w:t>健身端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健康</w:t>
            </w:r>
          </w:p>
        </w:tc>
        <w:tc>
          <w:tcPr>
            <w:tcW w:w="1600" w:type="dxa"/>
            <w:shd w:val="clear" w:color="auto" w:fill="D9E2F3"/>
            <w:tcMar>
              <w:top w:w="40" w:type="dxa"/>
              <w:left w:w="80" w:type="dxa"/>
              <w:bottom w:w="40" w:type="dxa"/>
              <w:right w:w="80" w:type="dxa"/>
            </w:tcMar>
          </w:tcPr>
          <w:p>
            <w:r>
              <w:t>訓練數據之長期趨勢與前後對比</w:t>
            </w:r>
          </w:p>
        </w:tc>
        <w:tc>
          <w:tcPr>
            <w:tcW w:w="3600" w:type="dxa"/>
            <w:shd w:val="clear" w:color="auto" w:fill="D9E2F3"/>
            <w:tcMar>
              <w:top w:w="40" w:type="dxa"/>
              <w:left w:w="80" w:type="dxa"/>
              <w:bottom w:w="40" w:type="dxa"/>
              <w:right w:w="80" w:type="dxa"/>
            </w:tcMar>
          </w:tcPr>
          <w:p>
            <w:r>
              <w:t>健身端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設定</w:t>
            </w:r>
          </w:p>
        </w:tc>
        <w:tc>
          <w:tcPr>
            <w:tcW w:w="1600" w:type="dxa"/>
            <w:shd w:val="clear" w:color="auto" w:fill="D9E2F3"/>
            <w:tcMar>
              <w:top w:w="40" w:type="dxa"/>
              <w:left w:w="80" w:type="dxa"/>
              <w:bottom w:w="40" w:type="dxa"/>
              <w:right w:w="80" w:type="dxa"/>
            </w:tcMar>
          </w:tcPr>
          <w:p>
            <w:r>
              <w:t>身體數據、偏好、隱私與帳號</w:t>
            </w:r>
          </w:p>
        </w:tc>
        <w:tc>
          <w:tcPr>
            <w:tcW w:w="3600" w:type="dxa"/>
            <w:shd w:val="clear" w:color="auto" w:fill="D9E2F3"/>
            <w:tcMar>
              <w:top w:w="40" w:type="dxa"/>
              <w:left w:w="80" w:type="dxa"/>
              <w:bottom w:w="40" w:type="dxa"/>
              <w:right w:w="80" w:type="dxa"/>
            </w:tcMar>
          </w:tcPr>
          <w:p>
            <w:r>
              <w:t>健身端</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手機版與電腦版採同一套介面，分頁位置與操作邏輯一致。</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（二）核心機制：品質確認取代次數累積</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現有身體活動類應用程式多以次數或時間為成果單位。針對排名前列之身體活動應用程式的分析顯示，其線上描述所載之行為改變技術數量普遍偏少，多數少於四項（Conroy et al., 2014）。本作品之核心主張為「不是計次，而是品質確認」：一次有效次數須同時滿足完整動作週期、標準深度與無顯著代償，且唯有有效次數方能換取遊戲資源。</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正向循環之設計如下：</w:t>
      </w:r>
    </w:p>
    <w:p w14:paraId="5D228ABF" w14:textId="77777777" w:rsidR="00D44DCB" w:rsidRDefault="00000000">
      <w:pPr>
        <w:spacing w:after="120" w:line="360" w:lineRule="auto"/>
        <w:jc w:val="center"/>
      </w:pPr>
      <w:r>
        <w:drawing>
          <wp:inline xmlns:a="http://schemas.openxmlformats.org/drawingml/2006/main" xmlns:pic="http://schemas.openxmlformats.org/drawingml/2006/picture">
            <wp:extent cx="5580000" cy="2937489"/>
            <wp:docPr id="3" name="Picture 3"/>
            <wp:cNvGraphicFramePr>
              <a:graphicFrameLocks noChangeAspect="1"/>
            </wp:cNvGraphicFramePr>
            <a:graphic>
              <a:graphicData uri="http://schemas.openxmlformats.org/drawingml/2006/picture">
                <pic:pic>
                  <pic:nvPicPr>
                    <pic:cNvPr id="0" name="fig3_loop.png"/>
                    <pic:cNvPicPr/>
                  </pic:nvPicPr>
                  <pic:blipFill>
                    <a:blip r:embed="rId11"/>
                    <a:stretch>
                      <a:fillRect/>
                    </a:stretch>
                  </pic:blipFill>
                  <pic:spPr>
                    <a:xfrm>
                      <a:off x="0" y="0"/>
                      <a:ext cx="5580000" cy="2937489"/>
                    </a:xfrm>
                    <a:prstGeom prst="rect"/>
                  </pic:spPr>
                </pic:pic>
              </a:graphicData>
            </a:graphic>
          </wp:inline>
        </w:drawing>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圖 4-1　正向循環：訓練—回饋—建設—再訓練</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各環節之設計依據：</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4-2　訓練流程各環節之設計依據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環節</w:t>
            </w:r>
          </w:p>
        </w:tc>
        <w:tc>
          <w:tcPr>
            <w:tcW w:w="1600" w:type="dxa"/>
            <w:shd w:val="clear" w:color="auto" w:fill="D9E2F3"/>
            <w:tcMar>
              <w:top w:w="40" w:type="dxa"/>
              <w:left w:w="80" w:type="dxa"/>
              <w:bottom w:w="40" w:type="dxa"/>
              <w:right w:w="80" w:type="dxa"/>
            </w:tcMar>
          </w:tcPr>
          <w:p>
            <w:r>
              <w:t>設計目的</w:t>
            </w:r>
          </w:p>
        </w:tc>
        <w:tc>
          <w:tcPr>
            <w:tcW w:w="3600" w:type="dxa"/>
            <w:shd w:val="clear" w:color="auto" w:fill="D9E2F3"/>
            <w:tcMar>
              <w:top w:w="40" w:type="dxa"/>
              <w:left w:w="80" w:type="dxa"/>
              <w:bottom w:w="40" w:type="dxa"/>
              <w:right w:w="80" w:type="dxa"/>
            </w:tcMar>
          </w:tcPr>
          <w:p>
            <w:r>
              <w:t>依據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今日任務為具體數量目標</w:t>
            </w:r>
          </w:p>
        </w:tc>
        <w:tc>
          <w:tcPr>
            <w:tcW w:w="1600" w:type="dxa"/>
            <w:shd w:val="clear" w:color="auto" w:fill="D9E2F3"/>
            <w:tcMar>
              <w:top w:w="40" w:type="dxa"/>
              <w:left w:w="80" w:type="dxa"/>
              <w:bottom w:w="40" w:type="dxa"/>
              <w:right w:w="80" w:type="dxa"/>
            </w:tcMar>
          </w:tcPr>
          <w:p>
            <w:r>
              <w:t>明確目標較「盡力而為」更能提升表現</w:t>
            </w:r>
          </w:p>
        </w:tc>
        <w:tc>
          <w:tcPr>
            <w:tcW w:w="3600" w:type="dxa"/>
            <w:shd w:val="clear" w:color="auto" w:fill="D9E2F3"/>
            <w:tcMar>
              <w:top w:w="40" w:type="dxa"/>
              <w:left w:w="80" w:type="dxa"/>
              <w:bottom w:w="40" w:type="dxa"/>
              <w:right w:w="80" w:type="dxa"/>
            </w:tcMar>
          </w:tcPr>
          <w:p>
            <w:r>
              <w:t>Locke &amp; Latham (2002)</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獎勵綁定動作品質</w:t>
            </w:r>
          </w:p>
        </w:tc>
        <w:tc>
          <w:tcPr>
            <w:tcW w:w="1600" w:type="dxa"/>
            <w:shd w:val="clear" w:color="auto" w:fill="D9E2F3"/>
            <w:tcMar>
              <w:top w:w="40" w:type="dxa"/>
              <w:left w:w="80" w:type="dxa"/>
              <w:bottom w:w="40" w:type="dxa"/>
              <w:right w:w="80" w:type="dxa"/>
            </w:tcMar>
          </w:tcPr>
          <w:p>
            <w:r>
              <w:t>使遊戲誘因與「把動作做對」同向</w:t>
            </w:r>
          </w:p>
        </w:tc>
        <w:tc>
          <w:tcPr>
            <w:tcW w:w="3600" w:type="dxa"/>
            <w:shd w:val="clear" w:color="auto" w:fill="D9E2F3"/>
            <w:tcMar>
              <w:top w:w="40" w:type="dxa"/>
              <w:left w:w="80" w:type="dxa"/>
              <w:bottom w:w="40" w:type="dxa"/>
              <w:right w:w="80" w:type="dxa"/>
            </w:tcMar>
          </w:tcPr>
          <w:p>
            <w:r>
              <w:t>同上</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即時矯正而非事後統計</w:t>
            </w:r>
          </w:p>
        </w:tc>
        <w:tc>
          <w:tcPr>
            <w:tcW w:w="1600" w:type="dxa"/>
            <w:shd w:val="clear" w:color="auto" w:fill="D9E2F3"/>
            <w:tcMar>
              <w:top w:w="40" w:type="dxa"/>
              <w:left w:w="80" w:type="dxa"/>
              <w:bottom w:w="40" w:type="dxa"/>
              <w:right w:w="80" w:type="dxa"/>
            </w:tcMar>
          </w:tcPr>
          <w:p>
            <w:r>
              <w:t>訓練當下需要可立即執行之修正建議</w:t>
            </w:r>
          </w:p>
        </w:tc>
        <w:tc>
          <w:tcPr>
            <w:tcW w:w="3600" w:type="dxa"/>
            <w:shd w:val="clear" w:color="auto" w:fill="D9E2F3"/>
            <w:tcMar>
              <w:top w:w="40" w:type="dxa"/>
              <w:left w:w="80" w:type="dxa"/>
              <w:bottom w:w="40" w:type="dxa"/>
              <w:right w:w="80" w:type="dxa"/>
            </w:tcMar>
          </w:tcPr>
          <w:p>
            <w:r>
              <w:t>Jaiswal et al. (2023)</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島嶼建設呈現累積成果</w:t>
            </w:r>
          </w:p>
        </w:tc>
        <w:tc>
          <w:tcPr>
            <w:tcW w:w="1600" w:type="dxa"/>
            <w:shd w:val="clear" w:color="auto" w:fill="D9E2F3"/>
            <w:tcMar>
              <w:top w:w="40" w:type="dxa"/>
              <w:left w:w="80" w:type="dxa"/>
              <w:bottom w:w="40" w:type="dxa"/>
              <w:right w:w="80" w:type="dxa"/>
            </w:tcMar>
          </w:tcPr>
          <w:p>
            <w:r>
              <w:t>使抽象努力轉為可見之能力增長，回應勝任感需求</w:t>
            </w:r>
          </w:p>
        </w:tc>
        <w:tc>
          <w:tcPr>
            <w:tcW w:w="3600" w:type="dxa"/>
            <w:shd w:val="clear" w:color="auto" w:fill="D9E2F3"/>
            <w:tcMar>
              <w:top w:w="40" w:type="dxa"/>
              <w:left w:w="80" w:type="dxa"/>
              <w:bottom w:w="40" w:type="dxa"/>
              <w:right w:w="80" w:type="dxa"/>
            </w:tcMar>
          </w:tcPr>
          <w:p>
            <w:r>
              <w:t>Ryan &amp; Deci (2000)</w:t>
            </w:r>
          </w:p>
        </w:tc>
      </w:tr>
    </w:tbl>
    <w:p w14:paraId="5D228AB6" w14:textId="77777777" w:rsidR="00D44DCB" w:rsidRDefault="00000000">
      <w:pPr>
        <w:pStyle w:val="1"/>
        <w:spacing w:before="360" w:after="200" w:line="360" w:lineRule="auto"/>
      </w:pPr>
      <w:r>
        <w:rPr>
          <w:rFonts w:ascii="標楷體" w:eastAsia="標楷體" w:hAnsi="標楷體" w:cs="標楷體"/>
          <w:b/>
          <w:bCs/>
          <w:sz w:val="28"/>
          <w:szCs w:val="32"/>
        </w:rPr>
        <w:t>（三）動作判定規格</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4-3　各動作之判定規格</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1920"/>
        <w:gridCol w:w="1920"/>
        <w:gridCol w:w="1920"/>
        <w:gridCol w:w="1920"/>
        <w:gridCol w:w="192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階段</w:t>
            </w:r>
          </w:p>
        </w:tc>
        <w:tc>
          <w:tcPr>
            <w:tcW w:w="1600" w:type="dxa"/>
            <w:shd w:val="clear" w:color="auto" w:fill="D9E2F3"/>
            <w:tcMar>
              <w:top w:w="40" w:type="dxa"/>
              <w:left w:w="80" w:type="dxa"/>
              <w:bottom w:w="40" w:type="dxa"/>
              <w:right w:w="80" w:type="dxa"/>
            </w:tcMar>
          </w:tcPr>
          <w:p>
            <w:r>
              <w:t>動作</w:t>
            </w:r>
          </w:p>
        </w:tc>
        <w:tc>
          <w:tcPr>
            <w:tcW w:w="3600" w:type="dxa"/>
            <w:shd w:val="clear" w:color="auto" w:fill="D9E2F3"/>
            <w:tcMar>
              <w:top w:w="40" w:type="dxa"/>
              <w:left w:w="80" w:type="dxa"/>
              <w:bottom w:w="40" w:type="dxa"/>
              <w:right w:w="80" w:type="dxa"/>
            </w:tcMar>
          </w:tcPr>
          <w:p>
            <w:r>
              <w:t>判定關鍵</w:t>
            </w:r>
          </w:p>
        </w:tc>
        <w:tc>
          <w:tcPr>
            <w:tcW w:w="1600" w:type="dxa"/>
            <w:shd w:val="clear" w:color="auto" w:fill="D9E2F3"/>
            <w:tcMar>
              <w:top w:w="40" w:type="dxa"/>
              <w:left w:w="80" w:type="dxa"/>
              <w:bottom w:w="40" w:type="dxa"/>
              <w:right w:w="80" w:type="dxa"/>
            </w:tcMar>
          </w:tcPr>
          <w:p>
            <w:r>
              <w:t>建議機位</w:t>
            </w:r>
          </w:p>
        </w:tc>
        <w:tc>
          <w:tcPr>
            <w:tcW w:w="2000" w:type="dxa"/>
            <w:shd w:val="clear" w:color="auto" w:fill="D9E2F3"/>
            <w:tcMar>
              <w:top w:w="40" w:type="dxa"/>
              <w:left w:w="80" w:type="dxa"/>
              <w:bottom w:w="40" w:type="dxa"/>
              <w:right w:w="80" w:type="dxa"/>
            </w:tcMar>
          </w:tcPr>
          <w:p>
            <w:r>
              <w:t>狀態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深蹲</w:t>
            </w:r>
          </w:p>
        </w:tc>
        <w:tc>
          <w:tcPr>
            <w:tcW w:w="3600" w:type="dxa"/>
            <w:shd w:val="clear" w:color="auto" w:fill="D9E2F3"/>
            <w:tcMar>
              <w:top w:w="40" w:type="dxa"/>
              <w:left w:w="80" w:type="dxa"/>
              <w:bottom w:w="40" w:type="dxa"/>
              <w:right w:w="80" w:type="dxa"/>
            </w:tcMar>
          </w:tcPr>
          <w:p>
            <w:r>
              <w:t>髖相對膝高度、軀幹前傾</w:t>
            </w:r>
          </w:p>
        </w:tc>
        <w:tc>
          <w:tcPr>
            <w:tcW w:w="1600" w:type="dxa"/>
            <w:shd w:val="clear" w:color="auto" w:fill="D9E2F3"/>
            <w:tcMar>
              <w:top w:w="40" w:type="dxa"/>
              <w:left w:w="80" w:type="dxa"/>
              <w:bottom w:w="40" w:type="dxa"/>
              <w:right w:w="80" w:type="dxa"/>
            </w:tcMar>
          </w:tcPr>
          <w:p>
            <w:r>
              <w:t>正面</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開合跳</w:t>
            </w:r>
          </w:p>
        </w:tc>
        <w:tc>
          <w:tcPr>
            <w:tcW w:w="3600" w:type="dxa"/>
            <w:shd w:val="clear" w:color="auto" w:fill="D9E2F3"/>
            <w:tcMar>
              <w:top w:w="40" w:type="dxa"/>
              <w:left w:w="80" w:type="dxa"/>
              <w:bottom w:w="40" w:type="dxa"/>
              <w:right w:w="80" w:type="dxa"/>
            </w:tcMar>
          </w:tcPr>
          <w:p>
            <w:r>
              <w:t>手過肩、腳距、手腳同步</w:t>
            </w:r>
          </w:p>
        </w:tc>
        <w:tc>
          <w:tcPr>
            <w:tcW w:w="1600" w:type="dxa"/>
            <w:shd w:val="clear" w:color="auto" w:fill="D9E2F3"/>
            <w:tcMar>
              <w:top w:w="40" w:type="dxa"/>
              <w:left w:w="80" w:type="dxa"/>
              <w:bottom w:w="40" w:type="dxa"/>
              <w:right w:w="80" w:type="dxa"/>
            </w:tcMar>
          </w:tcPr>
          <w:p>
            <w:r>
              <w:t>正面</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高抬腿</w:t>
            </w:r>
          </w:p>
        </w:tc>
        <w:tc>
          <w:tcPr>
            <w:tcW w:w="3600" w:type="dxa"/>
            <w:shd w:val="clear" w:color="auto" w:fill="D9E2F3"/>
            <w:tcMar>
              <w:top w:w="40" w:type="dxa"/>
              <w:left w:w="80" w:type="dxa"/>
              <w:bottom w:w="40" w:type="dxa"/>
              <w:right w:w="80" w:type="dxa"/>
            </w:tcMar>
          </w:tcPr>
          <w:p>
            <w:r>
              <w:t>膝相對髖高度、左右交替</w:t>
            </w:r>
          </w:p>
        </w:tc>
        <w:tc>
          <w:tcPr>
            <w:tcW w:w="1600" w:type="dxa"/>
            <w:shd w:val="clear" w:color="auto" w:fill="D9E2F3"/>
            <w:tcMar>
              <w:top w:w="40" w:type="dxa"/>
              <w:left w:w="80" w:type="dxa"/>
              <w:bottom w:w="40" w:type="dxa"/>
              <w:right w:w="80" w:type="dxa"/>
            </w:tcMar>
          </w:tcPr>
          <w:p>
            <w:r>
              <w:t>正面</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伏地挺身</w:t>
            </w:r>
          </w:p>
        </w:tc>
        <w:tc>
          <w:tcPr>
            <w:tcW w:w="3600" w:type="dxa"/>
            <w:shd w:val="clear" w:color="auto" w:fill="D9E2F3"/>
            <w:tcMar>
              <w:top w:w="40" w:type="dxa"/>
              <w:left w:w="80" w:type="dxa"/>
              <w:bottom w:w="40" w:type="dxa"/>
              <w:right w:w="80" w:type="dxa"/>
            </w:tcMar>
          </w:tcPr>
          <w:p>
            <w:r>
              <w:t>肘角、軀幹直線</w:t>
            </w:r>
          </w:p>
        </w:tc>
        <w:tc>
          <w:tcPr>
            <w:tcW w:w="1600" w:type="dxa"/>
            <w:shd w:val="clear" w:color="auto" w:fill="D9E2F3"/>
            <w:tcMar>
              <w:top w:w="40" w:type="dxa"/>
              <w:left w:w="80" w:type="dxa"/>
              <w:bottom w:w="40" w:type="dxa"/>
              <w:right w:w="80" w:type="dxa"/>
            </w:tcMar>
          </w:tcPr>
          <w:p>
            <w:r>
              <w:t>側面</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弓箭步</w:t>
            </w:r>
          </w:p>
        </w:tc>
        <w:tc>
          <w:tcPr>
            <w:tcW w:w="3600" w:type="dxa"/>
            <w:shd w:val="clear" w:color="auto" w:fill="D9E2F3"/>
            <w:tcMar>
              <w:top w:w="40" w:type="dxa"/>
              <w:left w:w="80" w:type="dxa"/>
              <w:bottom w:w="40" w:type="dxa"/>
              <w:right w:w="80" w:type="dxa"/>
            </w:tcMar>
          </w:tcPr>
          <w:p>
            <w:r>
              <w:t>前膝角度、後膝下降、軀幹直立</w:t>
            </w:r>
          </w:p>
        </w:tc>
        <w:tc>
          <w:tcPr>
            <w:tcW w:w="1600" w:type="dxa"/>
            <w:shd w:val="clear" w:color="auto" w:fill="D9E2F3"/>
            <w:tcMar>
              <w:top w:w="40" w:type="dxa"/>
              <w:left w:w="80" w:type="dxa"/>
              <w:bottom w:w="40" w:type="dxa"/>
              <w:right w:w="80" w:type="dxa"/>
            </w:tcMar>
          </w:tcPr>
          <w:p>
            <w:r>
              <w:t>側面</w:t>
            </w:r>
          </w:p>
        </w:tc>
        <w:tc>
          <w:tcPr>
            <w:tcW w:w="2000" w:type="dxa"/>
            <w:shd w:val="clear" w:color="auto" w:fill="D9E2F3"/>
            <w:tcMar>
              <w:top w:w="40" w:type="dxa"/>
              <w:left w:w="80" w:type="dxa"/>
              <w:bottom w:w="40" w:type="dxa"/>
              <w:right w:w="80" w:type="dxa"/>
            </w:tcMar>
          </w:tcPr>
          <w:p>
            <w:r>
              <w:t>規劃中・未完成</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仰臥起坐</w:t>
            </w:r>
          </w:p>
        </w:tc>
        <w:tc>
          <w:tcPr>
            <w:tcW w:w="3600" w:type="dxa"/>
            <w:shd w:val="clear" w:color="auto" w:fill="D9E2F3"/>
            <w:tcMar>
              <w:top w:w="40" w:type="dxa"/>
              <w:left w:w="80" w:type="dxa"/>
              <w:bottom w:w="40" w:type="dxa"/>
              <w:right w:w="80" w:type="dxa"/>
            </w:tcMar>
          </w:tcPr>
          <w:p>
            <w:r>
              <w:t>軀幹抬起角度、頸部代償</w:t>
            </w:r>
          </w:p>
        </w:tc>
        <w:tc>
          <w:tcPr>
            <w:tcW w:w="1600" w:type="dxa"/>
            <w:shd w:val="clear" w:color="auto" w:fill="D9E2F3"/>
            <w:tcMar>
              <w:top w:w="40" w:type="dxa"/>
              <w:left w:w="80" w:type="dxa"/>
              <w:bottom w:w="40" w:type="dxa"/>
              <w:right w:w="80" w:type="dxa"/>
            </w:tcMar>
          </w:tcPr>
          <w:p>
            <w:r>
              <w:t>側面</w:t>
            </w:r>
          </w:p>
        </w:tc>
        <w:tc>
          <w:tcPr>
            <w:tcW w:w="2000" w:type="dxa"/>
            <w:shd w:val="clear" w:color="auto" w:fill="D9E2F3"/>
            <w:tcMar>
              <w:top w:w="40" w:type="dxa"/>
              <w:left w:w="80" w:type="dxa"/>
              <w:bottom w:w="40" w:type="dxa"/>
              <w:right w:w="80" w:type="dxa"/>
            </w:tcMar>
          </w:tcPr>
          <w:p>
            <w:r>
              <w:t>規劃中・未完成</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三</w:t>
            </w:r>
          </w:p>
        </w:tc>
        <w:tc>
          <w:tcPr>
            <w:tcW w:w="1600" w:type="dxa"/>
            <w:shd w:val="clear" w:color="auto" w:fill="D9E2F3"/>
            <w:tcMar>
              <w:top w:w="40" w:type="dxa"/>
              <w:left w:w="80" w:type="dxa"/>
              <w:bottom w:w="40" w:type="dxa"/>
              <w:right w:w="80" w:type="dxa"/>
            </w:tcMar>
          </w:tcPr>
          <w:p>
            <w:r>
              <w:t>臀橋、波比跳、捲腹、側弓步</w:t>
            </w:r>
          </w:p>
        </w:tc>
        <w:tc>
          <w:tcPr>
            <w:tcW w:w="3600" w:type="dxa"/>
            <w:shd w:val="clear" w:color="auto" w:fill="D9E2F3"/>
            <w:tcMar>
              <w:top w:w="40" w:type="dxa"/>
              <w:left w:w="80" w:type="dxa"/>
              <w:bottom w:w="40" w:type="dxa"/>
              <w:right w:w="80" w:type="dxa"/>
            </w:tcMar>
          </w:tcPr>
          <w:p>
            <w:r>
              <w:t>各具獨立標準卡</w:t>
            </w:r>
          </w:p>
        </w:tc>
        <w:tc>
          <w:tcPr>
            <w:tcW w:w="1600" w:type="dxa"/>
            <w:shd w:val="clear" w:color="auto" w:fill="D9E2F3"/>
            <w:tcMar>
              <w:top w:w="40" w:type="dxa"/>
              <w:left w:w="80" w:type="dxa"/>
              <w:bottom w:w="40" w:type="dxa"/>
              <w:right w:w="80" w:type="dxa"/>
            </w:tcMar>
          </w:tcPr>
          <w:p>
            <w:r>
              <w:t>各動作指定</w:t>
            </w:r>
          </w:p>
        </w:tc>
        <w:tc>
          <w:tcPr>
            <w:tcW w:w="2000" w:type="dxa"/>
            <w:shd w:val="clear" w:color="auto" w:fill="D9E2F3"/>
            <w:tcMar>
              <w:top w:w="40" w:type="dxa"/>
              <w:left w:w="80" w:type="dxa"/>
              <w:bottom w:w="40" w:type="dxa"/>
              <w:right w:w="80" w:type="dxa"/>
            </w:tcMar>
          </w:tcPr>
          <w:p>
            <w:r>
              <w:t>未來藍圖・規劃中</w:t>
            </w:r>
          </w:p>
        </w:tc>
      </w:tr>
    </w:tbl>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界線說明｜各動作共用同一套感知與結算框架，惟每項新增動作均需獨立之判定規則、正負樣本、錯誤詞典與驗證，動作數量不等同於整體完成度。</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（四）即時矯正機制</w:t>
      </w:r>
    </w:p>
    <w:p w14:paraId="5D228ABB" w14:textId="77777777" w:rsidR="00D44DCB" w:rsidRDefault="00000000">
      <w:pPr>
        <w:pStyle w:val="2"/>
        <w:spacing w:before="240" w:after="160" w:line="360" w:lineRule="auto"/>
      </w:pPr>
      <w:r>
        <w:rPr>
          <w:rFonts w:ascii="標楷體" w:eastAsia="標楷體" w:hAnsi="標楷體" w:cs="標楷體"/>
          <w:b/>
          <w:bCs/>
        </w:rPr>
        <w:t>1. 使用者在訓練畫面上看到什麼</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訓練進行時，鏡頭畫面上覆蓋一層人形骨架。骨架依身體部位分段著色：動作正確的部位為綠色，開始偏離時轉黃，明確做錯則轉紅。使用者不需要理解任何數值，一眼就能看出「是哪裡出了問題」，而不是只得到一個籠統的分數。</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畫面右側另有一條深度量表，顯示這一下做到什麼程度、距離達標線還有多遠。顏色與量表分開的用意在於：「動作做錯了」與「還沒做到位」是兩件不同的事，前者要修正姿勢，後者只需再往下一點——若混為一談，使用者會不知道該調整什麼。</w:t>
      </w:r>
    </w:p>
    <w:p w14:paraId="5D228ABB" w14:textId="77777777" w:rsidR="00D44DCB" w:rsidRDefault="00000000">
      <w:pPr>
        <w:pStyle w:val="2"/>
        <w:spacing w:before="240" w:after="160" w:line="360" w:lineRule="auto"/>
      </w:pPr>
      <w:r>
        <w:rPr>
          <w:rFonts w:ascii="標楷體" w:eastAsia="標楷體" w:hAnsi="標楷體" w:cs="標楷體"/>
          <w:b/>
          <w:bCs/>
        </w:rPr>
        <w:t>2. 顏色顯示模式</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提供三色、單色與高對比三種模式。</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本作品之預設回饋以綠色與紅色承載最關鍵的語意對立，而該組合恰為色覺缺陷者最不易分辨者。為使核心功能不因使用者之色覺條件而失效，高對比模式改採 Okabe-Ito 色彩通用設計配色（Okabe &amp; Ito, 2008；經 Wong, 2011 推廣），該配色系統之設計目標即為在三種主要色覺缺陷下皆可區分；單色模式則不以色相區分，改以亮度與不透明度呈現，另適用於強光環境。</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界線說明｜配色選用依循上述色彩系統之設計原則，其於實際使用者之辨識效果尚待可用性測試確認。</w:t>
      </w:r>
    </w:p>
    <w:p w14:paraId="5D228ABB" w14:textId="77777777" w:rsidR="00D44DCB" w:rsidRDefault="00000000">
      <w:pPr>
        <w:pStyle w:val="2"/>
        <w:spacing w:before="240" w:after="160" w:line="360" w:lineRule="auto"/>
      </w:pPr>
      <w:r>
        <w:rPr>
          <w:rFonts w:ascii="標楷體" w:eastAsia="標楷體" w:hAnsi="標楷體" w:cs="標楷體"/>
          <w:b/>
          <w:bCs/>
        </w:rPr>
        <w:t>3. 分級語音引導</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危險代償（如塌腰、以彎腰替代下蹲）採高優先級立即播報並中斷當前語句；一般修正指引排入佇列依序播報；結算總評於訓練結束後播報。語音與提示音採不同通道，倒數提示不會打斷口語說明。</w:t>
      </w:r>
    </w:p>
    <w:p w14:paraId="5D228ABB" w14:textId="77777777" w:rsidR="00D44DCB" w:rsidRDefault="00000000">
      <w:pPr>
        <w:pStyle w:val="2"/>
        <w:spacing w:before="240" w:after="160" w:line="360" w:lineRule="auto"/>
      </w:pPr>
      <w:r>
        <w:rPr>
          <w:rFonts w:ascii="標楷體" w:eastAsia="標楷體" w:hAnsi="標楷體" w:cs="標楷體"/>
          <w:b/>
          <w:bCs/>
        </w:rPr>
        <w:t>4. 哪些動作換不到獎勵</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僅有正確動作可換取獎勵」是本作品的核心承諾。以下行為在系統中均無法取得有效次數：原地晃動身體、深蹲只蹲一半、伏地挺身未下壓到底、高抬腿只抬同一隻腳、以超越人體極限的速度連續計次、以及關鍵部位未入鏡時的動作。判定流程為此設有六層把關，逐層檢查關鍵點完整性、可見度、訊號穩定性、動作週期完整性、最深處的姿勢品質與計次間隔：</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4-4　有效次數之防護層級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層</w:t>
            </w:r>
          </w:p>
        </w:tc>
        <w:tc>
          <w:tcPr>
            <w:tcW w:w="1600" w:type="dxa"/>
            <w:shd w:val="clear" w:color="auto" w:fill="D9E2F3"/>
            <w:tcMar>
              <w:top w:w="40" w:type="dxa"/>
              <w:left w:w="80" w:type="dxa"/>
              <w:bottom w:w="40" w:type="dxa"/>
              <w:right w:w="80" w:type="dxa"/>
            </w:tcMar>
          </w:tcPr>
          <w:p>
            <w:r>
              <w:t>機制</w:t>
            </w:r>
          </w:p>
        </w:tc>
        <w:tc>
          <w:tcPr>
            <w:tcW w:w="3600" w:type="dxa"/>
            <w:shd w:val="clear" w:color="auto" w:fill="D9E2F3"/>
            <w:tcMar>
              <w:top w:w="40" w:type="dxa"/>
              <w:left w:w="80" w:type="dxa"/>
              <w:bottom w:w="40" w:type="dxa"/>
              <w:right w:w="80" w:type="dxa"/>
            </w:tcMar>
          </w:tcPr>
          <w:p>
            <w:r>
              <w:t>阻擋對象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關鍵點完整性檢查</w:t>
            </w:r>
          </w:p>
        </w:tc>
        <w:tc>
          <w:tcPr>
            <w:tcW w:w="3600" w:type="dxa"/>
            <w:shd w:val="clear" w:color="auto" w:fill="D9E2F3"/>
            <w:tcMar>
              <w:top w:w="40" w:type="dxa"/>
              <w:left w:w="80" w:type="dxa"/>
              <w:bottom w:w="40" w:type="dxa"/>
              <w:right w:w="80" w:type="dxa"/>
            </w:tcMar>
          </w:tcPr>
          <w:p>
            <w:r>
              <w:t>關鍵部位未入鏡時不予判定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可見度門檻</w:t>
            </w:r>
          </w:p>
        </w:tc>
        <w:tc>
          <w:tcPr>
            <w:tcW w:w="3600" w:type="dxa"/>
            <w:shd w:val="clear" w:color="auto" w:fill="D9E2F3"/>
            <w:tcMar>
              <w:top w:w="40" w:type="dxa"/>
              <w:left w:w="80" w:type="dxa"/>
              <w:bottom w:w="40" w:type="dxa"/>
              <w:right w:w="80" w:type="dxa"/>
            </w:tcMar>
          </w:tcPr>
          <w:p>
            <w:r>
              <w:t>遮擋、出框</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三</w:t>
            </w:r>
          </w:p>
        </w:tc>
        <w:tc>
          <w:tcPr>
            <w:tcW w:w="1600" w:type="dxa"/>
            <w:shd w:val="clear" w:color="auto" w:fill="D9E2F3"/>
            <w:tcMar>
              <w:top w:w="40" w:type="dxa"/>
              <w:left w:w="80" w:type="dxa"/>
              <w:bottom w:w="40" w:type="dxa"/>
              <w:right w:w="80" w:type="dxa"/>
            </w:tcMar>
          </w:tcPr>
          <w:p>
            <w:r>
              <w:t>訊號平滑</w:t>
            </w:r>
          </w:p>
        </w:tc>
        <w:tc>
          <w:tcPr>
            <w:tcW w:w="3600" w:type="dxa"/>
            <w:shd w:val="clear" w:color="auto" w:fill="D9E2F3"/>
            <w:tcMar>
              <w:top w:w="40" w:type="dxa"/>
              <w:left w:w="80" w:type="dxa"/>
              <w:bottom w:w="40" w:type="dxa"/>
              <w:right w:w="80" w:type="dxa"/>
            </w:tcMar>
          </w:tcPr>
          <w:p>
            <w:r>
              <w:t>抖動造成之假計次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四</w:t>
            </w:r>
          </w:p>
        </w:tc>
        <w:tc>
          <w:tcPr>
            <w:tcW w:w="1600" w:type="dxa"/>
            <w:shd w:val="clear" w:color="auto" w:fill="D9E2F3"/>
            <w:tcMar>
              <w:top w:w="40" w:type="dxa"/>
              <w:left w:w="80" w:type="dxa"/>
              <w:bottom w:w="40" w:type="dxa"/>
              <w:right w:w="80" w:type="dxa"/>
            </w:tcMar>
          </w:tcPr>
          <w:p>
            <w:r>
              <w:t>完整週期狀態機</w:t>
            </w:r>
          </w:p>
        </w:tc>
        <w:tc>
          <w:tcPr>
            <w:tcW w:w="3600" w:type="dxa"/>
            <w:shd w:val="clear" w:color="auto" w:fill="D9E2F3"/>
            <w:tcMar>
              <w:top w:w="40" w:type="dxa"/>
              <w:left w:w="80" w:type="dxa"/>
              <w:bottom w:w="40" w:type="dxa"/>
              <w:right w:w="80" w:type="dxa"/>
            </w:tcMar>
          </w:tcPr>
          <w:p>
            <w:r>
              <w:t>未完成完整動作週期</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五</w:t>
            </w:r>
          </w:p>
        </w:tc>
        <w:tc>
          <w:tcPr>
            <w:tcW w:w="1600" w:type="dxa"/>
            <w:shd w:val="clear" w:color="auto" w:fill="D9E2F3"/>
            <w:tcMar>
              <w:top w:w="40" w:type="dxa"/>
              <w:left w:w="80" w:type="dxa"/>
              <w:bottom w:w="40" w:type="dxa"/>
              <w:right w:w="80" w:type="dxa"/>
            </w:tcMar>
          </w:tcPr>
          <w:p>
            <w:r>
              <w:t>品質閘門（動作最深處採樣）</w:t>
            </w:r>
          </w:p>
        </w:tc>
        <w:tc>
          <w:tcPr>
            <w:tcW w:w="3600" w:type="dxa"/>
            <w:shd w:val="clear" w:color="auto" w:fill="D9E2F3"/>
            <w:tcMar>
              <w:top w:w="40" w:type="dxa"/>
              <w:left w:w="80" w:type="dxa"/>
              <w:bottom w:w="40" w:type="dxa"/>
              <w:right w:w="80" w:type="dxa"/>
            </w:tcMar>
          </w:tcPr>
          <w:p>
            <w:r>
              <w:t>半程動作、代償姿勢</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六</w:t>
            </w:r>
          </w:p>
        </w:tc>
        <w:tc>
          <w:tcPr>
            <w:tcW w:w="1600" w:type="dxa"/>
            <w:shd w:val="clear" w:color="auto" w:fill="D9E2F3"/>
            <w:tcMar>
              <w:top w:w="40" w:type="dxa"/>
              <w:left w:w="80" w:type="dxa"/>
              <w:bottom w:w="40" w:type="dxa"/>
              <w:right w:w="80" w:type="dxa"/>
            </w:tcMar>
          </w:tcPr>
          <w:p>
            <w:r>
              <w:t>計次冷卻</w:t>
            </w:r>
          </w:p>
        </w:tc>
        <w:tc>
          <w:tcPr>
            <w:tcW w:w="3600" w:type="dxa"/>
            <w:shd w:val="clear" w:color="auto" w:fill="D9E2F3"/>
            <w:tcMar>
              <w:top w:w="40" w:type="dxa"/>
              <w:left w:w="80" w:type="dxa"/>
              <w:bottom w:w="40" w:type="dxa"/>
              <w:right w:w="80" w:type="dxa"/>
            </w:tcMar>
          </w:tcPr>
          <w:p>
            <w:r>
              <w:t>超越人類生理極限之重複計次</w:t>
            </w:r>
          </w:p>
        </w:tc>
      </w:tr>
    </w:tbl>
    <w:p w14:paraId="5D228A8A" w14:textId="77777777" w:rsidR="00D44DCB" w:rsidRDefault="00000000">
      <w:pPr>
        <w:spacing w:after="120" w:line="360" w:lineRule="auto"/>
        <w:ind/>
        <w:jc w:val="both"/>
      </w:pPr>
      <w:r>
        <w:rPr>
          <w:rFonts w:ascii="新細明體" w:eastAsia="新細明體" w:hAnsi="新細明體" w:cs="新細明體"/>
          <w:sz w:val="24"/>
          <w:szCs w:val="24"/>
        </w:rPr>
        <w:t>未觀察影格處理｜一次動作進行中若出現任何未被判定到的影格，該次一律不計為有效。設計理由為：未被觀察之瞬間可能存在姿勢錯誤，未經完整觀察即予通過等同放行。</w:t>
      </w:r>
    </w:p>
    <w:p w14:paraId="5D228A8A" w14:textId="77777777" w:rsidR="00D44DCB" w:rsidRDefault="00000000">
      <w:pPr>
        <w:spacing w:after="120" w:line="360" w:lineRule="auto"/>
        <w:ind/>
        <w:jc w:val="both"/>
      </w:pPr>
      <w:r>
        <w:rPr>
          <w:rFonts w:ascii="新細明體" w:eastAsia="新細明體" w:hAnsi="新細明體" w:cs="新細明體"/>
          <w:sz w:val="24"/>
          <w:szCs w:val="24"/>
        </w:rPr>
        <w:t>交替動作之回溯機制｜需左右交替之動作，其第一次動作無前例可資比對。本作品採回溯撤銷設計：第一次先行計入但標記為未經證實，若次一動作仍為同側，則連同第一次一併作廢。此設計使單側連續動作無法取得任何有效次數，而正常交替之使用者不受影響。</w:t>
      </w:r>
    </w:p>
    <w:p w14:paraId="5D228ABB" w14:textId="77777777" w:rsidR="00D44DCB" w:rsidRDefault="00000000">
      <w:pPr>
        <w:pStyle w:val="2"/>
        <w:spacing w:before="240" w:after="160" w:line="360" w:lineRule="auto"/>
      </w:pPr>
      <w:r>
        <w:rPr>
          <w:rFonts w:ascii="標楷體" w:eastAsia="標楷體" w:hAnsi="標楷體" w:cs="標楷體"/>
          <w:b/>
          <w:bCs/>
        </w:rPr>
        <w:t>5. 取景把關</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辨識品質之前提為輸入品質。訓練開始前設有取景檢查關卡，逐項確認關鍵部位入鏡；訓練過程中若取景條件劣化，系統凍結判定並提示，而非於不可信之輸入上勉強給出結果。同時提供逃生出口，避免使用者因取景條件無法達成而受困。</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（五）訓練結算與量化指標</w:t>
      </w:r>
    </w:p>
    <w:p w14:paraId="5D228ABB" w14:textId="77777777" w:rsidR="00D44DCB" w:rsidRDefault="00000000">
      <w:pPr>
        <w:pStyle w:val="2"/>
        <w:spacing w:before="240" w:after="160" w:line="360" w:lineRule="auto"/>
      </w:pPr>
      <w:r>
        <w:rPr>
          <w:rFonts w:ascii="標楷體" w:eastAsia="標楷體" w:hAnsi="標楷體" w:cs="標楷體"/>
          <w:b/>
          <w:bCs/>
        </w:rPr>
        <w:t>1. 兩幕式結算</w:t>
      </w:r>
    </w:p>
    <w:p w14:paraId="5D228A8A" w14:textId="77777777" w:rsidR="00D44DCB" w:rsidRDefault="00000000">
      <w:pPr>
        <w:spacing w:after="120" w:line="360" w:lineRule="auto"/>
        <w:ind/>
        <w:jc w:val="both"/>
      </w:pPr>
      <w:r>
        <w:rPr>
          <w:rFonts w:ascii="新細明體" w:eastAsia="新細明體" w:hAnsi="新細明體" w:cs="新細明體"/>
          <w:sz w:val="24"/>
          <w:szCs w:val="24"/>
        </w:rPr>
        <w:t>第一幕｜成績單：有效與無效次數分開呈現、姿勢達標率、實際訓練時間、本次主要問題、常見錯誤統計、綜合評級。有效與無效分開呈現為刻意設計——使用者需要看見「做了 30 次，其中 22 次有效」，而非模糊的總數。</w:t>
      </w:r>
    </w:p>
    <w:p w14:paraId="5D228A8A" w14:textId="77777777" w:rsidR="00D44DCB" w:rsidRDefault="00000000">
      <w:pPr>
        <w:spacing w:after="120" w:line="360" w:lineRule="auto"/>
        <w:ind/>
        <w:jc w:val="both"/>
      </w:pPr>
      <w:r>
        <w:rPr>
          <w:rFonts w:ascii="新細明體" w:eastAsia="新細明體" w:hAnsi="新細明體" w:cs="新細明體"/>
          <w:sz w:val="24"/>
          <w:szCs w:val="24"/>
        </w:rPr>
        <w:t>第二幕｜獎勵轉換：金幣數字滾動、金幣飛向島嶼、建設進度推進。此幕承擔將數值轉為可感知回饋之功能。演出支援跳過，並尊重系統之減少動態效果設定。</w:t>
      </w:r>
    </w:p>
    <w:p w14:paraId="5D228ABB" w14:textId="77777777" w:rsidR="00D44DCB" w:rsidRDefault="00000000">
      <w:pPr>
        <w:pStyle w:val="2"/>
        <w:spacing w:before="240" w:after="160" w:line="360" w:lineRule="auto"/>
      </w:pPr>
      <w:r>
        <w:rPr>
          <w:rFonts w:ascii="標楷體" w:eastAsia="標楷體" w:hAnsi="標楷體" w:cs="標楷體"/>
          <w:b/>
          <w:bCs/>
        </w:rPr>
        <w:t>2. 訓練後呈現的數據</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結算頁與健康頁所呈現的每一項數據，均由系統逐次判定累計而得，使用者可回溯任何一次動作被判定為有效或無效的原因。</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4-5　可追溯之量化指標與計算方式</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800"/>
        <w:gridCol w:w="4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指標</w:t>
            </w:r>
          </w:p>
        </w:tc>
        <w:tc>
          <w:tcPr>
            <w:tcW w:w="1600" w:type="dxa"/>
            <w:shd w:val="clear" w:color="auto" w:fill="D9E2F3"/>
            <w:tcMar>
              <w:top w:w="40" w:type="dxa"/>
              <w:left w:w="80" w:type="dxa"/>
              <w:bottom w:w="40" w:type="dxa"/>
              <w:right w:w="80" w:type="dxa"/>
            </w:tcMar>
          </w:tcPr>
          <w:p>
            <w:r>
              <w:t>計算方式</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有效／無效次數</w:t>
            </w:r>
          </w:p>
        </w:tc>
        <w:tc>
          <w:tcPr>
            <w:tcW w:w="1600" w:type="dxa"/>
            <w:shd w:val="clear" w:color="auto" w:fill="D9E2F3"/>
            <w:tcMar>
              <w:top w:w="40" w:type="dxa"/>
              <w:left w:w="80" w:type="dxa"/>
              <w:bottom w:w="40" w:type="dxa"/>
              <w:right w:w="80" w:type="dxa"/>
            </w:tcMar>
          </w:tcPr>
          <w:p>
            <w:r>
              <w:t>逐次判定累計，每次均可追溯判定原因</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姿勢達標率</w:t>
            </w:r>
          </w:p>
        </w:tc>
        <w:tc>
          <w:tcPr>
            <w:tcW w:w="1600" w:type="dxa"/>
            <w:shd w:val="clear" w:color="auto" w:fill="D9E2F3"/>
            <w:tcMar>
              <w:top w:w="40" w:type="dxa"/>
              <w:left w:w="80" w:type="dxa"/>
              <w:bottom w:w="40" w:type="dxa"/>
              <w:right w:w="80" w:type="dxa"/>
            </w:tcMar>
          </w:tcPr>
          <w:p>
            <w:r>
              <w:t>有效次數 ÷ 總嘗試次數</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錯誤類型分佈</w:t>
            </w:r>
          </w:p>
        </w:tc>
        <w:tc>
          <w:tcPr>
            <w:tcW w:w="1600" w:type="dxa"/>
            <w:shd w:val="clear" w:color="auto" w:fill="D9E2F3"/>
            <w:tcMar>
              <w:top w:w="40" w:type="dxa"/>
              <w:left w:w="80" w:type="dxa"/>
              <w:bottom w:w="40" w:type="dxa"/>
              <w:right w:w="80" w:type="dxa"/>
            </w:tcMar>
          </w:tcPr>
          <w:p>
            <w:r>
              <w:t>每次無效均記錄具體錯誤代碼</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實際訓練時間</w:t>
            </w:r>
          </w:p>
        </w:tc>
        <w:tc>
          <w:tcPr>
            <w:tcW w:w="1600" w:type="dxa"/>
            <w:shd w:val="clear" w:color="auto" w:fill="D9E2F3"/>
            <w:tcMar>
              <w:top w:w="40" w:type="dxa"/>
              <w:left w:w="80" w:type="dxa"/>
              <w:bottom w:w="40" w:type="dxa"/>
              <w:right w:w="80" w:type="dxa"/>
            </w:tcMar>
          </w:tcPr>
          <w:p>
            <w:r>
              <w:t>累計運動時間，不含休息與暫停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連續運動天數</w:t>
            </w:r>
          </w:p>
        </w:tc>
        <w:tc>
          <w:tcPr>
            <w:tcW w:w="1600" w:type="dxa"/>
            <w:shd w:val="clear" w:color="auto" w:fill="D9E2F3"/>
            <w:tcMar>
              <w:top w:w="40" w:type="dxa"/>
              <w:left w:w="80" w:type="dxa"/>
              <w:bottom w:w="40" w:type="dxa"/>
              <w:right w:w="80" w:type="dxa"/>
            </w:tcMar>
          </w:tcPr>
          <w:p>
            <w:r>
              <w:t>須當日有效次數達門檻方予計入</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動作品質趨勢</w:t>
            </w:r>
          </w:p>
        </w:tc>
        <w:tc>
          <w:tcPr>
            <w:tcW w:w="1600" w:type="dxa"/>
            <w:shd w:val="clear" w:color="auto" w:fill="D9E2F3"/>
            <w:tcMar>
              <w:top w:w="40" w:type="dxa"/>
              <w:left w:w="80" w:type="dxa"/>
              <w:bottom w:w="40" w:type="dxa"/>
              <w:right w:w="80" w:type="dxa"/>
            </w:tcMar>
          </w:tcPr>
          <w:p>
            <w:r>
              <w:t>達標率之時間序列</w:t>
            </w:r>
          </w:p>
        </w:tc>
      </w:tr>
    </w:tbl>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界線說明｜上述指標均為計數與比值，其數值本身精確無誤。惟「達標率高」是否等同「動作品質好」，取決於判定門檻是否設定得當——此問題由三級溯源制度與真人樣本驗證處理，不由指標本身回答。</w:t>
      </w:r>
    </w:p>
    <w:p w14:paraId="5D228ABB" w14:textId="77777777" w:rsidR="00D44DCB" w:rsidRDefault="00000000">
      <w:pPr>
        <w:pStyle w:val="2"/>
        <w:spacing w:before="240" w:after="160" w:line="360" w:lineRule="auto"/>
      </w:pPr>
      <w:r>
        <w:rPr>
          <w:rFonts w:ascii="標楷體" w:eastAsia="標楷體" w:hAnsi="標楷體" w:cs="標楷體"/>
          <w:b/>
          <w:bCs/>
        </w:rPr>
        <w:t>3. 資源產出</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4-6　資源產出規則</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資源</w:t>
            </w:r>
          </w:p>
        </w:tc>
        <w:tc>
          <w:tcPr>
            <w:tcW w:w="1600" w:type="dxa"/>
            <w:shd w:val="clear" w:color="auto" w:fill="D9E2F3"/>
            <w:tcMar>
              <w:top w:w="40" w:type="dxa"/>
              <w:left w:w="80" w:type="dxa"/>
              <w:bottom w:w="40" w:type="dxa"/>
              <w:right w:w="80" w:type="dxa"/>
            </w:tcMar>
          </w:tcPr>
          <w:p>
            <w:r>
              <w:t>產出條件</w:t>
            </w:r>
          </w:p>
        </w:tc>
        <w:tc>
          <w:tcPr>
            <w:tcW w:w="3600" w:type="dxa"/>
            <w:shd w:val="clear" w:color="auto" w:fill="D9E2F3"/>
            <w:tcMar>
              <w:top w:w="40" w:type="dxa"/>
              <w:left w:w="80" w:type="dxa"/>
              <w:bottom w:w="40" w:type="dxa"/>
              <w:right w:w="80" w:type="dxa"/>
            </w:tcMar>
          </w:tcPr>
          <w:p>
            <w:r>
              <w:t>計算方式</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金幣</w:t>
            </w:r>
          </w:p>
        </w:tc>
        <w:tc>
          <w:tcPr>
            <w:tcW w:w="1600" w:type="dxa"/>
            <w:shd w:val="clear" w:color="auto" w:fill="D9E2F3"/>
            <w:tcMar>
              <w:top w:w="40" w:type="dxa"/>
              <w:left w:w="80" w:type="dxa"/>
              <w:bottom w:w="40" w:type="dxa"/>
              <w:right w:w="80" w:type="dxa"/>
            </w:tcMar>
          </w:tcPr>
          <w:p>
            <w:r>
              <w:t>有效次數</w:t>
            </w:r>
          </w:p>
        </w:tc>
        <w:tc>
          <w:tcPr>
            <w:tcW w:w="3600" w:type="dxa"/>
            <w:shd w:val="clear" w:color="auto" w:fill="D9E2F3"/>
            <w:tcMar>
              <w:top w:w="40" w:type="dxa"/>
              <w:left w:w="80" w:type="dxa"/>
              <w:bottom w:w="40" w:type="dxa"/>
              <w:right w:w="80" w:type="dxa"/>
            </w:tcMar>
          </w:tcPr>
          <w:p>
            <w:r>
              <w:t>有效次數 × 單次金幣 × 達標率加成 × 連續天數加成</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經驗值</w:t>
            </w:r>
          </w:p>
        </w:tc>
        <w:tc>
          <w:tcPr>
            <w:tcW w:w="1600" w:type="dxa"/>
            <w:shd w:val="clear" w:color="auto" w:fill="D9E2F3"/>
            <w:tcMar>
              <w:top w:w="40" w:type="dxa"/>
              <w:left w:w="80" w:type="dxa"/>
              <w:bottom w:w="40" w:type="dxa"/>
              <w:right w:w="80" w:type="dxa"/>
            </w:tcMar>
          </w:tcPr>
          <w:p>
            <w:r>
              <w:t>有效次數</w:t>
            </w:r>
          </w:p>
        </w:tc>
        <w:tc>
          <w:tcPr>
            <w:tcW w:w="3600" w:type="dxa"/>
            <w:shd w:val="clear" w:color="auto" w:fill="D9E2F3"/>
            <w:tcMar>
              <w:top w:w="40" w:type="dxa"/>
              <w:left w:w="80" w:type="dxa"/>
              <w:bottom w:w="40" w:type="dxa"/>
              <w:right w:w="80" w:type="dxa"/>
            </w:tcMar>
          </w:tcPr>
          <w:p>
            <w:r>
              <w:t>有效次數 × 固定值，只增不減</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加成設有上限（達標率加成 0.8 至 1.2 倍、連續天數加成上限百分之十四）。設定上限之目的為避免刷幣與過度運動——本作品鼓勵規律運動，而非鼓勵超量運動。</w:t>
      </w:r>
    </w:p>
    <w:p w14:paraId="5D228ABB" w14:textId="77777777" w:rsidR="00D44DCB" w:rsidRDefault="00000000">
      <w:pPr>
        <w:pStyle w:val="2"/>
        <w:spacing w:before="240" w:after="160" w:line="360" w:lineRule="auto"/>
      </w:pPr>
      <w:r>
        <w:rPr>
          <w:rFonts w:ascii="標楷體" w:eastAsia="標楷體" w:hAnsi="標楷體" w:cs="標楷體"/>
          <w:b/>
          <w:bCs/>
        </w:rPr>
        <w:t>（六）操作介面</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待補。（兩端系統尚未完成合併，介面圖俟整合後補入。各分頁之組成與操作流程詳見下節。）</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（七）各分頁規格</w:t>
      </w:r>
    </w:p>
    <w:p w14:paraId="5D228A8A" w14:textId="77777777" w:rsidR="00D44DCB" w:rsidRDefault="00000000">
      <w:pPr>
        <w:spacing w:after="120" w:line="360" w:lineRule="auto"/>
        <w:ind/>
        <w:jc w:val="both"/>
      </w:pPr>
      <w:r>
        <w:rPr>
          <w:rFonts w:ascii="新細明體" w:eastAsia="新細明體" w:hAnsi="新細明體" w:cs="新細明體"/>
          <w:sz w:val="24"/>
          <w:szCs w:val="24"/>
        </w:rPr>
        <w:t>今日分頁｜問候與日期、今日任務卡（任務描述、進度環、連續天數、當日訓練分鐘）、島嶼入口卡、本週目標卡（已訓練天數／目標天數、七日足跡）、主要行動按鈕。首屏僅設一個主要行動按鈕，各卡片之空狀態均指向下一步。</w:t>
      </w:r>
    </w:p>
    <w:p w14:paraId="5D228A8A" w14:textId="77777777" w:rsidR="00D44DCB" w:rsidRDefault="00000000">
      <w:pPr>
        <w:spacing w:after="120" w:line="360" w:lineRule="auto"/>
        <w:ind/>
        <w:jc w:val="both"/>
      </w:pPr>
      <w:r>
        <w:rPr>
          <w:rFonts w:ascii="新細明體" w:eastAsia="新細明體" w:hAnsi="新細明體" w:cs="新細明體"/>
          <w:sz w:val="24"/>
          <w:szCs w:val="24"/>
        </w:rPr>
        <w:t>訓練分頁｜分類選擇或搜尋 → 動作列表 → 動作簡介頁 → 暖身（可開關）→ 取景檢查關卡 → 訓練主畫面 → 兩幕式結算 → 再一次或退出。訓練主畫面含攝影機畫面與分段骨架疊圖、倒數光環、組數資訊、深度量表、即時達標率、控制項；追蹤狀態常駐顯示，使用者隨時可知系統是否正在辨識。</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訓練主畫面的配置為：中央是攝影機畫面與分段骨架疊圖，四周邊框是一圈倒數光環隨剩餘時間縮減，上方顯示動作名稱與目前組數，右側是深度量表，下方一列顯示已訓練時間、完成次數與即時達標率。畫面左上角常駐一枚追蹤狀態標示，明確告知系統當下是「尋找中」、「入鏡不完整」或「追蹤中」——使用者隨時知道系統有沒有在看，不會對著鏡頭做半天才發現沒被偵測到。進入訓練後底部分頁列自動隱藏，避免動作過程中誤觸切頁。</w:t>
      </w:r>
    </w:p>
    <w:p w14:paraId="5D228A8A" w14:textId="77777777" w:rsidR="00D44DCB" w:rsidRDefault="00000000">
      <w:pPr>
        <w:spacing w:after="120" w:line="360" w:lineRule="auto"/>
        <w:ind/>
        <w:jc w:val="both"/>
      </w:pPr>
      <w:r>
        <w:rPr>
          <w:rFonts w:ascii="新細明體" w:eastAsia="新細明體" w:hAnsi="新細明體" w:cs="新細明體"/>
          <w:sz w:val="24"/>
          <w:szCs w:val="24"/>
        </w:rPr>
        <w:t>健康分頁｜統計卡（本週運動分鐘、累積有效次數、平均達標率、連續天數）、本週與上週對比、每日運動時長、動作品質趨勢、整體達標率、常見錯誤分佈、最近訓練紀錄。常見錯誤分佈為本作品特有之指標，使用者所見不僅是運動時長，更包含動作品質的變化。</w:t>
      </w:r>
    </w:p>
    <w:p w14:paraId="5D228A8A" w14:textId="77777777" w:rsidR="00D44DCB" w:rsidRDefault="00000000">
      <w:pPr>
        <w:spacing w:after="120" w:line="360" w:lineRule="auto"/>
        <w:ind/>
        <w:jc w:val="both"/>
      </w:pPr>
      <w:r>
        <w:rPr>
          <w:rFonts w:ascii="新細明體" w:eastAsia="新細明體" w:hAnsi="新細明體" w:cs="新細明體"/>
          <w:sz w:val="24"/>
          <w:szCs w:val="24"/>
        </w:rPr>
        <w:t>設定分頁｜身體數據（影響體型正規化之計算基準）、每日與每週目標、顏色顯示模式、語音與音效、難度、隱私與資料匯出／匯入／清除。各項設定均實際生效。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島嶼分頁｜由遊戲端提供，介面規格詳見遊戲端章節。</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（八）兩端整合規格</w:t>
      </w:r>
    </w:p>
    <w:p w14:paraId="5D228ABB" w14:textId="77777777" w:rsidR="00D44DCB" w:rsidRDefault="00000000">
      <w:pPr>
        <w:pStyle w:val="2"/>
        <w:spacing w:before="240" w:after="160" w:line="360" w:lineRule="auto"/>
      </w:pPr>
      <w:r>
        <w:rPr>
          <w:rFonts w:ascii="標楷體" w:eastAsia="標楷體" w:hAnsi="標楷體" w:cs="標楷體"/>
          <w:b/>
          <w:bCs/>
        </w:rPr>
        <w:t>1. 整合形式</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兩端合併為單一網站應用程式交付。遊戲端提供完整專案原始碼，由健身端執行整合。整合後為同一份程式，模組間以函式呼叫溝通，不涉及網路請求，故無網路延遲、無連線失敗風險、無伺服器成本。</w:t>
      </w:r>
    </w:p>
    <w:p w14:paraId="5D228ABB" w14:textId="77777777" w:rsidR="00D44DCB" w:rsidRDefault="00000000">
      <w:pPr>
        <w:pStyle w:val="2"/>
        <w:spacing w:before="240" w:after="160" w:line="360" w:lineRule="auto"/>
      </w:pPr>
      <w:r>
        <w:rPr>
          <w:rFonts w:ascii="標楷體" w:eastAsia="標楷體" w:hAnsi="標楷體" w:cs="標楷體"/>
          <w:b/>
          <w:bCs/>
        </w:rPr>
        <w:t>2. 資源存取介面</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遊戲端可取用之介面包含：讀取金幣、讀取等級與經驗值、扣減金幣、監聽數值變動、讀取連續運動天數。</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介面中不存在增加金幣之方法。 金幣之增加僅能透過訓練結算函式，此為「金幣僅由 AI 驗證產生」在架構層面之實現——非依約定，而是以介面設計使違規成為不可能。　各項連動資源（金幣、經驗值、碎片、抽獎券）之來源限制與顯示範圍，詳見第六章「金幣與經驗值對接」及「結算畫面」。</w:t>
      </w:r>
    </w:p>
    <w:p w14:paraId="5D228ABB" w14:textId="77777777" w:rsidR="00D44DCB" w:rsidRDefault="00000000">
      <w:pPr>
        <w:pStyle w:val="2"/>
        <w:spacing w:before="240" w:after="160" w:line="360" w:lineRule="auto"/>
      </w:pPr>
      <w:r>
        <w:rPr>
          <w:rFonts w:ascii="標楷體" w:eastAsia="標楷體" w:hAnsi="標楷體" w:cs="標楷體"/>
          <w:b/>
          <w:bCs/>
        </w:rPr>
        <w:t>3. 隱私設計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原始鏡頭影像不離開使用者裝置，不進入任何資料庫；遊戲端僅接收整理後之結算數值；個人存檔與去識別化之整體分析資料分開管理；資料蒐集採使用者同意原則，並提供完整匯出與刪除。</w:t>
      </w:r>
    </w:p>
    <w:p w14:paraId="5D228ABB" w14:textId="77777777" w:rsidR="00D44DCB" w:rsidRDefault="00000000">
      <w:pPr>
        <w:pStyle w:val="2"/>
        <w:spacing w:before="240" w:after="160" w:line="360" w:lineRule="auto"/>
      </w:pPr>
      <w:r>
        <w:rPr>
          <w:rFonts w:ascii="標楷體" w:eastAsia="標楷體" w:hAnsi="標楷體" w:cs="標楷體"/>
          <w:b/>
          <w:bCs/>
        </w:rPr>
        <w:t>4. 整合驗收標準</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訓練取得金幣後切換至島嶼分頁數值即正確、島嶼消費後健身端同步減少、餘額不足時正確擋下且不發放商品、兩分頁反覆切換後辨識維持穩定、自動化測試全數通過。</w:t>
      </w:r>
    </w:p>
    <w:p w14:paraId="5D228AB1" w14:textId="77777777" w:rsidR="00D44DCB" w:rsidRDefault="00D44DCB">
      <w:pPr>
        <w:pageBreakBefore/>
      </w:pPr>
    </w:p>
    <w:p w14:paraId="5D228AB2" w14:textId="77777777" w:rsidR="00D44DCB" w:rsidRDefault="00000000">
      <w:pPr>
        <w:spacing w:after="200" w:line="360" w:lineRule="auto"/>
        <w:jc w:val="center"/>
      </w:pPr>
      <w:r>
        <w:rPr>
          <w:rFonts w:ascii="標楷體" w:eastAsia="標楷體" w:hAnsi="標楷體" w:cs="標楷體"/>
          <w:b/>
          <w:bCs/>
          <w:sz w:val="32"/>
          <w:szCs w:val="32"/>
        </w:rPr>
        <w:t>六、預期結果、用途、影響及效益</w:t>
      </w:r>
    </w:p>
    <w:p w14:paraId="5D228AB3" w14:textId="77777777" w:rsidR="00D44DCB" w:rsidRDefault="00000000">
      <w:pPr>
        <w:spacing w:after="200" w:line="360" w:lineRule="auto"/>
        <w:jc w:val="center"/>
      </w:pPr>
      <w:r>
        <w:rPr>
          <w:rFonts w:ascii="新細明體" w:eastAsia="新細明體" w:hAnsi="新細明體" w:cs="新細明體"/>
          <w:sz w:val="24"/>
          <w:szCs w:val="26"/>
        </w:rPr>
        <w:t>整合版本｜納入網站遊戲未完成之規劃項目</w:t>
      </w:r>
    </w:p>
    <w:p w14:paraId="5D228AB4" w14:textId="77777777" w:rsidR="00D44DCB" w:rsidRDefault="00000000">
      <w:pPr>
        <w:spacing w:after="120" w:line="360" w:lineRule="auto"/>
        <w:ind w:firstLine="480"/>
        <w:jc w:val="both"/>
      </w:pPr>
      <w:r>
        <w:rPr>
          <w:rFonts w:ascii="新細明體" w:eastAsia="新細明體" w:hAnsi="新細明體" w:cs="新細明體"/>
          <w:sz w:val="24"/>
          <w:szCs w:val="24"/>
        </w:rPr>
        <w:t>本作品以網站遊戲與健身影像辨識系統的整合為核心，讓使用者在網站中進行健身流程、查看訓練結果與紀錄，並透過角色、島嶼、獎勵、互動及進度呈現增加參與感。本章同時納入現有系統資料與團隊提出的網站遊戲後續規劃，說明整合版本完成後的預期結果、用途、影響與效益。</w:t>
      </w:r>
    </w:p>
    <w:p w14:paraId="5D228AB5" w14:textId="77777777" w:rsidR="00D44DCB" w:rsidRDefault="00000000">
      <w:pPr>
        <w:spacing w:after="120" w:line="360" w:lineRule="auto"/>
        <w:jc w:val="both"/>
      </w:pPr>
      <w:r>
        <w:rPr>
          <w:rFonts w:ascii="新細明體" w:eastAsia="新細明體" w:hAnsi="新細明體" w:cs="新細明體"/>
          <w:b/>
          <w:bCs/>
          <w:sz w:val="24"/>
          <w:szCs w:val="24"/>
        </w:rPr>
        <w:t>範圍與狀態說明｜網站遊戲與健身影像辨識目前仍處於開發及整合階段。附件所列人物、介面、提醒、懲罰、NPC、載入畫面與引導等內容均為尚未完成的規劃；碎片機制僅屬團隊表示約九成可能納入的高機率構想，詳細機制尚未定案。所有效果仍須待設計、實作與測試後確認。</w:t>
      </w:r>
    </w:p>
    <w:p w14:paraId="5D228A8A" w14:textId="77777777" w:rsidR="00D44DCB" w:rsidRDefault="00000000">
      <w:pPr>
        <w:spacing w:after="120" w:line="360" w:lineRule="auto"/>
        <w:ind/>
        <w:jc w:val="both"/>
      </w:pPr>
      <w:r>
        <w:rPr>
          <w:rFonts w:ascii="新細明體" w:eastAsia="新細明體" w:hAnsi="新細明體" w:cs="新細明體"/>
          <w:sz w:val="24"/>
          <w:szCs w:val="24"/>
        </w:rPr>
        <w:t>健身辨識端範圍說明｜本章所述之整合成果與部分功能仍處開發階段。凡標示「規劃中」或「未來藍圖」者均為尚未完成之項目，其效果須待實作與測試後確認。本章不預先宣稱辨識準確率、習慣養成幅度、醫療效果或健康改善成效。</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（一）SDGs</w:t>
      </w:r>
    </w:p>
    <w:p w14:paraId="5D228AB7" w14:textId="77777777" w:rsidR="00D44DCB" w:rsidRDefault="00000000">
      <w:pPr>
        <w:spacing w:after="120" w:line="360" w:lineRule="auto"/>
        <w:ind w:firstLine="480"/>
        <w:jc w:val="both"/>
      </w:pPr>
      <w:r>
        <w:rPr>
          <w:rFonts w:ascii="新細明體" w:eastAsia="新細明體" w:hAnsi="新細明體" w:cs="新細明體"/>
          <w:sz w:val="24"/>
          <w:szCs w:val="24"/>
        </w:rPr>
        <w:t>本作品主要對應聯合國永續發展目標 SDG 3「良好健康與福祉」。作品規劃將網站健身流程、影像辨識整合方向、訓練結果與遊戲進度連結，期望以較具回饋感的方式鼓勵使用者增加運動參與，並累積與健康生活相關的使用歷程。此對應屬於作品的設計目標，不代表已產生公共健康、臨床或醫療成果。</w:t>
      </w:r>
    </w:p>
    <w:p w14:paraId="5D228AB8" w14:textId="77777777" w:rsidR="00D44DCB" w:rsidRDefault="00000000">
      <w:pPr>
        <w:spacing w:after="120" w:line="360" w:lineRule="auto"/>
        <w:ind w:firstLine="480"/>
        <w:jc w:val="both"/>
      </w:pPr>
      <w:r>
        <w:rPr>
          <w:rFonts w:ascii="新細明體" w:eastAsia="新細明體" w:hAnsi="新細明體" w:cs="新細明體"/>
          <w:sz w:val="24"/>
          <w:szCs w:val="24"/>
        </w:rPr>
        <w:t>遊戲端目前包含角色、島嶼、每日獎勵、金幣、經驗及進度等內容；後續規劃中的人物與介面優化、引導完善、提醒機制及 NPC 互動，預期使健身成果更容易被看見並增加參與感。付費解鎖、挑戰式通知與島嶼侵蝕屬參與機制，而非健康效益本身，其公平性、使用者自主性與心理感受仍須另行檢視。</w:t>
      </w:r>
    </w:p>
    <w:p w14:paraId="5D228AB9" w14:textId="77777777" w:rsidR="00D44DCB" w:rsidRDefault="00000000">
      <w:pPr>
        <w:spacing w:after="120" w:line="360" w:lineRule="auto"/>
        <w:jc w:val="both"/>
      </w:pPr>
      <w:r>
        <w:rPr>
          <w:rFonts w:ascii="新細明體" w:eastAsia="新細明體" w:hAnsi="新細明體" w:cs="新細明體"/>
          <w:b/>
          <w:bCs/>
          <w:sz w:val="24"/>
          <w:szCs w:val="24"/>
        </w:rPr>
        <w:t>資料依據：聯合國 SDG 3 說明與《世界衛生組織身體活動及久坐行為指南》（2020）；完整書目統一列於文末「參考文獻」。</w:t>
      </w:r>
    </w:p>
    <w:p w14:paraId="5D228ABA" w14:textId="77777777" w:rsidR="00D44DCB" w:rsidRDefault="00000000">
      <w:pPr>
        <w:pStyle w:val="1"/>
        <w:spacing w:before="360" w:after="200" w:line="360" w:lineRule="auto"/>
      </w:pPr>
      <w:r>
        <w:rPr>
          <w:rFonts w:ascii="標楷體" w:eastAsia="標楷體" w:hAnsi="標楷體" w:cs="標楷體"/>
          <w:b/>
          <w:bCs/>
          <w:sz w:val="28"/>
          <w:szCs w:val="32"/>
        </w:rPr>
        <w:t>（二）預期結果</w:t>
      </w:r>
    </w:p>
    <w:p w14:paraId="5D228ABB" w14:textId="77777777" w:rsidR="00D44DCB" w:rsidRDefault="00000000">
      <w:pPr>
        <w:pStyle w:val="2"/>
        <w:spacing w:before="240" w:after="160" w:line="360" w:lineRule="auto"/>
      </w:pPr>
      <w:r>
        <w:rPr>
          <w:rFonts w:ascii="標楷體" w:eastAsia="標楷體" w:hAnsi="標楷體" w:cs="標楷體"/>
          <w:b/>
          <w:bCs/>
        </w:rPr>
        <w:t>1. 網站遊戲與健身辨識整合</w:t>
      </w:r>
    </w:p>
    <w:p w14:paraId="5D228ABC" w14:textId="77777777" w:rsidR="00D44DCB" w:rsidRDefault="00000000">
      <w:pPr>
        <w:spacing w:after="120" w:line="360" w:lineRule="auto"/>
        <w:ind w:firstLine="480"/>
        <w:jc w:val="both"/>
      </w:pPr>
      <w:r>
        <w:rPr>
          <w:rFonts w:ascii="新細明體" w:eastAsia="新細明體" w:hAnsi="新細明體" w:cs="新細明體"/>
          <w:sz w:val="24"/>
          <w:szCs w:val="24"/>
        </w:rPr>
        <w:t>本作品預期形成網站遊戲與健身影像辨識相互配合的使用體驗。健身頁面的主要流程為「選擇項目 → 訓練畫面 → 結算畫面」，追蹤頁以統計卡片及運動走勢圖呈現訓練資料；遊戲端則以角色、任務、獎勵、商店、更衣室、住家佈置及島嶼建造承接</w:t>
        <w:lastRenderedPageBreak/>
        <w:t>健身流程所形成的結果與進度。實際辨識效能、結算內容與遊戲換算方式，仍以整合完成後的測試結果為準。</w:t>
      </w:r>
    </w:p>
    <w:p w14:paraId="5D228ABD" w14:textId="77777777" w:rsidR="00D44DCB" w:rsidRDefault="00000000">
      <w:pPr>
        <w:pStyle w:val="2"/>
        <w:spacing w:before="240" w:after="160" w:line="360" w:lineRule="auto"/>
      </w:pPr>
      <w:r>
        <w:rPr>
          <w:rFonts w:ascii="標楷體" w:eastAsia="標楷體" w:hAnsi="標楷體" w:cs="標楷體"/>
          <w:b/>
          <w:bCs/>
        </w:rPr>
        <w:t>2. 網站遊戲規劃項目</w:t>
      </w:r>
    </w:p>
    <w:p w14:paraId="5D228ABE" w14:textId="77777777" w:rsidR="00D44DCB" w:rsidRDefault="00000000">
      <w:pPr>
        <w:spacing w:after="120" w:line="360" w:lineRule="auto"/>
        <w:ind w:firstLine="480"/>
        <w:jc w:val="both"/>
        <w:rPr>
          <w:lang w:eastAsia="ja-JP"/>
        </w:rPr>
      </w:pPr>
      <w:r>
        <w:rPr>
          <w:rFonts w:ascii="新細明體" w:eastAsia="新細明體" w:hAnsi="新細明體" w:cs="新細明體"/>
          <w:sz w:val="24"/>
          <w:szCs w:val="24"/>
        </w:rPr>
        <w:t>下列內容均取自本次提供的網站遊戲附件與團隊補充之遊戲機制資料。</w:t>
      </w:r>
      <w:r>
        <w:rPr>
          <w:rFonts w:ascii="新細明體" w:eastAsia="新細明體" w:hAnsi="新細明體" w:cs="新細明體"/>
          <w:sz w:val="24"/>
          <w:szCs w:val="24"/>
          <w:lang w:eastAsia="ja-JP"/>
        </w:rPr>
        <w:t>表中將已明確提出的開發方向標示為「規劃中・未完成」，將規則或載體尚未決定的內容標示為「概念中・機制未定」，將目前尚未實作但已列入未來藍圖的項目標示為「未來藍圖・規劃中」；碎片機制依原始資料保留為高機率考慮項目，持續參與則列為尚待驗證的設計意圖，兩者皆不視為已達成成果。</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6-1　網站遊戲規劃項目總覽（含未來藍圖）</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800"/>
        <w:gridCol w:w="1600"/>
        <w:gridCol w:w="3600"/>
        <w:gridCol w:w="1600"/>
        <w:gridCol w:w="20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14:paraId="5D228AC0" w14:textId="77777777" w:rsidR="00D44DCB" w:rsidRDefault="00000000">
            <w:pPr>
              <w:spacing w:after="40"/>
            </w:pPr>
            <w:r>
              <w:rPr>
                <w:rFonts w:ascii="新細明體" w:eastAsia="新細明體" w:hAnsi="新細明體" w:cs="新細明體"/>
                <w:b/>
                <w:bCs/>
                <w:sz w:val="22"/>
                <w:szCs w:val="22"/>
              </w:rPr>
              <w:t>編號</w:t>
            </w:r>
          </w:p>
        </w:tc>
        <w:tc>
          <w:tcPr>
            <w:tcW w:w="1600" w:type="dxa"/>
            <w:shd w:val="clear" w:color="auto" w:fill="D9E2F3"/>
            <w:tcMar>
              <w:top w:w="40" w:type="dxa"/>
              <w:left w:w="80" w:type="dxa"/>
              <w:bottom w:w="40" w:type="dxa"/>
              <w:right w:w="80" w:type="dxa"/>
            </w:tcMar>
          </w:tcPr>
          <w:p w14:paraId="5D228AC1" w14:textId="77777777" w:rsidR="00D44DCB" w:rsidRDefault="00000000">
            <w:pPr>
              <w:spacing w:after="40"/>
            </w:pPr>
            <w:r>
              <w:rPr>
                <w:rFonts w:ascii="新細明體" w:eastAsia="新細明體" w:hAnsi="新細明體" w:cs="新細明體"/>
                <w:b/>
                <w:bCs/>
                <w:sz w:val="22"/>
                <w:szCs w:val="22"/>
              </w:rPr>
              <w:t>規劃項目</w:t>
            </w:r>
          </w:p>
        </w:tc>
        <w:tc>
          <w:tcPr>
            <w:tcW w:w="3600" w:type="dxa"/>
            <w:shd w:val="clear" w:color="auto" w:fill="D9E2F3"/>
            <w:tcMar>
              <w:top w:w="40" w:type="dxa"/>
              <w:left w:w="80" w:type="dxa"/>
              <w:bottom w:w="40" w:type="dxa"/>
              <w:right w:w="80" w:type="dxa"/>
            </w:tcMar>
          </w:tcPr>
          <w:p w14:paraId="5D228AC2" w14:textId="77777777" w:rsidR="00D44DCB" w:rsidRDefault="00000000">
            <w:pPr>
              <w:spacing w:after="40"/>
            </w:pPr>
            <w:r>
              <w:rPr>
                <w:rFonts w:ascii="新細明體" w:eastAsia="新細明體" w:hAnsi="新細明體" w:cs="新細明體"/>
                <w:b/>
                <w:bCs/>
                <w:sz w:val="22"/>
                <w:szCs w:val="22"/>
              </w:rPr>
              <w:t>內容與預期方向</w:t>
            </w:r>
          </w:p>
        </w:tc>
        <w:tc>
          <w:tcPr>
            <w:tcW w:w="1600" w:type="dxa"/>
            <w:shd w:val="clear" w:color="auto" w:fill="D9E2F3"/>
            <w:tcMar>
              <w:top w:w="40" w:type="dxa"/>
              <w:left w:w="80" w:type="dxa"/>
              <w:bottom w:w="40" w:type="dxa"/>
              <w:right w:w="80" w:type="dxa"/>
            </w:tcMar>
          </w:tcPr>
          <w:p w14:paraId="5D228AC3" w14:textId="77777777" w:rsidR="00D44DCB" w:rsidRDefault="00000000">
            <w:pPr>
              <w:spacing w:after="40"/>
            </w:pPr>
            <w:r>
              <w:rPr>
                <w:rFonts w:ascii="新細明體" w:eastAsia="新細明體" w:hAnsi="新細明體" w:cs="新細明體"/>
                <w:b/>
                <w:bCs/>
                <w:sz w:val="22"/>
                <w:szCs w:val="22"/>
              </w:rPr>
              <w:t>開發狀態</w:t>
            </w:r>
          </w:p>
        </w:tc>
        <w:tc>
          <w:tcPr>
            <w:tcW w:w="2000" w:type="dxa"/>
            <w:shd w:val="clear" w:color="auto" w:fill="D9E2F3"/>
            <w:tcMar>
              <w:top w:w="40" w:type="dxa"/>
              <w:left w:w="80" w:type="dxa"/>
              <w:bottom w:w="40" w:type="dxa"/>
              <w:right w:w="80" w:type="dxa"/>
            </w:tcMar>
          </w:tcPr>
          <w:p w14:paraId="5D228AC4" w14:textId="77777777" w:rsidR="00D44DCB" w:rsidRDefault="00000000">
            <w:pPr>
              <w:spacing w:after="40"/>
            </w:pPr>
            <w:r>
              <w:rPr>
                <w:rFonts w:ascii="新細明體" w:eastAsia="新細明體" w:hAnsi="新細明體" w:cs="新細明體"/>
                <w:b/>
                <w:bCs/>
                <w:sz w:val="22"/>
                <w:szCs w:val="22"/>
              </w:rPr>
              <w:t>尚待定義／審查</w:t>
            </w:r>
          </w:p>
        </w:tc>
      </w:tr>
      <w:tr w:rsidR="00D44DCB" w14:paraId="5D228ACB" w14:textId="77777777">
        <w:tblPrEx>
          <w:tblCellMar>
            <w:top w:w="0" w:type="dxa"/>
            <w:bottom w:w="0" w:type="dxa"/>
          </w:tblCellMar>
        </w:tblPrEx>
        <w:tc>
          <w:tcPr>
            <w:tcW w:w="800" w:type="dxa"/>
            <w:tcMar>
              <w:top w:w="40" w:type="dxa"/>
              <w:left w:w="80" w:type="dxa"/>
              <w:bottom w:w="40" w:type="dxa"/>
              <w:right w:w="80" w:type="dxa"/>
            </w:tcMar>
          </w:tcPr>
          <w:p w14:paraId="5D228AC6" w14:textId="77777777" w:rsidR="00D44DCB" w:rsidRDefault="00000000">
            <w:pPr>
              <w:spacing w:after="40"/>
            </w:pPr>
            <w:r>
              <w:rPr>
                <w:rFonts w:ascii="新細明體" w:eastAsia="新細明體" w:hAnsi="新細明體" w:cs="新細明體"/>
              </w:rPr>
              <w:t>F01</w:t>
            </w:r>
          </w:p>
        </w:tc>
        <w:tc>
          <w:tcPr>
            <w:tcW w:w="1600" w:type="dxa"/>
            <w:tcMar>
              <w:top w:w="40" w:type="dxa"/>
              <w:left w:w="80" w:type="dxa"/>
              <w:bottom w:w="40" w:type="dxa"/>
              <w:right w:w="80" w:type="dxa"/>
            </w:tcMar>
          </w:tcPr>
          <w:p w14:paraId="5D228AC7" w14:textId="77777777" w:rsidR="00D44DCB" w:rsidRDefault="00000000">
            <w:pPr>
              <w:spacing w:after="40"/>
            </w:pPr>
            <w:r>
              <w:rPr>
                <w:rFonts w:ascii="新細明體" w:eastAsia="新細明體" w:hAnsi="新細明體" w:cs="新細明體"/>
              </w:rPr>
              <w:t>人物模型</w:t>
            </w:r>
          </w:p>
        </w:tc>
        <w:tc>
          <w:tcPr>
            <w:tcW w:w="3600" w:type="dxa"/>
            <w:tcMar>
              <w:top w:w="40" w:type="dxa"/>
              <w:left w:w="80" w:type="dxa"/>
              <w:bottom w:w="40" w:type="dxa"/>
              <w:right w:w="80" w:type="dxa"/>
            </w:tcMar>
          </w:tcPr>
          <w:p w14:paraId="5D228AC8" w14:textId="77777777" w:rsidR="00D44DCB" w:rsidRDefault="00000000">
            <w:pPr>
              <w:spacing w:after="40"/>
            </w:pPr>
            <w:r>
              <w:rPr>
                <w:rFonts w:ascii="新細明體" w:eastAsia="新細明體" w:hAnsi="新細明體" w:cs="新細明體"/>
              </w:rPr>
              <w:t>規劃調整角色五官與身體構造的呈現，使人物外觀更清楚並具備較鮮明的角色特色。目前四維卡在建模嵌入遊戲的技術問題，若短期內無法解決將先擱置，優先處理其他項目。</w:t>
            </w:r>
          </w:p>
        </w:tc>
        <w:tc>
          <w:tcPr>
            <w:tcW w:w="1600" w:type="dxa"/>
            <w:tcMar>
              <w:top w:w="40" w:type="dxa"/>
              <w:left w:w="80" w:type="dxa"/>
              <w:bottom w:w="40" w:type="dxa"/>
              <w:right w:w="80" w:type="dxa"/>
            </w:tcMar>
          </w:tcPr>
          <w:p w14:paraId="5D228AC9"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CA" w14:textId="77777777" w:rsidR="00D44DCB" w:rsidRDefault="00000000">
            <w:pPr>
              <w:spacing w:after="40"/>
            </w:pPr>
            <w:r>
              <w:rPr>
                <w:rFonts w:ascii="新細明體" w:eastAsia="新細明體" w:hAnsi="新細明體" w:cs="新細明體"/>
              </w:rPr>
              <w:t>建模細節、驗收標準與技術瓶頸解決方案</w:t>
            </w:r>
          </w:p>
        </w:tc>
      </w:tr>
      <w:tr w:rsidR="00D44DCB" w14:paraId="5D228AD1" w14:textId="77777777">
        <w:tblPrEx>
          <w:tblCellMar>
            <w:top w:w="0" w:type="dxa"/>
            <w:bottom w:w="0" w:type="dxa"/>
          </w:tblCellMar>
        </w:tblPrEx>
        <w:tc>
          <w:tcPr>
            <w:tcW w:w="800" w:type="dxa"/>
            <w:tcMar>
              <w:top w:w="40" w:type="dxa"/>
              <w:left w:w="80" w:type="dxa"/>
              <w:bottom w:w="40" w:type="dxa"/>
              <w:right w:w="80" w:type="dxa"/>
            </w:tcMar>
          </w:tcPr>
          <w:p w14:paraId="5D228ACC" w14:textId="77777777" w:rsidR="00D44DCB" w:rsidRDefault="00000000">
            <w:pPr>
              <w:spacing w:after="40"/>
            </w:pPr>
            <w:r>
              <w:rPr>
                <w:rFonts w:ascii="新細明體" w:eastAsia="新細明體" w:hAnsi="新細明體" w:cs="新細明體"/>
              </w:rPr>
              <w:t>F02</w:t>
            </w:r>
          </w:p>
        </w:tc>
        <w:tc>
          <w:tcPr>
            <w:tcW w:w="1600" w:type="dxa"/>
            <w:tcMar>
              <w:top w:w="40" w:type="dxa"/>
              <w:left w:w="80" w:type="dxa"/>
              <w:bottom w:w="40" w:type="dxa"/>
              <w:right w:w="80" w:type="dxa"/>
            </w:tcMar>
          </w:tcPr>
          <w:p w14:paraId="5D228ACD" w14:textId="77777777" w:rsidR="00D44DCB" w:rsidRDefault="00000000">
            <w:pPr>
              <w:spacing w:after="40"/>
            </w:pPr>
            <w:r>
              <w:rPr>
                <w:rFonts w:ascii="新細明體" w:eastAsia="新細明體" w:hAnsi="新細明體" w:cs="新細明體"/>
              </w:rPr>
              <w:t>碎片機制</w:t>
            </w:r>
          </w:p>
        </w:tc>
        <w:tc>
          <w:tcPr>
            <w:tcW w:w="3600" w:type="dxa"/>
            <w:tcMar>
              <w:top w:w="40" w:type="dxa"/>
              <w:left w:w="80" w:type="dxa"/>
              <w:bottom w:w="40" w:type="dxa"/>
              <w:right w:w="80" w:type="dxa"/>
            </w:tcMar>
          </w:tcPr>
          <w:p w14:paraId="5D228ACE" w14:textId="77777777" w:rsidR="00D44DCB" w:rsidRDefault="00000000">
            <w:pPr>
              <w:spacing w:after="40"/>
            </w:pPr>
            <w:r>
              <w:rPr>
                <w:rFonts w:ascii="新細明體" w:eastAsia="新細明體" w:hAnsi="新細明體" w:cs="新細明體"/>
              </w:rPr>
              <w:t>附件表示此機制約有九成可能納入。碎片可於健身結算時獲得，用於集換特定物件；當使用者已擁有該物件時，碎片的轉化型態尚待確認。取得方式、用途、數量及與既有系統的關係均未決定。</w:t>
            </w:r>
          </w:p>
        </w:tc>
        <w:tc>
          <w:tcPr>
            <w:tcW w:w="1600" w:type="dxa"/>
            <w:tcMar>
              <w:top w:w="40" w:type="dxa"/>
              <w:left w:w="80" w:type="dxa"/>
              <w:bottom w:w="40" w:type="dxa"/>
              <w:right w:w="80" w:type="dxa"/>
            </w:tcMar>
          </w:tcPr>
          <w:p w14:paraId="5D228ACF" w14:textId="77777777" w:rsidR="00D44DCB" w:rsidRDefault="00000000">
            <w:pPr>
              <w:spacing w:after="40"/>
              <w:rPr>
                <w:lang w:eastAsia="ja-JP"/>
              </w:rPr>
            </w:pPr>
            <w:r>
              <w:rPr>
                <w:rFonts w:ascii="新細明體" w:eastAsia="新細明體" w:hAnsi="新細明體" w:cs="新細明體"/>
                <w:lang w:eastAsia="ja-JP"/>
              </w:rPr>
              <w:t>高機率考慮中・機制未定</w:t>
            </w:r>
          </w:p>
        </w:tc>
        <w:tc>
          <w:tcPr>
            <w:tcW w:w="2000" w:type="dxa"/>
            <w:tcMar>
              <w:top w:w="40" w:type="dxa"/>
              <w:left w:w="80" w:type="dxa"/>
              <w:bottom w:w="40" w:type="dxa"/>
              <w:right w:w="80" w:type="dxa"/>
            </w:tcMar>
          </w:tcPr>
          <w:p w14:paraId="5D228AD0" w14:textId="77777777" w:rsidR="00D44DCB" w:rsidRDefault="00000000">
            <w:pPr>
              <w:spacing w:after="40"/>
            </w:pPr>
            <w:r>
              <w:rPr>
                <w:rFonts w:ascii="新細明體" w:eastAsia="新細明體" w:hAnsi="新細明體" w:cs="新細明體"/>
              </w:rPr>
              <w:t>完整玩法、經濟規則與重複物件轉化方式</w:t>
            </w:r>
          </w:p>
        </w:tc>
      </w:tr>
      <w:tr w:rsidR="00D44DCB" w14:paraId="5D228AD7" w14:textId="77777777">
        <w:tblPrEx>
          <w:tblCellMar>
            <w:top w:w="0" w:type="dxa"/>
            <w:bottom w:w="0" w:type="dxa"/>
          </w:tblCellMar>
        </w:tblPrEx>
        <w:tc>
          <w:tcPr>
            <w:tcW w:w="800" w:type="dxa"/>
            <w:tcMar>
              <w:top w:w="40" w:type="dxa"/>
              <w:left w:w="80" w:type="dxa"/>
              <w:bottom w:w="40" w:type="dxa"/>
              <w:right w:w="80" w:type="dxa"/>
            </w:tcMar>
          </w:tcPr>
          <w:p w14:paraId="5D228AD2" w14:textId="77777777" w:rsidR="00D44DCB" w:rsidRDefault="00000000">
            <w:pPr>
              <w:spacing w:after="40"/>
            </w:pPr>
            <w:r>
              <w:rPr>
                <w:rFonts w:ascii="新細明體" w:eastAsia="新細明體" w:hAnsi="新細明體" w:cs="新細明體"/>
              </w:rPr>
              <w:t>F03</w:t>
            </w:r>
          </w:p>
        </w:tc>
        <w:tc>
          <w:tcPr>
            <w:tcW w:w="1600" w:type="dxa"/>
            <w:tcMar>
              <w:top w:w="40" w:type="dxa"/>
              <w:left w:w="80" w:type="dxa"/>
              <w:bottom w:w="40" w:type="dxa"/>
              <w:right w:w="80" w:type="dxa"/>
            </w:tcMar>
          </w:tcPr>
          <w:p w14:paraId="5D228AD3" w14:textId="77777777" w:rsidR="00D44DCB" w:rsidRDefault="00000000">
            <w:pPr>
              <w:spacing w:after="40"/>
            </w:pPr>
            <w:r>
              <w:rPr>
                <w:rFonts w:ascii="新細明體" w:eastAsia="新細明體" w:hAnsi="新細明體" w:cs="新細明體"/>
              </w:rPr>
              <w:t>髮型與穿搭協調</w:t>
            </w:r>
          </w:p>
        </w:tc>
        <w:tc>
          <w:tcPr>
            <w:tcW w:w="3600" w:type="dxa"/>
            <w:tcMar>
              <w:top w:w="40" w:type="dxa"/>
              <w:left w:w="80" w:type="dxa"/>
              <w:bottom w:w="40" w:type="dxa"/>
              <w:right w:w="80" w:type="dxa"/>
            </w:tcMar>
          </w:tcPr>
          <w:p w14:paraId="5D228AD4" w14:textId="77777777" w:rsidR="00D44DCB" w:rsidRDefault="00000000">
            <w:pPr>
              <w:spacing w:after="40"/>
            </w:pPr>
            <w:r>
              <w:rPr>
                <w:rFonts w:ascii="新細明體" w:eastAsia="新細明體" w:hAnsi="新細明體" w:cs="新細明體"/>
              </w:rPr>
              <w:t>規劃整合髮型風格、各類穿搭與裝飾的搭配關係，降低造型組合彼此不協調或不相容的視覺情形。</w:t>
            </w:r>
          </w:p>
        </w:tc>
        <w:tc>
          <w:tcPr>
            <w:tcW w:w="1600" w:type="dxa"/>
            <w:tcMar>
              <w:top w:w="40" w:type="dxa"/>
              <w:left w:w="80" w:type="dxa"/>
              <w:bottom w:w="40" w:type="dxa"/>
              <w:right w:w="80" w:type="dxa"/>
            </w:tcMar>
          </w:tcPr>
          <w:p w14:paraId="5D228AD5"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D6" w14:textId="77777777" w:rsidR="00D44DCB" w:rsidRDefault="00000000">
            <w:pPr>
              <w:spacing w:after="40"/>
            </w:pPr>
            <w:r>
              <w:rPr>
                <w:rFonts w:ascii="新細明體" w:eastAsia="新細明體" w:hAnsi="新細明體" w:cs="新細明體"/>
              </w:rPr>
              <w:t>搭配規則與素材調整範圍</w:t>
            </w:r>
          </w:p>
        </w:tc>
      </w:tr>
      <w:tr w:rsidR="00D44DCB" w14:paraId="5D228ADD" w14:textId="77777777">
        <w:tblPrEx>
          <w:tblCellMar>
            <w:top w:w="0" w:type="dxa"/>
            <w:bottom w:w="0" w:type="dxa"/>
          </w:tblCellMar>
        </w:tblPrEx>
        <w:tc>
          <w:tcPr>
            <w:tcW w:w="800" w:type="dxa"/>
            <w:tcMar>
              <w:top w:w="40" w:type="dxa"/>
              <w:left w:w="80" w:type="dxa"/>
              <w:bottom w:w="40" w:type="dxa"/>
              <w:right w:w="80" w:type="dxa"/>
            </w:tcMar>
          </w:tcPr>
          <w:p w14:paraId="5D228AD8" w14:textId="77777777" w:rsidR="00D44DCB" w:rsidRDefault="00000000">
            <w:pPr>
              <w:spacing w:after="40"/>
            </w:pPr>
            <w:r>
              <w:rPr>
                <w:rFonts w:ascii="新細明體" w:eastAsia="新細明體" w:hAnsi="新細明體" w:cs="新細明體"/>
              </w:rPr>
              <w:t>F04</w:t>
            </w:r>
          </w:p>
        </w:tc>
        <w:tc>
          <w:tcPr>
            <w:tcW w:w="1600" w:type="dxa"/>
            <w:tcMar>
              <w:top w:w="40" w:type="dxa"/>
              <w:left w:w="80" w:type="dxa"/>
              <w:bottom w:w="40" w:type="dxa"/>
              <w:right w:w="80" w:type="dxa"/>
            </w:tcMar>
          </w:tcPr>
          <w:p w14:paraId="5D228AD9" w14:textId="77777777" w:rsidR="00D44DCB" w:rsidRDefault="00000000">
            <w:pPr>
              <w:spacing w:after="40"/>
            </w:pPr>
            <w:r>
              <w:rPr>
                <w:rFonts w:ascii="新細明體" w:eastAsia="新細明體" w:hAnsi="新細明體" w:cs="新細明體"/>
              </w:rPr>
              <w:t>畫質與特效</w:t>
            </w:r>
          </w:p>
        </w:tc>
        <w:tc>
          <w:tcPr>
            <w:tcW w:w="3600" w:type="dxa"/>
            <w:tcMar>
              <w:top w:w="40" w:type="dxa"/>
              <w:left w:w="80" w:type="dxa"/>
              <w:bottom w:w="40" w:type="dxa"/>
              <w:right w:w="80" w:type="dxa"/>
            </w:tcMar>
          </w:tcPr>
          <w:p w14:paraId="5D228ADA" w14:textId="77777777" w:rsidR="00D44DCB" w:rsidRDefault="00000000">
            <w:pPr>
              <w:spacing w:after="40"/>
            </w:pPr>
            <w:r>
              <w:rPr>
                <w:rFonts w:ascii="新細明體" w:eastAsia="新細明體" w:hAnsi="新細明體" w:cs="新細明體"/>
              </w:rPr>
              <w:t>規劃升級整體畫質與特效品質，使場景、角色及互動畫面具有較一致的質感。</w:t>
            </w:r>
          </w:p>
        </w:tc>
        <w:tc>
          <w:tcPr>
            <w:tcW w:w="1600" w:type="dxa"/>
            <w:tcMar>
              <w:top w:w="40" w:type="dxa"/>
              <w:left w:w="80" w:type="dxa"/>
              <w:bottom w:w="40" w:type="dxa"/>
              <w:right w:w="80" w:type="dxa"/>
            </w:tcMar>
          </w:tcPr>
          <w:p w14:paraId="5D228ADB"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DC" w14:textId="77777777" w:rsidR="00D44DCB" w:rsidRDefault="00000000">
            <w:pPr>
              <w:spacing w:after="40"/>
            </w:pPr>
            <w:r>
              <w:rPr>
                <w:rFonts w:ascii="新細明體" w:eastAsia="新細明體" w:hAnsi="新細明體" w:cs="新細明體"/>
              </w:rPr>
              <w:t>品質基準、效能與裝置負載</w:t>
            </w:r>
          </w:p>
        </w:tc>
      </w:tr>
      <w:tr w:rsidR="00D44DCB" w14:paraId="5D228AE3" w14:textId="77777777">
        <w:tblPrEx>
          <w:tblCellMar>
            <w:top w:w="0" w:type="dxa"/>
            <w:bottom w:w="0" w:type="dxa"/>
          </w:tblCellMar>
        </w:tblPrEx>
        <w:tc>
          <w:tcPr>
            <w:tcW w:w="800" w:type="dxa"/>
            <w:tcMar>
              <w:top w:w="40" w:type="dxa"/>
              <w:left w:w="80" w:type="dxa"/>
              <w:bottom w:w="40" w:type="dxa"/>
              <w:right w:w="80" w:type="dxa"/>
            </w:tcMar>
          </w:tcPr>
          <w:p w14:paraId="5D228ADE" w14:textId="77777777" w:rsidR="00D44DCB" w:rsidRDefault="00000000">
            <w:pPr>
              <w:spacing w:after="40"/>
            </w:pPr>
            <w:r>
              <w:rPr>
                <w:rFonts w:ascii="新細明體" w:eastAsia="新細明體" w:hAnsi="新細明體" w:cs="新細明體"/>
              </w:rPr>
              <w:t>F05</w:t>
            </w:r>
          </w:p>
        </w:tc>
        <w:tc>
          <w:tcPr>
            <w:tcW w:w="1600" w:type="dxa"/>
            <w:tcMar>
              <w:top w:w="40" w:type="dxa"/>
              <w:left w:w="80" w:type="dxa"/>
              <w:bottom w:w="40" w:type="dxa"/>
              <w:right w:w="80" w:type="dxa"/>
            </w:tcMar>
          </w:tcPr>
          <w:p w14:paraId="5D228ADF" w14:textId="77777777" w:rsidR="00D44DCB" w:rsidRDefault="00000000">
            <w:pPr>
              <w:spacing w:after="40"/>
            </w:pPr>
            <w:r>
              <w:rPr>
                <w:rFonts w:ascii="新細明體" w:eastAsia="新細明體" w:hAnsi="新細明體" w:cs="新細明體"/>
              </w:rPr>
              <w:t>UI 視覺優化</w:t>
            </w:r>
          </w:p>
        </w:tc>
        <w:tc>
          <w:tcPr>
            <w:tcW w:w="3600" w:type="dxa"/>
            <w:tcMar>
              <w:top w:w="40" w:type="dxa"/>
              <w:left w:w="80" w:type="dxa"/>
              <w:bottom w:w="40" w:type="dxa"/>
              <w:right w:w="80" w:type="dxa"/>
            </w:tcMar>
          </w:tcPr>
          <w:p w14:paraId="5D228AE0" w14:textId="77777777" w:rsidR="00D44DCB" w:rsidRDefault="00000000">
            <w:pPr>
              <w:spacing w:after="40"/>
            </w:pPr>
            <w:r>
              <w:rPr>
                <w:rFonts w:ascii="新細明體" w:eastAsia="新細明體" w:hAnsi="新細明體" w:cs="新細明體"/>
              </w:rPr>
              <w:t>規劃全面優化遊戲 UI 的風格與質感；《光·遇》與《動物森友會》僅作美術氛圍與品質參考，不代表複製其素材、介面或玩法。</w:t>
            </w:r>
          </w:p>
        </w:tc>
        <w:tc>
          <w:tcPr>
            <w:tcW w:w="1600" w:type="dxa"/>
            <w:tcMar>
              <w:top w:w="40" w:type="dxa"/>
              <w:left w:w="80" w:type="dxa"/>
              <w:bottom w:w="40" w:type="dxa"/>
              <w:right w:w="80" w:type="dxa"/>
            </w:tcMar>
          </w:tcPr>
          <w:p w14:paraId="5D228AE1"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E2" w14:textId="77777777" w:rsidR="00D44DCB" w:rsidRDefault="00000000">
            <w:pPr>
              <w:spacing w:after="40"/>
            </w:pPr>
            <w:r>
              <w:rPr>
                <w:rFonts w:ascii="新細明體" w:eastAsia="新細明體" w:hAnsi="新細明體" w:cs="新細明體"/>
              </w:rPr>
              <w:t>視覺規範、元件範圍與一致性</w:t>
            </w:r>
          </w:p>
        </w:tc>
      </w:tr>
      <w:tr w:rsidR="00D44DCB" w14:paraId="5D228AE9" w14:textId="77777777">
        <w:tblPrEx>
          <w:tblCellMar>
            <w:top w:w="0" w:type="dxa"/>
            <w:bottom w:w="0" w:type="dxa"/>
          </w:tblCellMar>
        </w:tblPrEx>
        <w:tc>
          <w:tcPr>
            <w:tcW w:w="800" w:type="dxa"/>
            <w:tcMar>
              <w:top w:w="40" w:type="dxa"/>
              <w:left w:w="80" w:type="dxa"/>
              <w:bottom w:w="40" w:type="dxa"/>
              <w:right w:w="80" w:type="dxa"/>
            </w:tcMar>
          </w:tcPr>
          <w:p w14:paraId="5D228AE4" w14:textId="77777777" w:rsidR="00D44DCB" w:rsidRDefault="00000000">
            <w:pPr>
              <w:spacing w:after="40"/>
            </w:pPr>
            <w:r>
              <w:rPr>
                <w:rFonts w:ascii="新細明體" w:eastAsia="新細明體" w:hAnsi="新細明體" w:cs="新細明體"/>
              </w:rPr>
              <w:t>F06</w:t>
            </w:r>
          </w:p>
        </w:tc>
        <w:tc>
          <w:tcPr>
            <w:tcW w:w="1600" w:type="dxa"/>
            <w:tcMar>
              <w:top w:w="40" w:type="dxa"/>
              <w:left w:w="80" w:type="dxa"/>
              <w:bottom w:w="40" w:type="dxa"/>
              <w:right w:w="80" w:type="dxa"/>
            </w:tcMar>
          </w:tcPr>
          <w:p w14:paraId="5D228AE5" w14:textId="77777777" w:rsidR="00D44DCB" w:rsidRDefault="00000000">
            <w:pPr>
              <w:spacing w:after="40"/>
            </w:pPr>
            <w:r>
              <w:rPr>
                <w:rFonts w:ascii="新細明體" w:eastAsia="新細明體" w:hAnsi="新細明體" w:cs="新細明體"/>
              </w:rPr>
              <w:t>登入中斷解鎖</w:t>
            </w:r>
          </w:p>
        </w:tc>
        <w:tc>
          <w:tcPr>
            <w:tcW w:w="3600" w:type="dxa"/>
            <w:tcMar>
              <w:top w:w="40" w:type="dxa"/>
              <w:left w:w="80" w:type="dxa"/>
              <w:bottom w:w="40" w:type="dxa"/>
              <w:right w:w="80" w:type="dxa"/>
            </w:tcMar>
          </w:tcPr>
          <w:p w14:paraId="5D228AE6" w14:textId="77777777" w:rsidR="00D44DCB" w:rsidRDefault="00000000">
            <w:pPr>
              <w:spacing w:after="40"/>
            </w:pPr>
            <w:r>
              <w:rPr>
                <w:rFonts w:ascii="新細明體" w:eastAsia="新細明體" w:hAnsi="新細明體" w:cs="新細明體"/>
              </w:rPr>
              <w:t>規劃在每日登入中斷後，以來源所述的「花錢解鎖」方式恢復領取大獎的資格。</w:t>
            </w:r>
          </w:p>
        </w:tc>
        <w:tc>
          <w:tcPr>
            <w:tcW w:w="1600" w:type="dxa"/>
            <w:tcMar>
              <w:top w:w="40" w:type="dxa"/>
              <w:left w:w="80" w:type="dxa"/>
              <w:bottom w:w="40" w:type="dxa"/>
              <w:right w:w="80" w:type="dxa"/>
            </w:tcMar>
          </w:tcPr>
          <w:p w14:paraId="5D228AE7"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E8" w14:textId="77777777" w:rsidR="00D44DCB" w:rsidRDefault="00000000">
            <w:pPr>
              <w:spacing w:after="40"/>
            </w:pPr>
            <w:r>
              <w:rPr>
                <w:rFonts w:ascii="新細明體" w:eastAsia="新細明體" w:hAnsi="新細明體" w:cs="新細明體"/>
              </w:rPr>
              <w:t>具體付費方式、價格、條件、公平性與付費壓力</w:t>
            </w:r>
          </w:p>
        </w:tc>
      </w:tr>
      <w:tr w:rsidR="00D44DCB" w14:paraId="5D228AEF" w14:textId="77777777">
        <w:tblPrEx>
          <w:tblCellMar>
            <w:top w:w="0" w:type="dxa"/>
            <w:bottom w:w="0" w:type="dxa"/>
          </w:tblCellMar>
        </w:tblPrEx>
        <w:tc>
          <w:tcPr>
            <w:tcW w:w="800" w:type="dxa"/>
            <w:tcMar>
              <w:top w:w="40" w:type="dxa"/>
              <w:left w:w="80" w:type="dxa"/>
              <w:bottom w:w="40" w:type="dxa"/>
              <w:right w:w="80" w:type="dxa"/>
            </w:tcMar>
          </w:tcPr>
          <w:p w14:paraId="5D228AEA" w14:textId="77777777" w:rsidR="00D44DCB" w:rsidRDefault="00000000">
            <w:pPr>
              <w:spacing w:after="40"/>
            </w:pPr>
            <w:r>
              <w:rPr>
                <w:rFonts w:ascii="新細明體" w:eastAsia="新細明體" w:hAnsi="新細明體" w:cs="新細明體"/>
              </w:rPr>
              <w:t>F07</w:t>
            </w:r>
          </w:p>
        </w:tc>
        <w:tc>
          <w:tcPr>
            <w:tcW w:w="1600" w:type="dxa"/>
            <w:tcMar>
              <w:top w:w="40" w:type="dxa"/>
              <w:left w:w="80" w:type="dxa"/>
              <w:bottom w:w="40" w:type="dxa"/>
              <w:right w:w="80" w:type="dxa"/>
            </w:tcMar>
          </w:tcPr>
          <w:p w14:paraId="5D228AEB" w14:textId="77777777" w:rsidR="00D44DCB" w:rsidRDefault="00000000">
            <w:pPr>
              <w:spacing w:after="40"/>
            </w:pPr>
            <w:r>
              <w:rPr>
                <w:rFonts w:ascii="新細明體" w:eastAsia="新細明體" w:hAnsi="新細明體" w:cs="新細明體"/>
              </w:rPr>
              <w:t>手機端大型訊息框</w:t>
            </w:r>
          </w:p>
        </w:tc>
        <w:tc>
          <w:tcPr>
            <w:tcW w:w="3600" w:type="dxa"/>
            <w:tcMar>
              <w:top w:w="40" w:type="dxa"/>
              <w:left w:w="80" w:type="dxa"/>
              <w:bottom w:w="40" w:type="dxa"/>
              <w:right w:w="80" w:type="dxa"/>
            </w:tcMar>
          </w:tcPr>
          <w:p w14:paraId="5D228AEC" w14:textId="77777777" w:rsidR="00D44DCB" w:rsidRDefault="00000000">
            <w:pPr>
              <w:spacing w:after="40"/>
            </w:pPr>
            <w:r>
              <w:rPr>
                <w:rFonts w:ascii="新細明體" w:eastAsia="新細明體" w:hAnsi="新細明體" w:cs="新細明體"/>
              </w:rPr>
              <w:t>規劃加入手機／APP 大型訊息框，作為醒目的手機端提醒介面。</w:t>
            </w:r>
          </w:p>
        </w:tc>
        <w:tc>
          <w:tcPr>
            <w:tcW w:w="1600" w:type="dxa"/>
            <w:tcMar>
              <w:top w:w="40" w:type="dxa"/>
              <w:left w:w="80" w:type="dxa"/>
              <w:bottom w:w="40" w:type="dxa"/>
              <w:right w:w="80" w:type="dxa"/>
            </w:tcMar>
          </w:tcPr>
          <w:p w14:paraId="5D228AED"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EE" w14:textId="77777777" w:rsidR="00D44DCB" w:rsidRDefault="00000000">
            <w:pPr>
              <w:spacing w:after="40"/>
            </w:pPr>
            <w:r>
              <w:rPr>
                <w:rFonts w:ascii="新細明體" w:eastAsia="新細明體" w:hAnsi="新細明體" w:cs="新細明體"/>
              </w:rPr>
              <w:t>呈現載體與顯示時機</w:t>
            </w:r>
          </w:p>
        </w:tc>
      </w:tr>
      <w:tr w:rsidR="00D44DCB" w14:paraId="5D228AF5" w14:textId="77777777">
        <w:tblPrEx>
          <w:tblCellMar>
            <w:top w:w="0" w:type="dxa"/>
            <w:bottom w:w="0" w:type="dxa"/>
          </w:tblCellMar>
        </w:tblPrEx>
        <w:tc>
          <w:tcPr>
            <w:tcW w:w="800" w:type="dxa"/>
            <w:tcMar>
              <w:top w:w="40" w:type="dxa"/>
              <w:left w:w="80" w:type="dxa"/>
              <w:bottom w:w="40" w:type="dxa"/>
              <w:right w:w="80" w:type="dxa"/>
            </w:tcMar>
          </w:tcPr>
          <w:p w14:paraId="5D228AF0" w14:textId="77777777" w:rsidR="00D44DCB" w:rsidRDefault="00000000">
            <w:pPr>
              <w:spacing w:after="40"/>
            </w:pPr>
            <w:r>
              <w:rPr>
                <w:rFonts w:ascii="新細明體" w:eastAsia="新細明體" w:hAnsi="新細明體" w:cs="新細明體"/>
              </w:rPr>
              <w:t>F08</w:t>
            </w:r>
          </w:p>
        </w:tc>
        <w:tc>
          <w:tcPr>
            <w:tcW w:w="1600" w:type="dxa"/>
            <w:tcMar>
              <w:top w:w="40" w:type="dxa"/>
              <w:left w:w="80" w:type="dxa"/>
              <w:bottom w:w="40" w:type="dxa"/>
              <w:right w:w="80" w:type="dxa"/>
            </w:tcMar>
          </w:tcPr>
          <w:p w14:paraId="5D228AF1" w14:textId="77777777" w:rsidR="00D44DCB" w:rsidRDefault="00000000">
            <w:pPr>
              <w:spacing w:after="40"/>
            </w:pPr>
            <w:r>
              <w:rPr>
                <w:rFonts w:ascii="新細明體" w:eastAsia="新細明體" w:hAnsi="新細明體" w:cs="新細明體"/>
              </w:rPr>
              <w:t>藤蔓侵蝕事件</w:t>
            </w:r>
          </w:p>
        </w:tc>
        <w:tc>
          <w:tcPr>
            <w:tcW w:w="3600" w:type="dxa"/>
            <w:tcMar>
              <w:top w:w="40" w:type="dxa"/>
              <w:left w:w="80" w:type="dxa"/>
              <w:bottom w:w="40" w:type="dxa"/>
              <w:right w:w="80" w:type="dxa"/>
            </w:tcMar>
          </w:tcPr>
          <w:p w14:paraId="5D228AF2" w14:textId="77777777" w:rsidR="00D44DCB" w:rsidRDefault="00000000">
            <w:pPr>
              <w:spacing w:after="40"/>
            </w:pPr>
            <w:r>
              <w:rPr>
                <w:rFonts w:ascii="新細明體" w:eastAsia="新細明體" w:hAnsi="新細明體" w:cs="新細明體"/>
              </w:rPr>
              <w:t>規劃以藤蔓撐開或破壞地板、房屋、房屋內部及島嶼的視覺／遊戲事件，呈現中斷參與後的負向回饋。</w:t>
            </w:r>
          </w:p>
        </w:tc>
        <w:tc>
          <w:tcPr>
            <w:tcW w:w="1600" w:type="dxa"/>
            <w:tcMar>
              <w:top w:w="40" w:type="dxa"/>
              <w:left w:w="80" w:type="dxa"/>
              <w:bottom w:w="40" w:type="dxa"/>
              <w:right w:w="80" w:type="dxa"/>
            </w:tcMar>
          </w:tcPr>
          <w:p w14:paraId="5D228AF3"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F4" w14:textId="77777777" w:rsidR="00D44DCB" w:rsidRDefault="00000000">
            <w:pPr>
              <w:spacing w:after="40"/>
            </w:pPr>
            <w:r>
              <w:rPr>
                <w:rFonts w:ascii="新細明體" w:eastAsia="新細明體" w:hAnsi="新細明體" w:cs="新細明體"/>
              </w:rPr>
              <w:t>觸發、程度、可逆性、復原與資產影響</w:t>
            </w:r>
          </w:p>
        </w:tc>
      </w:tr>
      <w:tr w:rsidR="00D44DCB" w14:paraId="5D228AFB" w14:textId="77777777">
        <w:tblPrEx>
          <w:tblCellMar>
            <w:top w:w="0" w:type="dxa"/>
            <w:bottom w:w="0" w:type="dxa"/>
          </w:tblCellMar>
        </w:tblPrEx>
        <w:tc>
          <w:tcPr>
            <w:tcW w:w="800" w:type="dxa"/>
            <w:tcMar>
              <w:top w:w="40" w:type="dxa"/>
              <w:left w:w="80" w:type="dxa"/>
              <w:bottom w:w="40" w:type="dxa"/>
              <w:right w:w="80" w:type="dxa"/>
            </w:tcMar>
          </w:tcPr>
          <w:p w14:paraId="5D228AF6" w14:textId="77777777" w:rsidR="00D44DCB" w:rsidRDefault="00000000">
            <w:pPr>
              <w:spacing w:after="40"/>
            </w:pPr>
            <w:r>
              <w:rPr>
                <w:rFonts w:ascii="新細明體" w:eastAsia="新細明體" w:hAnsi="新細明體" w:cs="新細明體"/>
              </w:rPr>
              <w:lastRenderedPageBreak/>
              <w:t>F09</w:t>
            </w:r>
          </w:p>
        </w:tc>
        <w:tc>
          <w:tcPr>
            <w:tcW w:w="1600" w:type="dxa"/>
            <w:tcMar>
              <w:top w:w="40" w:type="dxa"/>
              <w:left w:w="80" w:type="dxa"/>
              <w:bottom w:w="40" w:type="dxa"/>
              <w:right w:w="80" w:type="dxa"/>
            </w:tcMar>
          </w:tcPr>
          <w:p w14:paraId="5D228AF7" w14:textId="77777777" w:rsidR="00D44DCB" w:rsidRDefault="00000000">
            <w:pPr>
              <w:spacing w:after="40"/>
            </w:pPr>
            <w:r>
              <w:rPr>
                <w:rFonts w:ascii="新細明體" w:eastAsia="新細明體" w:hAnsi="新細明體" w:cs="新細明體"/>
              </w:rPr>
              <w:t>顏色變化提醒</w:t>
            </w:r>
          </w:p>
        </w:tc>
        <w:tc>
          <w:tcPr>
            <w:tcW w:w="3600" w:type="dxa"/>
            <w:tcMar>
              <w:top w:w="40" w:type="dxa"/>
              <w:left w:w="80" w:type="dxa"/>
              <w:bottom w:w="40" w:type="dxa"/>
              <w:right w:w="80" w:type="dxa"/>
            </w:tcMar>
          </w:tcPr>
          <w:p w14:paraId="5D228AF8" w14:textId="77777777" w:rsidR="00D44DCB" w:rsidRDefault="00000000">
            <w:pPr>
              <w:spacing w:after="40"/>
            </w:pPr>
            <w:r>
              <w:rPr>
                <w:rFonts w:ascii="新細明體" w:eastAsia="新細明體" w:hAnsi="新細明體" w:cs="新細明體"/>
              </w:rPr>
              <w:t>手機端大型訊息框規劃以明顯顏色變化提醒使用者。</w:t>
            </w:r>
          </w:p>
        </w:tc>
        <w:tc>
          <w:tcPr>
            <w:tcW w:w="1600" w:type="dxa"/>
            <w:tcMar>
              <w:top w:w="40" w:type="dxa"/>
              <w:left w:w="80" w:type="dxa"/>
              <w:bottom w:w="40" w:type="dxa"/>
              <w:right w:w="80" w:type="dxa"/>
            </w:tcMar>
          </w:tcPr>
          <w:p w14:paraId="5D228AF9"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FA" w14:textId="77777777" w:rsidR="00D44DCB" w:rsidRDefault="00000000">
            <w:pPr>
              <w:spacing w:after="40"/>
            </w:pPr>
            <w:r>
              <w:rPr>
                <w:rFonts w:ascii="新細明體" w:eastAsia="新細明體" w:hAnsi="新細明體" w:cs="新細明體"/>
              </w:rPr>
              <w:t>色彩規則、提示層級與可讀性</w:t>
            </w:r>
          </w:p>
        </w:tc>
      </w:tr>
      <w:tr w:rsidR="00D44DCB" w14:paraId="5D228B01" w14:textId="77777777">
        <w:tblPrEx>
          <w:tblCellMar>
            <w:top w:w="0" w:type="dxa"/>
            <w:bottom w:w="0" w:type="dxa"/>
          </w:tblCellMar>
        </w:tblPrEx>
        <w:tc>
          <w:tcPr>
            <w:tcW w:w="800" w:type="dxa"/>
            <w:tcMar>
              <w:top w:w="40" w:type="dxa"/>
              <w:left w:w="80" w:type="dxa"/>
              <w:bottom w:w="40" w:type="dxa"/>
              <w:right w:w="80" w:type="dxa"/>
            </w:tcMar>
          </w:tcPr>
          <w:p w14:paraId="5D228AFC" w14:textId="77777777" w:rsidR="00D44DCB" w:rsidRDefault="00000000">
            <w:pPr>
              <w:spacing w:after="40"/>
            </w:pPr>
            <w:r>
              <w:rPr>
                <w:rFonts w:ascii="新細明體" w:eastAsia="新細明體" w:hAnsi="新細明體" w:cs="新細明體"/>
              </w:rPr>
              <w:t>F10</w:t>
            </w:r>
          </w:p>
        </w:tc>
        <w:tc>
          <w:tcPr>
            <w:tcW w:w="1600" w:type="dxa"/>
            <w:tcMar>
              <w:top w:w="40" w:type="dxa"/>
              <w:left w:w="80" w:type="dxa"/>
              <w:bottom w:w="40" w:type="dxa"/>
              <w:right w:w="80" w:type="dxa"/>
            </w:tcMar>
          </w:tcPr>
          <w:p w14:paraId="5D228AFD" w14:textId="77777777" w:rsidR="00D44DCB" w:rsidRDefault="00000000">
            <w:pPr>
              <w:spacing w:after="40"/>
            </w:pPr>
            <w:r>
              <w:rPr>
                <w:rFonts w:ascii="新細明體" w:eastAsia="新細明體" w:hAnsi="新細明體" w:cs="新細明體"/>
              </w:rPr>
              <w:t>每日挑戰式通知</w:t>
            </w:r>
          </w:p>
        </w:tc>
        <w:tc>
          <w:tcPr>
            <w:tcW w:w="3600" w:type="dxa"/>
            <w:tcMar>
              <w:top w:w="40" w:type="dxa"/>
              <w:left w:w="80" w:type="dxa"/>
              <w:bottom w:w="40" w:type="dxa"/>
              <w:right w:w="80" w:type="dxa"/>
            </w:tcMar>
          </w:tcPr>
          <w:p w14:paraId="5D228AFE" w14:textId="77777777" w:rsidR="00D44DCB" w:rsidRDefault="00000000">
            <w:pPr>
              <w:spacing w:after="40"/>
            </w:pPr>
            <w:r>
              <w:rPr>
                <w:rFonts w:ascii="新細明體" w:eastAsia="新細明體" w:hAnsi="新細明體" w:cs="新細明體"/>
              </w:rPr>
              <w:t>規劃每日發送帶有挑戰語氣的激勵式通知（來源原稱「激將法」），用於刺激使用者重新參與。</w:t>
            </w:r>
          </w:p>
        </w:tc>
        <w:tc>
          <w:tcPr>
            <w:tcW w:w="1600" w:type="dxa"/>
            <w:tcMar>
              <w:top w:w="40" w:type="dxa"/>
              <w:left w:w="80" w:type="dxa"/>
              <w:bottom w:w="40" w:type="dxa"/>
              <w:right w:w="80" w:type="dxa"/>
            </w:tcMar>
          </w:tcPr>
          <w:p w14:paraId="5D228AFF"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B00" w14:textId="77777777" w:rsidR="00D44DCB" w:rsidRDefault="00000000">
            <w:pPr>
              <w:spacing w:after="40"/>
            </w:pPr>
            <w:r>
              <w:rPr>
                <w:rFonts w:ascii="新細明體" w:eastAsia="新細明體" w:hAnsi="新細明體" w:cs="新細明體"/>
              </w:rPr>
              <w:t>頻率、文案、同意、關閉方式與心理壓力</w:t>
            </w:r>
          </w:p>
        </w:tc>
      </w:tr>
      <w:tr w:rsidR="00D44DCB" w14:paraId="5D228B07" w14:textId="77777777">
        <w:tblPrEx>
          <w:tblCellMar>
            <w:top w:w="0" w:type="dxa"/>
            <w:bottom w:w="0" w:type="dxa"/>
          </w:tblCellMar>
        </w:tblPrEx>
        <w:tc>
          <w:tcPr>
            <w:tcW w:w="800" w:type="dxa"/>
            <w:tcMar>
              <w:top w:w="40" w:type="dxa"/>
              <w:left w:w="80" w:type="dxa"/>
              <w:bottom w:w="40" w:type="dxa"/>
              <w:right w:w="80" w:type="dxa"/>
            </w:tcMar>
          </w:tcPr>
          <w:p w14:paraId="5D228B02" w14:textId="77777777" w:rsidR="00D44DCB" w:rsidRDefault="00000000">
            <w:pPr>
              <w:spacing w:after="40"/>
            </w:pPr>
            <w:r>
              <w:rPr>
                <w:rFonts w:ascii="新細明體" w:eastAsia="新細明體" w:hAnsi="新細明體" w:cs="新細明體"/>
              </w:rPr>
              <w:t>F11</w:t>
            </w:r>
          </w:p>
        </w:tc>
        <w:tc>
          <w:tcPr>
            <w:tcW w:w="1600" w:type="dxa"/>
            <w:tcMar>
              <w:top w:w="40" w:type="dxa"/>
              <w:left w:w="80" w:type="dxa"/>
              <w:bottom w:w="40" w:type="dxa"/>
              <w:right w:w="80" w:type="dxa"/>
            </w:tcMar>
          </w:tcPr>
          <w:p w14:paraId="5D228B03" w14:textId="77777777" w:rsidR="00D44DCB" w:rsidRDefault="00000000">
            <w:pPr>
              <w:spacing w:after="40"/>
            </w:pPr>
            <w:r>
              <w:rPr>
                <w:rFonts w:ascii="新細明體" w:eastAsia="新細明體" w:hAnsi="新細明體" w:cs="新細明體"/>
              </w:rPr>
              <w:t>寵物與 NPC 互動</w:t>
            </w:r>
          </w:p>
        </w:tc>
        <w:tc>
          <w:tcPr>
            <w:tcW w:w="3600" w:type="dxa"/>
            <w:tcMar>
              <w:top w:w="40" w:type="dxa"/>
              <w:left w:w="80" w:type="dxa"/>
              <w:bottom w:w="40" w:type="dxa"/>
              <w:right w:w="80" w:type="dxa"/>
            </w:tcMar>
          </w:tcPr>
          <w:p w14:paraId="5D228B04" w14:textId="77777777" w:rsidR="00D44DCB" w:rsidRDefault="00000000">
            <w:pPr>
              <w:spacing w:after="40"/>
            </w:pPr>
            <w:r>
              <w:rPr>
                <w:rFonts w:ascii="新細明體" w:eastAsia="新細明體" w:hAnsi="新細明體" w:cs="新細明體"/>
              </w:rPr>
              <w:t>規劃增加寵物或 NPC 與玩家之間的互動，並為不同角色建立各自特色。</w:t>
            </w:r>
          </w:p>
        </w:tc>
        <w:tc>
          <w:tcPr>
            <w:tcW w:w="1600" w:type="dxa"/>
            <w:tcMar>
              <w:top w:w="40" w:type="dxa"/>
              <w:left w:w="80" w:type="dxa"/>
              <w:bottom w:w="40" w:type="dxa"/>
              <w:right w:w="80" w:type="dxa"/>
            </w:tcMar>
          </w:tcPr>
          <w:p w14:paraId="5D228B05"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06" w14:textId="77777777" w:rsidR="00D44DCB" w:rsidRDefault="00000000">
            <w:pPr>
              <w:spacing w:after="40"/>
            </w:pPr>
            <w:r>
              <w:rPr>
                <w:rFonts w:ascii="新細明體" w:eastAsia="新細明體" w:hAnsi="新細明體" w:cs="新細明體"/>
              </w:rPr>
              <w:t>角色數量、互動流程與觸發方式</w:t>
            </w:r>
          </w:p>
        </w:tc>
      </w:tr>
      <w:tr w:rsidR="00D44DCB" w14:paraId="5D228B0D" w14:textId="77777777">
        <w:tblPrEx>
          <w:tblCellMar>
            <w:top w:w="0" w:type="dxa"/>
            <w:bottom w:w="0" w:type="dxa"/>
          </w:tblCellMar>
        </w:tblPrEx>
        <w:tc>
          <w:tcPr>
            <w:tcW w:w="800" w:type="dxa"/>
            <w:tcMar>
              <w:top w:w="40" w:type="dxa"/>
              <w:left w:w="80" w:type="dxa"/>
              <w:bottom w:w="40" w:type="dxa"/>
              <w:right w:w="80" w:type="dxa"/>
            </w:tcMar>
          </w:tcPr>
          <w:p w14:paraId="5D228B08" w14:textId="77777777" w:rsidR="00D44DCB" w:rsidRDefault="00000000">
            <w:pPr>
              <w:spacing w:after="40"/>
            </w:pPr>
            <w:r>
              <w:rPr>
                <w:rFonts w:ascii="新細明體" w:eastAsia="新細明體" w:hAnsi="新細明體" w:cs="新細明體"/>
              </w:rPr>
              <w:t>F12</w:t>
            </w:r>
          </w:p>
        </w:tc>
        <w:tc>
          <w:tcPr>
            <w:tcW w:w="1600" w:type="dxa"/>
            <w:tcMar>
              <w:top w:w="40" w:type="dxa"/>
              <w:left w:w="80" w:type="dxa"/>
              <w:bottom w:w="40" w:type="dxa"/>
              <w:right w:w="80" w:type="dxa"/>
            </w:tcMar>
          </w:tcPr>
          <w:p w14:paraId="5D228B09" w14:textId="77777777" w:rsidR="00D44DCB" w:rsidRDefault="00000000">
            <w:pPr>
              <w:spacing w:after="40"/>
            </w:pPr>
            <w:r>
              <w:rPr>
                <w:rFonts w:ascii="新細明體" w:eastAsia="新細明體" w:hAnsi="新細明體" w:cs="新細明體"/>
              </w:rPr>
              <w:t>動物 NPC 與職務</w:t>
            </w:r>
          </w:p>
        </w:tc>
        <w:tc>
          <w:tcPr>
            <w:tcW w:w="3600" w:type="dxa"/>
            <w:tcMar>
              <w:top w:w="40" w:type="dxa"/>
              <w:left w:w="80" w:type="dxa"/>
              <w:bottom w:w="40" w:type="dxa"/>
              <w:right w:w="80" w:type="dxa"/>
            </w:tcMar>
          </w:tcPr>
          <w:p w14:paraId="5D228B0A" w14:textId="77777777" w:rsidR="00D44DCB" w:rsidRDefault="00000000">
            <w:pPr>
              <w:spacing w:after="40"/>
            </w:pPr>
            <w:r>
              <w:rPr>
                <w:rFonts w:ascii="新細明體" w:eastAsia="新細明體" w:hAnsi="新細明體" w:cs="新細明體"/>
              </w:rPr>
              <w:t>NPC 規劃多以動物外觀呈現，採人類化行為與園丁、管家等職務設定；不同 NPC 將對島嶼產生各自的正向作用。</w:t>
            </w:r>
          </w:p>
        </w:tc>
        <w:tc>
          <w:tcPr>
            <w:tcW w:w="1600" w:type="dxa"/>
            <w:tcMar>
              <w:top w:w="40" w:type="dxa"/>
              <w:left w:w="80" w:type="dxa"/>
              <w:bottom w:w="40" w:type="dxa"/>
              <w:right w:w="80" w:type="dxa"/>
            </w:tcMar>
          </w:tcPr>
          <w:p w14:paraId="5D228B0B"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0C" w14:textId="77777777" w:rsidR="00D44DCB" w:rsidRDefault="00000000">
            <w:pPr>
              <w:spacing w:after="40"/>
            </w:pPr>
            <w:r>
              <w:rPr>
                <w:rFonts w:ascii="新細明體" w:eastAsia="新細明體" w:hAnsi="新細明體" w:cs="新細明體"/>
              </w:rPr>
              <w:t>職務內容、正向作用、數值與規則</w:t>
            </w:r>
          </w:p>
        </w:tc>
      </w:tr>
      <w:tr w:rsidR="00D44DCB" w14:paraId="5D228B13" w14:textId="77777777">
        <w:tblPrEx>
          <w:tblCellMar>
            <w:top w:w="0" w:type="dxa"/>
            <w:bottom w:w="0" w:type="dxa"/>
          </w:tblCellMar>
        </w:tblPrEx>
        <w:tc>
          <w:tcPr>
            <w:tcW w:w="800" w:type="dxa"/>
            <w:tcMar>
              <w:top w:w="40" w:type="dxa"/>
              <w:left w:w="80" w:type="dxa"/>
              <w:bottom w:w="40" w:type="dxa"/>
              <w:right w:w="80" w:type="dxa"/>
            </w:tcMar>
          </w:tcPr>
          <w:p w14:paraId="5D228B0E" w14:textId="77777777" w:rsidR="00D44DCB" w:rsidRDefault="00000000">
            <w:pPr>
              <w:spacing w:after="40"/>
            </w:pPr>
            <w:r>
              <w:rPr>
                <w:rFonts w:ascii="新細明體" w:eastAsia="新細明體" w:hAnsi="新細明體" w:cs="新細明體"/>
              </w:rPr>
              <w:t>F13</w:t>
            </w:r>
          </w:p>
        </w:tc>
        <w:tc>
          <w:tcPr>
            <w:tcW w:w="1600" w:type="dxa"/>
            <w:tcMar>
              <w:top w:w="40" w:type="dxa"/>
              <w:left w:w="80" w:type="dxa"/>
              <w:bottom w:w="40" w:type="dxa"/>
              <w:right w:w="80" w:type="dxa"/>
            </w:tcMar>
          </w:tcPr>
          <w:p w14:paraId="5D228B0F" w14:textId="77777777" w:rsidR="00D44DCB" w:rsidRDefault="00000000">
            <w:pPr>
              <w:spacing w:after="40"/>
            </w:pPr>
            <w:r>
              <w:rPr>
                <w:rFonts w:ascii="新細明體" w:eastAsia="新細明體" w:hAnsi="新細明體" w:cs="新細明體"/>
              </w:rPr>
              <w:t>載入畫面</w:t>
            </w:r>
          </w:p>
        </w:tc>
        <w:tc>
          <w:tcPr>
            <w:tcW w:w="3600" w:type="dxa"/>
            <w:tcMar>
              <w:top w:w="40" w:type="dxa"/>
              <w:left w:w="80" w:type="dxa"/>
              <w:bottom w:w="40" w:type="dxa"/>
              <w:right w:w="80" w:type="dxa"/>
            </w:tcMar>
          </w:tcPr>
          <w:p w14:paraId="5D228B10" w14:textId="77777777" w:rsidR="00D44DCB" w:rsidRDefault="00000000">
            <w:pPr>
              <w:spacing w:after="40"/>
            </w:pPr>
            <w:r>
              <w:rPr>
                <w:rFonts w:ascii="新細明體" w:eastAsia="新細明體" w:hAnsi="新細明體" w:cs="新細明體"/>
              </w:rPr>
              <w:t>規劃重新設計載入畫面，使其具備更明確的美感，並延續整體遊戲的視覺風格。</w:t>
            </w:r>
          </w:p>
        </w:tc>
        <w:tc>
          <w:tcPr>
            <w:tcW w:w="1600" w:type="dxa"/>
            <w:tcMar>
              <w:top w:w="40" w:type="dxa"/>
              <w:left w:w="80" w:type="dxa"/>
              <w:bottom w:w="40" w:type="dxa"/>
              <w:right w:w="80" w:type="dxa"/>
            </w:tcMar>
          </w:tcPr>
          <w:p w14:paraId="5D228B11"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12" w14:textId="77777777" w:rsidR="00D44DCB" w:rsidRDefault="00000000">
            <w:pPr>
              <w:spacing w:after="40"/>
            </w:pPr>
            <w:r>
              <w:rPr>
                <w:rFonts w:ascii="新細明體" w:eastAsia="新細明體" w:hAnsi="新細明體" w:cs="新細明體"/>
              </w:rPr>
              <w:t>版面、動畫與載入資訊</w:t>
            </w:r>
          </w:p>
        </w:tc>
      </w:tr>
      <w:tr w:rsidR="00D44DCB" w14:paraId="5D228B19" w14:textId="77777777">
        <w:tblPrEx>
          <w:tblCellMar>
            <w:top w:w="0" w:type="dxa"/>
            <w:bottom w:w="0" w:type="dxa"/>
          </w:tblCellMar>
        </w:tblPrEx>
        <w:tc>
          <w:tcPr>
            <w:tcW w:w="800" w:type="dxa"/>
            <w:tcMar>
              <w:top w:w="40" w:type="dxa"/>
              <w:left w:w="80" w:type="dxa"/>
              <w:bottom w:w="40" w:type="dxa"/>
              <w:right w:w="80" w:type="dxa"/>
            </w:tcMar>
          </w:tcPr>
          <w:p w14:paraId="5D228B14" w14:textId="77777777" w:rsidR="00D44DCB" w:rsidRDefault="00000000">
            <w:pPr>
              <w:spacing w:after="40"/>
            </w:pPr>
            <w:r>
              <w:rPr>
                <w:rFonts w:ascii="新細明體" w:eastAsia="新細明體" w:hAnsi="新細明體" w:cs="新細明體"/>
              </w:rPr>
              <w:t>F14</w:t>
            </w:r>
          </w:p>
        </w:tc>
        <w:tc>
          <w:tcPr>
            <w:tcW w:w="1600" w:type="dxa"/>
            <w:tcMar>
              <w:top w:w="40" w:type="dxa"/>
              <w:left w:w="80" w:type="dxa"/>
              <w:bottom w:w="40" w:type="dxa"/>
              <w:right w:w="80" w:type="dxa"/>
            </w:tcMar>
          </w:tcPr>
          <w:p w14:paraId="5D228B15" w14:textId="77777777" w:rsidR="00D44DCB" w:rsidRDefault="00000000">
            <w:pPr>
              <w:spacing w:after="40"/>
            </w:pPr>
            <w:r>
              <w:rPr>
                <w:rFonts w:ascii="新細明體" w:eastAsia="新細明體" w:hAnsi="新細明體" w:cs="新細明體"/>
              </w:rPr>
              <w:t>新手引導</w:t>
            </w:r>
          </w:p>
        </w:tc>
        <w:tc>
          <w:tcPr>
            <w:tcW w:w="3600" w:type="dxa"/>
            <w:tcMar>
              <w:top w:w="40" w:type="dxa"/>
              <w:left w:w="80" w:type="dxa"/>
              <w:bottom w:w="40" w:type="dxa"/>
              <w:right w:w="80" w:type="dxa"/>
            </w:tcMar>
          </w:tcPr>
          <w:p w14:paraId="5D228B16" w14:textId="77777777" w:rsidR="00D44DCB" w:rsidRDefault="00000000">
            <w:pPr>
              <w:spacing w:after="40"/>
            </w:pPr>
            <w:r>
              <w:rPr>
                <w:rFonts w:ascii="新細明體" w:eastAsia="新細明體" w:hAnsi="新細明體" w:cs="新細明體"/>
              </w:rPr>
              <w:t>規劃進一步完善新手引導，使首次進入遊戲的使用者更容易理解主要介面、操作順序與核心功能。</w:t>
            </w:r>
          </w:p>
        </w:tc>
        <w:tc>
          <w:tcPr>
            <w:tcW w:w="1600" w:type="dxa"/>
            <w:tcMar>
              <w:top w:w="40" w:type="dxa"/>
              <w:left w:w="80" w:type="dxa"/>
              <w:bottom w:w="40" w:type="dxa"/>
              <w:right w:w="80" w:type="dxa"/>
            </w:tcMar>
          </w:tcPr>
          <w:p w14:paraId="5D228B17"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18" w14:textId="77777777" w:rsidR="00D44DCB" w:rsidRDefault="00000000">
            <w:pPr>
              <w:spacing w:after="40"/>
            </w:pPr>
            <w:r>
              <w:rPr>
                <w:rFonts w:ascii="新細明體" w:eastAsia="新細明體" w:hAnsi="新細明體" w:cs="新細明體"/>
              </w:rPr>
              <w:t>引導步驟、觸發與完成條件</w:t>
            </w:r>
          </w:p>
        </w:tc>
      </w:tr>
      <w:tr w:rsidR="00D44DCB" w14:paraId="5D228B1F" w14:textId="77777777">
        <w:tblPrEx>
          <w:tblCellMar>
            <w:top w:w="0" w:type="dxa"/>
            <w:bottom w:w="0" w:type="dxa"/>
          </w:tblCellMar>
        </w:tblPrEx>
        <w:tc>
          <w:tcPr>
            <w:tcW w:w="800" w:type="dxa"/>
            <w:tcMar>
              <w:top w:w="40" w:type="dxa"/>
              <w:left w:w="80" w:type="dxa"/>
              <w:bottom w:w="40" w:type="dxa"/>
              <w:right w:w="80" w:type="dxa"/>
            </w:tcMar>
          </w:tcPr>
          <w:p w14:paraId="5D228B1A" w14:textId="77777777" w:rsidR="00D44DCB" w:rsidRDefault="00000000">
            <w:pPr>
              <w:spacing w:after="40"/>
            </w:pPr>
            <w:r>
              <w:rPr>
                <w:rFonts w:ascii="新細明體" w:eastAsia="新細明體" w:hAnsi="新細明體" w:cs="新細明體"/>
              </w:rPr>
              <w:t>F15</w:t>
            </w:r>
          </w:p>
        </w:tc>
        <w:tc>
          <w:tcPr>
            <w:tcW w:w="1600" w:type="dxa"/>
            <w:tcMar>
              <w:top w:w="40" w:type="dxa"/>
              <w:left w:w="80" w:type="dxa"/>
              <w:bottom w:w="40" w:type="dxa"/>
              <w:right w:w="80" w:type="dxa"/>
            </w:tcMar>
          </w:tcPr>
          <w:p w14:paraId="5D228B1B" w14:textId="77777777" w:rsidR="00D44DCB" w:rsidRDefault="00000000">
            <w:pPr>
              <w:spacing w:after="40"/>
            </w:pPr>
            <w:r>
              <w:rPr>
                <w:rFonts w:ascii="新細明體" w:eastAsia="新細明體" w:hAnsi="新細明體" w:cs="新細明體"/>
              </w:rPr>
              <w:t>持續參與意圖</w:t>
            </w:r>
          </w:p>
        </w:tc>
        <w:tc>
          <w:tcPr>
            <w:tcW w:w="3600" w:type="dxa"/>
            <w:tcMar>
              <w:top w:w="40" w:type="dxa"/>
              <w:left w:w="80" w:type="dxa"/>
              <w:bottom w:w="40" w:type="dxa"/>
              <w:right w:w="80" w:type="dxa"/>
            </w:tcMar>
          </w:tcPr>
          <w:p w14:paraId="5D228B1C" w14:textId="77777777" w:rsidR="00D44DCB" w:rsidRDefault="00000000">
            <w:pPr>
              <w:spacing w:after="40"/>
            </w:pPr>
            <w:r>
              <w:rPr>
                <w:rFonts w:ascii="新細明體" w:eastAsia="新細明體" w:hAnsi="新細明體" w:cs="新細明體"/>
              </w:rPr>
              <w:t>上述提醒、後果與互動規劃旨在增加使用者留存與持續參與感，但目前尚無實際測試結果。</w:t>
            </w:r>
          </w:p>
        </w:tc>
        <w:tc>
          <w:tcPr>
            <w:tcW w:w="1600" w:type="dxa"/>
            <w:tcMar>
              <w:top w:w="40" w:type="dxa"/>
              <w:left w:w="80" w:type="dxa"/>
              <w:bottom w:w="40" w:type="dxa"/>
              <w:right w:w="80" w:type="dxa"/>
            </w:tcMar>
          </w:tcPr>
          <w:p w14:paraId="5D228B1D" w14:textId="77777777" w:rsidR="00D44DCB" w:rsidRDefault="00000000">
            <w:pPr>
              <w:spacing w:after="40"/>
            </w:pPr>
            <w:r>
              <w:rPr>
                <w:rFonts w:ascii="新細明體" w:eastAsia="新細明體" w:hAnsi="新細明體" w:cs="新細明體"/>
              </w:rPr>
              <w:t>設計意圖・尚待驗證</w:t>
            </w:r>
          </w:p>
        </w:tc>
        <w:tc>
          <w:tcPr>
            <w:tcW w:w="2000" w:type="dxa"/>
            <w:tcMar>
              <w:top w:w="40" w:type="dxa"/>
              <w:left w:w="80" w:type="dxa"/>
              <w:bottom w:w="40" w:type="dxa"/>
              <w:right w:w="80" w:type="dxa"/>
            </w:tcMar>
          </w:tcPr>
          <w:p w14:paraId="5D228B1E" w14:textId="77777777" w:rsidR="00D44DCB" w:rsidRDefault="00000000">
            <w:pPr>
              <w:spacing w:after="40"/>
            </w:pPr>
            <w:r>
              <w:rPr>
                <w:rFonts w:ascii="新細明體" w:eastAsia="新細明體" w:hAnsi="新細明體" w:cs="新細明體"/>
              </w:rPr>
              <w:t>接受度、回訪行為與實際使用結果</w:t>
            </w:r>
          </w:p>
        </w:tc>
      </w:tr>
      <w:tr w:rsidR="00D44DCB" w14:paraId="5D228B25" w14:textId="77777777">
        <w:tblPrEx>
          <w:tblCellMar>
            <w:top w:w="0" w:type="dxa"/>
            <w:bottom w:w="0" w:type="dxa"/>
          </w:tblCellMar>
        </w:tblPrEx>
        <w:tc>
          <w:tcPr>
            <w:tcW w:w="800" w:type="dxa"/>
            <w:tcMar>
              <w:top w:w="40" w:type="dxa"/>
              <w:left w:w="80" w:type="dxa"/>
              <w:bottom w:w="40" w:type="dxa"/>
              <w:right w:w="80" w:type="dxa"/>
            </w:tcMar>
          </w:tcPr>
          <w:p w14:paraId="5D228B20" w14:textId="77777777" w:rsidR="00D44DCB" w:rsidRDefault="00000000">
            <w:pPr>
              <w:spacing w:after="40"/>
            </w:pPr>
            <w:r>
              <w:rPr>
                <w:rFonts w:ascii="新細明體" w:eastAsia="新細明體" w:hAnsi="新細明體" w:cs="新細明體"/>
              </w:rPr>
              <w:t>F16</w:t>
            </w:r>
          </w:p>
        </w:tc>
        <w:tc>
          <w:tcPr>
            <w:tcW w:w="1600" w:type="dxa"/>
            <w:tcMar>
              <w:top w:w="40" w:type="dxa"/>
              <w:left w:w="80" w:type="dxa"/>
              <w:bottom w:w="40" w:type="dxa"/>
              <w:right w:w="80" w:type="dxa"/>
            </w:tcMar>
          </w:tcPr>
          <w:p w14:paraId="5D228B21" w14:textId="77777777" w:rsidR="00D44DCB" w:rsidRDefault="00000000">
            <w:pPr>
              <w:spacing w:after="40"/>
            </w:pPr>
            <w:r>
              <w:rPr>
                <w:rFonts w:ascii="新細明體" w:eastAsia="新細明體" w:hAnsi="新細明體" w:cs="新細明體"/>
              </w:rPr>
              <w:t>飾品稀有度系統</w:t>
            </w:r>
          </w:p>
        </w:tc>
        <w:tc>
          <w:tcPr>
            <w:tcW w:w="3600" w:type="dxa"/>
            <w:tcMar>
              <w:top w:w="40" w:type="dxa"/>
              <w:left w:w="80" w:type="dxa"/>
              <w:bottom w:w="40" w:type="dxa"/>
              <w:right w:w="80" w:type="dxa"/>
            </w:tcMar>
          </w:tcPr>
          <w:p w14:paraId="5D228B22" w14:textId="77777777" w:rsidR="00D44DCB" w:rsidRDefault="00000000">
            <w:pPr>
              <w:spacing w:after="40"/>
            </w:pPr>
            <w:r>
              <w:rPr>
                <w:rFonts w:ascii="新細明體" w:eastAsia="新細明體" w:hAnsi="新細明體" w:cs="新細明體"/>
              </w:rPr>
              <w:t>商品分為「普通、稀有、史詩、神話」四種等級，商店內各等級占比分別為 60%、25%、12%、3%；越稀有的商品獲得時特效、動畫與音效越華麗。頂級商品（如神話級鳳凰）約需累積 5,000–6,000 金幣；稀有度最高者則改以經驗值解鎖——累積達指定等級即直接獲得，不扣除經驗值。輪盤抽獎命中率：碎片 48%、抽獎券 15%、功能卡 20%、普通 8%、稀有 5%、史詩 3%、神話 1%。</w:t>
            </w:r>
          </w:p>
        </w:tc>
        <w:tc>
          <w:tcPr>
            <w:tcW w:w="1600" w:type="dxa"/>
            <w:tcMar>
              <w:top w:w="40" w:type="dxa"/>
              <w:left w:w="80" w:type="dxa"/>
              <w:bottom w:w="40" w:type="dxa"/>
              <w:right w:w="80" w:type="dxa"/>
            </w:tcMar>
          </w:tcPr>
          <w:p w14:paraId="5D228B23"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24" w14:textId="77777777" w:rsidR="00D44DCB" w:rsidRDefault="00000000">
            <w:pPr>
              <w:spacing w:after="40"/>
            </w:pPr>
            <w:r>
              <w:rPr>
                <w:rFonts w:ascii="新細明體" w:eastAsia="新細明體" w:hAnsi="新細明體" w:cs="新細明體"/>
              </w:rPr>
              <w:t>各等級定價、頂級商品的解鎖等級門檻、機率平衡與經濟調控</w:t>
            </w:r>
          </w:p>
        </w:tc>
      </w:tr>
      <w:tr w:rsidR="00D44DCB" w14:paraId="5D228B2B" w14:textId="77777777">
        <w:tblPrEx>
          <w:tblCellMar>
            <w:top w:w="0" w:type="dxa"/>
            <w:bottom w:w="0" w:type="dxa"/>
          </w:tblCellMar>
        </w:tblPrEx>
        <w:tc>
          <w:tcPr>
            <w:tcW w:w="800" w:type="dxa"/>
            <w:tcMar>
              <w:top w:w="40" w:type="dxa"/>
              <w:left w:w="80" w:type="dxa"/>
              <w:bottom w:w="40" w:type="dxa"/>
              <w:right w:w="80" w:type="dxa"/>
            </w:tcMar>
          </w:tcPr>
          <w:p w14:paraId="5D228B26" w14:textId="77777777" w:rsidR="00D44DCB" w:rsidRDefault="00000000">
            <w:pPr>
              <w:spacing w:after="40"/>
            </w:pPr>
            <w:r>
              <w:rPr>
                <w:rFonts w:ascii="新細明體" w:eastAsia="新細明體" w:hAnsi="新細明體" w:cs="新細明體"/>
              </w:rPr>
              <w:t>F17</w:t>
            </w:r>
          </w:p>
        </w:tc>
        <w:tc>
          <w:tcPr>
            <w:tcW w:w="1600" w:type="dxa"/>
            <w:tcMar>
              <w:top w:w="40" w:type="dxa"/>
              <w:left w:w="80" w:type="dxa"/>
              <w:bottom w:w="40" w:type="dxa"/>
              <w:right w:w="80" w:type="dxa"/>
            </w:tcMar>
          </w:tcPr>
          <w:p w14:paraId="5D228B27" w14:textId="77777777" w:rsidR="00D44DCB" w:rsidRDefault="00000000">
            <w:pPr>
              <w:spacing w:after="40"/>
            </w:pPr>
            <w:r>
              <w:rPr>
                <w:rFonts w:ascii="新細明體" w:eastAsia="新細明體" w:hAnsi="新細明體" w:cs="新細明體"/>
              </w:rPr>
              <w:t>飾品與角色全面優化</w:t>
            </w:r>
          </w:p>
        </w:tc>
        <w:tc>
          <w:tcPr>
            <w:tcW w:w="3600" w:type="dxa"/>
            <w:tcMar>
              <w:top w:w="40" w:type="dxa"/>
              <w:left w:w="80" w:type="dxa"/>
              <w:bottom w:w="40" w:type="dxa"/>
              <w:right w:w="80" w:type="dxa"/>
            </w:tcMar>
          </w:tcPr>
          <w:p w14:paraId="5D228B28" w14:textId="77777777" w:rsidR="00D44DCB" w:rsidRDefault="00000000">
            <w:pPr>
              <w:spacing w:after="40"/>
            </w:pPr>
            <w:r>
              <w:rPr>
                <w:rFonts w:ascii="新細明體" w:eastAsia="新細明體" w:hAnsi="新細明體" w:cs="新細明體"/>
              </w:rPr>
              <w:t>全面優化人物飾品性能與整體畫風，調整過去吸引力不足的飾品以提升使用者購買意願。</w:t>
            </w:r>
          </w:p>
        </w:tc>
        <w:tc>
          <w:tcPr>
            <w:tcW w:w="1600" w:type="dxa"/>
            <w:tcMar>
              <w:top w:w="40" w:type="dxa"/>
              <w:left w:w="80" w:type="dxa"/>
              <w:bottom w:w="40" w:type="dxa"/>
              <w:right w:w="80" w:type="dxa"/>
            </w:tcMar>
          </w:tcPr>
          <w:p w14:paraId="5D228B29"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2A" w14:textId="77777777" w:rsidR="00D44DCB" w:rsidRDefault="00000000">
            <w:pPr>
              <w:spacing w:after="40"/>
            </w:pPr>
            <w:r>
              <w:rPr>
                <w:rFonts w:ascii="新細明體" w:eastAsia="新細明體" w:hAnsi="新細明體" w:cs="新細明體"/>
              </w:rPr>
              <w:t>優化範圍、新舊飾品替換規則</w:t>
            </w:r>
          </w:p>
        </w:tc>
      </w:tr>
      <w:tr w:rsidR="00D44DCB" w14:paraId="5D228B31" w14:textId="77777777">
        <w:tblPrEx>
          <w:tblCellMar>
            <w:top w:w="0" w:type="dxa"/>
            <w:bottom w:w="0" w:type="dxa"/>
          </w:tblCellMar>
        </w:tblPrEx>
        <w:tc>
          <w:tcPr>
            <w:tcW w:w="800" w:type="dxa"/>
            <w:tcMar>
              <w:top w:w="40" w:type="dxa"/>
              <w:left w:w="80" w:type="dxa"/>
              <w:bottom w:w="40" w:type="dxa"/>
              <w:right w:w="80" w:type="dxa"/>
            </w:tcMar>
          </w:tcPr>
          <w:p w14:paraId="5D228B2C" w14:textId="77777777" w:rsidR="00D44DCB" w:rsidRDefault="00000000">
            <w:pPr>
              <w:spacing w:after="40"/>
            </w:pPr>
            <w:r>
              <w:rPr>
                <w:rFonts w:ascii="新細明體" w:eastAsia="新細明體" w:hAnsi="新細明體" w:cs="新細明體"/>
              </w:rPr>
              <w:t>F18</w:t>
            </w:r>
          </w:p>
        </w:tc>
        <w:tc>
          <w:tcPr>
            <w:tcW w:w="1600" w:type="dxa"/>
            <w:tcMar>
              <w:top w:w="40" w:type="dxa"/>
              <w:left w:w="80" w:type="dxa"/>
              <w:bottom w:w="40" w:type="dxa"/>
              <w:right w:w="80" w:type="dxa"/>
            </w:tcMar>
          </w:tcPr>
          <w:p w14:paraId="5D228B2D" w14:textId="77777777" w:rsidR="00D44DCB" w:rsidRDefault="00000000">
            <w:pPr>
              <w:spacing w:after="40"/>
            </w:pPr>
            <w:r>
              <w:rPr>
                <w:rFonts w:ascii="新細明體" w:eastAsia="新細明體" w:hAnsi="新細明體" w:cs="新細明體"/>
              </w:rPr>
              <w:t>新手即時回饋</w:t>
            </w:r>
          </w:p>
        </w:tc>
        <w:tc>
          <w:tcPr>
            <w:tcW w:w="3600" w:type="dxa"/>
            <w:tcMar>
              <w:top w:w="40" w:type="dxa"/>
              <w:left w:w="80" w:type="dxa"/>
              <w:bottom w:w="40" w:type="dxa"/>
              <w:right w:w="80" w:type="dxa"/>
            </w:tcMar>
          </w:tcPr>
          <w:p w14:paraId="5D228B2E" w14:textId="77777777" w:rsidR="00D44DCB" w:rsidRDefault="00000000">
            <w:pPr>
              <w:spacing w:after="40"/>
            </w:pPr>
            <w:r>
              <w:rPr>
                <w:rFonts w:ascii="新細明體" w:eastAsia="新細明體" w:hAnsi="新細明體" w:cs="新細明體"/>
              </w:rPr>
              <w:t>玩家首次完成健身即獲得十餘枚金幣，確保新手有即時成就回饋，避免初始門檻過高導致放棄。</w:t>
            </w:r>
          </w:p>
        </w:tc>
        <w:tc>
          <w:tcPr>
            <w:tcW w:w="1600" w:type="dxa"/>
            <w:tcMar>
              <w:top w:w="40" w:type="dxa"/>
              <w:left w:w="80" w:type="dxa"/>
              <w:bottom w:w="40" w:type="dxa"/>
              <w:right w:w="80" w:type="dxa"/>
            </w:tcMar>
          </w:tcPr>
          <w:p w14:paraId="5D228B2F"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30" w14:textId="77777777" w:rsidR="00D44DCB" w:rsidRDefault="00000000">
            <w:pPr>
              <w:spacing w:after="40"/>
            </w:pPr>
            <w:r>
              <w:rPr>
                <w:rFonts w:ascii="新細明體" w:eastAsia="新細明體" w:hAnsi="新細明體" w:cs="新細明體"/>
              </w:rPr>
              <w:t>回饋數量與後續遞減曲線</w:t>
            </w:r>
          </w:p>
        </w:tc>
      </w:tr>
      <w:tr w:rsidR="00D44DCB" w14:paraId="5D228B37" w14:textId="77777777">
        <w:tblPrEx>
          <w:tblCellMar>
            <w:top w:w="0" w:type="dxa"/>
            <w:bottom w:w="0" w:type="dxa"/>
          </w:tblCellMar>
        </w:tblPrEx>
        <w:tc>
          <w:tcPr>
            <w:tcW w:w="800" w:type="dxa"/>
            <w:tcMar>
              <w:top w:w="40" w:type="dxa"/>
              <w:left w:w="80" w:type="dxa"/>
              <w:bottom w:w="40" w:type="dxa"/>
              <w:right w:w="80" w:type="dxa"/>
            </w:tcMar>
          </w:tcPr>
          <w:p w14:paraId="5D228B32" w14:textId="77777777" w:rsidR="00D44DCB" w:rsidRDefault="00000000">
            <w:pPr>
              <w:spacing w:after="40"/>
            </w:pPr>
            <w:r>
              <w:rPr>
                <w:rFonts w:ascii="新細明體" w:eastAsia="新細明體" w:hAnsi="新細明體" w:cs="新細明體"/>
              </w:rPr>
              <w:t>F19</w:t>
            </w:r>
          </w:p>
        </w:tc>
        <w:tc>
          <w:tcPr>
            <w:tcW w:w="1600" w:type="dxa"/>
            <w:tcMar>
              <w:top w:w="40" w:type="dxa"/>
              <w:left w:w="80" w:type="dxa"/>
              <w:bottom w:w="40" w:type="dxa"/>
              <w:right w:w="80" w:type="dxa"/>
            </w:tcMar>
          </w:tcPr>
          <w:p w14:paraId="5D228B33" w14:textId="77777777" w:rsidR="00D44DCB" w:rsidRDefault="00000000">
            <w:pPr>
              <w:spacing w:after="40"/>
            </w:pPr>
            <w:r>
              <w:rPr>
                <w:rFonts w:ascii="新細明體" w:eastAsia="新細明體" w:hAnsi="新細明體" w:cs="新細明體"/>
              </w:rPr>
              <w:t>每日簽到與活動限定</w:t>
            </w:r>
          </w:p>
        </w:tc>
        <w:tc>
          <w:tcPr>
            <w:tcW w:w="3600" w:type="dxa"/>
            <w:tcMar>
              <w:top w:w="40" w:type="dxa"/>
              <w:left w:w="80" w:type="dxa"/>
              <w:bottom w:w="40" w:type="dxa"/>
              <w:right w:w="80" w:type="dxa"/>
            </w:tcMar>
          </w:tcPr>
          <w:p w14:paraId="5D228B34" w14:textId="77777777" w:rsidR="00D44DCB" w:rsidRDefault="00000000">
            <w:pPr>
              <w:spacing w:after="40"/>
            </w:pPr>
            <w:r>
              <w:rPr>
                <w:rFonts w:ascii="新細明體" w:eastAsia="新細明體" w:hAnsi="新細明體" w:cs="新細明體"/>
              </w:rPr>
              <w:t>每日簽到獎勵涵蓋特定節日（如聖誕節、萬聖節、共生節）限定極品，過期即絕版，最高可獲得頂級寵物或造型。漏簽七天內可透過付費、完成特定運動任務或連續簽到至下週對應天數補簽；超過七天不予補發。</w:t>
            </w:r>
          </w:p>
        </w:tc>
        <w:tc>
          <w:tcPr>
            <w:tcW w:w="1600" w:type="dxa"/>
            <w:tcMar>
              <w:top w:w="40" w:type="dxa"/>
              <w:left w:w="80" w:type="dxa"/>
              <w:bottom w:w="40" w:type="dxa"/>
              <w:right w:w="80" w:type="dxa"/>
            </w:tcMar>
          </w:tcPr>
          <w:p w14:paraId="5D228B35"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36" w14:textId="77777777" w:rsidR="00D44DCB" w:rsidRDefault="00000000">
            <w:pPr>
              <w:spacing w:after="40"/>
            </w:pPr>
            <w:r>
              <w:rPr>
                <w:rFonts w:ascii="新細明體" w:eastAsia="新細明體" w:hAnsi="新細明體" w:cs="新細明體"/>
              </w:rPr>
              <w:t>節日排程、補簽費用與絕版品復刻政策</w:t>
            </w:r>
          </w:p>
        </w:tc>
      </w:tr>
      <w:tr w:rsidR="00D44DCB" w14:paraId="5D228B3D" w14:textId="77777777">
        <w:tblPrEx>
          <w:tblCellMar>
            <w:top w:w="0" w:type="dxa"/>
            <w:bottom w:w="0" w:type="dxa"/>
          </w:tblCellMar>
        </w:tblPrEx>
        <w:tc>
          <w:tcPr>
            <w:tcW w:w="800" w:type="dxa"/>
            <w:tcMar>
              <w:top w:w="40" w:type="dxa"/>
              <w:left w:w="80" w:type="dxa"/>
              <w:bottom w:w="40" w:type="dxa"/>
              <w:right w:w="80" w:type="dxa"/>
            </w:tcMar>
          </w:tcPr>
          <w:p w14:paraId="5D228B38" w14:textId="77777777" w:rsidR="00D44DCB" w:rsidRDefault="00000000">
            <w:pPr>
              <w:spacing w:after="40"/>
            </w:pPr>
            <w:r>
              <w:rPr>
                <w:rFonts w:ascii="新細明體" w:eastAsia="新細明體" w:hAnsi="新細明體" w:cs="新細明體"/>
              </w:rPr>
              <w:t>F20</w:t>
            </w:r>
          </w:p>
        </w:tc>
        <w:tc>
          <w:tcPr>
            <w:tcW w:w="1600" w:type="dxa"/>
            <w:tcMar>
              <w:top w:w="40" w:type="dxa"/>
              <w:left w:w="80" w:type="dxa"/>
              <w:bottom w:w="40" w:type="dxa"/>
              <w:right w:w="80" w:type="dxa"/>
            </w:tcMar>
          </w:tcPr>
          <w:p w14:paraId="5D228B39" w14:textId="77777777" w:rsidR="00D44DCB" w:rsidRDefault="00000000">
            <w:pPr>
              <w:spacing w:after="40"/>
            </w:pPr>
            <w:r>
              <w:rPr>
                <w:rFonts w:ascii="新細明體" w:eastAsia="新細明體" w:hAnsi="新細明體" w:cs="新細明體"/>
              </w:rPr>
              <w:t>幸運輪盤與抽獎券</w:t>
            </w:r>
          </w:p>
        </w:tc>
        <w:tc>
          <w:tcPr>
            <w:tcW w:w="3600" w:type="dxa"/>
            <w:tcMar>
              <w:top w:w="40" w:type="dxa"/>
              <w:left w:w="80" w:type="dxa"/>
              <w:bottom w:w="40" w:type="dxa"/>
              <w:right w:w="80" w:type="dxa"/>
            </w:tcMar>
          </w:tcPr>
          <w:p w14:paraId="5D228B3A" w14:textId="77777777" w:rsidR="00D44DCB" w:rsidRDefault="00000000">
            <w:pPr>
              <w:spacing w:after="40"/>
            </w:pPr>
            <w:r>
              <w:rPr>
                <w:rFonts w:ascii="新細明體" w:eastAsia="新細明體" w:hAnsi="新細明體" w:cs="新細明體"/>
              </w:rPr>
              <w:t>第七天簽到大獎採輪盤抽獎形式。抽獎券來源為簽到累積、每日與每週任務及健身目標達成，無法以金幣直接購買，藉此引導玩家實際運動而非僅上線簽到。連續登入與未登入的使用者在抽獎券與輪盤體驗上形成強烈對比：系統以一週七天為單位，畫面中加入連續登入進度條，讓使用者清楚看到再累積幾天即可使輪盤加入更高稀有度獎品；符合條件的使用者，其抽獎券與輪盤介面皆會升級為對應稀有度的顏色與樣式（如金色邊框、發光特效），形成與未達標使用者之間的視覺差異，強化每日登入的動力。</w:t>
            </w:r>
          </w:p>
        </w:tc>
        <w:tc>
          <w:tcPr>
            <w:tcW w:w="1600" w:type="dxa"/>
            <w:tcMar>
              <w:top w:w="40" w:type="dxa"/>
              <w:left w:w="80" w:type="dxa"/>
              <w:bottom w:w="40" w:type="dxa"/>
              <w:right w:w="80" w:type="dxa"/>
            </w:tcMar>
          </w:tcPr>
          <w:p w14:paraId="5D228B3B"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3C" w14:textId="77777777" w:rsidR="00D44DCB" w:rsidRDefault="00000000">
            <w:pPr>
              <w:spacing w:after="40"/>
            </w:pPr>
            <w:r>
              <w:rPr>
                <w:rFonts w:ascii="新細明體" w:eastAsia="新細明體" w:hAnsi="新細明體" w:cs="新細明體"/>
              </w:rPr>
              <w:t>獎池內容、機率公示、抽獎券產出速率、登入進度條設計與視覺升級規則</w:t>
            </w:r>
          </w:p>
        </w:tc>
      </w:tr>
      <w:tr w:rsidR="00D44DCB" w14:paraId="5D228B43" w14:textId="77777777">
        <w:tblPrEx>
          <w:tblCellMar>
            <w:top w:w="0" w:type="dxa"/>
            <w:bottom w:w="0" w:type="dxa"/>
          </w:tblCellMar>
        </w:tblPrEx>
        <w:tc>
          <w:tcPr>
            <w:tcW w:w="800" w:type="dxa"/>
            <w:tcMar>
              <w:top w:w="40" w:type="dxa"/>
              <w:left w:w="80" w:type="dxa"/>
              <w:bottom w:w="40" w:type="dxa"/>
              <w:right w:w="80" w:type="dxa"/>
            </w:tcMar>
          </w:tcPr>
          <w:p w14:paraId="5D228B3E" w14:textId="77777777" w:rsidR="00D44DCB" w:rsidRDefault="00000000">
            <w:pPr>
              <w:spacing w:after="40"/>
            </w:pPr>
            <w:r>
              <w:rPr>
                <w:rFonts w:ascii="新細明體" w:eastAsia="新細明體" w:hAnsi="新細明體" w:cs="新細明體"/>
              </w:rPr>
              <w:t>F21</w:t>
            </w:r>
          </w:p>
        </w:tc>
        <w:tc>
          <w:tcPr>
            <w:tcW w:w="1600" w:type="dxa"/>
            <w:tcMar>
              <w:top w:w="40" w:type="dxa"/>
              <w:left w:w="80" w:type="dxa"/>
              <w:bottom w:w="40" w:type="dxa"/>
              <w:right w:w="80" w:type="dxa"/>
            </w:tcMar>
          </w:tcPr>
          <w:p w14:paraId="5D228B3F" w14:textId="77777777" w:rsidR="00D44DCB" w:rsidRDefault="00000000">
            <w:pPr>
              <w:spacing w:after="40"/>
            </w:pPr>
            <w:r>
              <w:rPr>
                <w:rFonts w:ascii="新細明體" w:eastAsia="新細明體" w:hAnsi="新細明體" w:cs="新細明體"/>
              </w:rPr>
              <w:t>金幣與經驗值對接機制</w:t>
            </w:r>
          </w:p>
        </w:tc>
        <w:tc>
          <w:tcPr>
            <w:tcW w:w="3600" w:type="dxa"/>
            <w:tcMar>
              <w:top w:w="40" w:type="dxa"/>
              <w:left w:w="80" w:type="dxa"/>
              <w:bottom w:w="40" w:type="dxa"/>
              <w:right w:w="80" w:type="dxa"/>
            </w:tcMar>
          </w:tcPr>
          <w:p w14:paraId="5D228B40" w14:textId="77777777" w:rsidR="00D44DCB" w:rsidRDefault="00000000">
            <w:pPr>
              <w:spacing w:after="40"/>
            </w:pPr>
            <w:r>
              <w:rPr>
                <w:rFonts w:ascii="新細明體" w:eastAsia="新細明體" w:hAnsi="新細明體" w:cs="新細明體"/>
              </w:rPr>
              <w:t>金幣唯一獲取來源為健身結算，遊戲端不設其他金幣產出管道（如餵寵物不可獲得金幣），確保兩端數據一致。經驗值兩端皆為只增不減並即時同步連動，</w:t>
              <w:lastRenderedPageBreak/>
              <w:t>不產生扣除時的同步異常。</w:t>
            </w:r>
          </w:p>
        </w:tc>
        <w:tc>
          <w:tcPr>
            <w:tcW w:w="1600" w:type="dxa"/>
            <w:tcMar>
              <w:top w:w="40" w:type="dxa"/>
              <w:left w:w="80" w:type="dxa"/>
              <w:bottom w:w="40" w:type="dxa"/>
              <w:right w:w="80" w:type="dxa"/>
            </w:tcMar>
          </w:tcPr>
          <w:p w14:paraId="5D228B41" w14:textId="77777777" w:rsidR="00D44DCB" w:rsidRDefault="00000000">
            <w:pPr>
              <w:spacing w:after="40"/>
            </w:pPr>
            <w:r>
              <w:rPr>
                <w:rFonts w:ascii="新細明體" w:eastAsia="新細明體" w:hAnsi="新細明體" w:cs="新細明體"/>
              </w:rPr>
              <w:lastRenderedPageBreak/>
              <w:t>未來藍圖・規劃中</w:t>
            </w:r>
          </w:p>
        </w:tc>
        <w:tc>
          <w:tcPr>
            <w:tcW w:w="2000" w:type="dxa"/>
            <w:tcMar>
              <w:top w:w="40" w:type="dxa"/>
              <w:left w:w="80" w:type="dxa"/>
              <w:bottom w:w="40" w:type="dxa"/>
              <w:right w:w="80" w:type="dxa"/>
            </w:tcMar>
          </w:tcPr>
          <w:p w14:paraId="5D228B42" w14:textId="77777777" w:rsidR="00D44DCB" w:rsidRDefault="00000000">
            <w:pPr>
              <w:spacing w:after="40"/>
            </w:pPr>
            <w:r>
              <w:rPr>
                <w:rFonts w:ascii="新細明體" w:eastAsia="新細明體" w:hAnsi="新細明體" w:cs="新細明體"/>
              </w:rPr>
              <w:t>兩端同步驗證方式與異常處理</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F22</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結算畫面資訊呈現</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健身結束後結算畫面顯示金幣、經驗值、碎片與抽獎券。金幣與經驗值常駐健身端與遊戲端；碎片與抽獎券僅在結算畫面及遊戲端提示中顯示，主畫面不做同步。</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介面配置、動畫與呈現順序</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F23</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功能卡系統</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加入功能卡機制，目前首張功能卡為「雙倍金幣卡」，使用後下次健身結算金幣翻倍；未來將引進更多種類功能卡。功能卡採隨機上線制，每隔數週於限時商店中返場販售。獲取管道包含限時商店直接購買（以金幣購入，定價較高）與輪盤抽獎（命中率較低，約 20%）。此機制旨在為進階玩家提供策略性消費選項，同時避免功能卡常駐造成經濟膨脹。</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功能卡種類擴充計畫、定價策略、返場週期、倍率上限與經濟影響評估</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F24</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寵物生命跡象與照護</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為寵物系統加入生命跡象機制：寵物具備活動力與營養值兩項狀態指標。若使用者長期未登入或未餵食，寵物活動力將逐步下降，最終躲在窩裡不出來互動。商店中加入狗飼料（如西沙品牌等品項），餵食可提升寵物生命力與營養值，增加互動活性。同時加入戶外狗窩作為島嶼裝飾與寵物活動空間。當使用者連續多天未登入時，島嶼地面將出現寵物排泄物，天數越多堆積越多，此懲罰機制可與園丁、管家等 NPC 職務結合——NPC 可協助清理，但需消耗資源或達成特定條件。</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活動力與營養值數值設計、飼料定價、排泄物觸發天數與 NPC 清理成本</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F25</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商店新增商品：圍欄</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商店中加入「圍欄」類別商品，供使用者購買後放置於島嶼上，用於劃分區域、裝飾庭院或圍護寵物活動範圍。圍欄可搭配不同風格（如木質、金屬、花園式），並對應不同稀有度等級。</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圍欄種類、定價與島嶼放置規則</w:t>
            </w:r>
          </w:p>
        </w:tc>
      </w:tr>
    </w:tbl>
    <w:p w14:paraId="5D228B4A" w14:textId="77777777" w:rsidR="00D44DCB" w:rsidRDefault="00D44DCB"/>
    <w:p w14:paraId="5D228B4B" w14:textId="77777777" w:rsidR="00D44DCB" w:rsidRDefault="00000000">
      <w:pPr>
        <w:pStyle w:val="2"/>
        <w:spacing w:before="240" w:after="160" w:line="360" w:lineRule="auto"/>
      </w:pPr>
      <w:r>
        <w:rPr>
          <w:rFonts w:ascii="標楷體" w:eastAsia="標楷體" w:hAnsi="標楷體" w:cs="標楷體"/>
          <w:b/>
          <w:bCs/>
        </w:rPr>
        <w:t>3. 規劃完成後的成果樣貌</w:t>
      </w:r>
    </w:p>
    <w:p w14:paraId="5D228B4C" w14:textId="77777777" w:rsidR="00D44DCB" w:rsidRDefault="00000000">
      <w:pPr>
        <w:spacing w:after="120" w:line="360" w:lineRule="auto"/>
        <w:jc w:val="both"/>
      </w:pPr>
      <w:r>
        <w:rPr>
          <w:rFonts w:ascii="新細明體" w:eastAsia="新細明體" w:hAnsi="新細明體" w:cs="新細明體"/>
          <w:b/>
          <w:bCs/>
          <w:sz w:val="24"/>
          <w:szCs w:val="24"/>
        </w:rPr>
        <w:t>角色與造型｜</w:t>
      </w:r>
      <w:r>
        <w:rPr>
          <w:rFonts w:ascii="新細明體" w:eastAsia="新細明體" w:hAnsi="新細明體" w:cs="新細明體"/>
          <w:sz w:val="24"/>
          <w:szCs w:val="24"/>
        </w:rPr>
        <w:t>人物模型調整完成後，預期角色的五官與身體構造能更清楚呈現，並以較鮮明的外觀特色建立辨識度。髮型、服裝類型與裝飾的整合，則著重於不同造型組合的協調性，避免搭配後產生割裂或不相容的視覺感受。</w:t>
      </w:r>
    </w:p>
    <w:p w14:paraId="5D228B4D" w14:textId="77777777" w:rsidR="00D44DCB" w:rsidRDefault="00000000">
      <w:pPr>
        <w:spacing w:after="120" w:line="360" w:lineRule="auto"/>
        <w:jc w:val="both"/>
      </w:pPr>
      <w:r>
        <w:rPr>
          <w:rFonts w:ascii="新細明體" w:eastAsia="新細明體" w:hAnsi="新細明體" w:cs="新細明體"/>
          <w:b/>
          <w:bCs/>
          <w:sz w:val="24"/>
          <w:szCs w:val="24"/>
        </w:rPr>
        <w:t>畫面與介面｜</w:t>
      </w:r>
      <w:r>
        <w:rPr>
          <w:rFonts w:ascii="新細明體" w:eastAsia="新細明體" w:hAnsi="新細明體" w:cs="新細明體"/>
          <w:sz w:val="24"/>
          <w:szCs w:val="24"/>
        </w:rPr>
        <w:t>畫質、特效、UI 與載入畫面規劃共同建立一致的遊戲風格。視覺升級的目標是讓場景、角色、操作元件與載入過程具有連續的設計語言；《光·遇》與《動物森友會》只作氣氛與品質參考，不作素材、介面或玩法的直接仿製。</w:t>
      </w:r>
    </w:p>
    <w:p w14:paraId="5D228B4E" w14:textId="77777777" w:rsidR="00D44DCB" w:rsidRDefault="00000000">
      <w:pPr>
        <w:spacing w:after="120" w:line="360" w:lineRule="auto"/>
        <w:jc w:val="both"/>
      </w:pPr>
      <w:r>
        <w:rPr>
          <w:rFonts w:ascii="新細明體" w:eastAsia="新細明體" w:hAnsi="新細明體" w:cs="新細明體"/>
          <w:b/>
          <w:bCs/>
          <w:sz w:val="24"/>
          <w:szCs w:val="24"/>
        </w:rPr>
        <w:t>提醒與遊戲後果｜</w:t>
      </w:r>
      <w:r>
        <w:rPr>
          <w:rFonts w:ascii="新細明體" w:eastAsia="新細明體" w:hAnsi="新細明體" w:cs="新細明體"/>
          <w:sz w:val="24"/>
          <w:szCs w:val="24"/>
        </w:rPr>
        <w:t>大型訊息框、顏色變化及每日挑戰式通知，規劃形成較明顯的回訪提醒；登入中斷後的解鎖機制與藤蔓侵蝕事件，則規劃讓中斷參與在遊戲世界中產生可見後果。因具體付費方式、通知頻率、破壞程度與復原方式均未定，本版不進一步推定其規則。</w:t>
      </w:r>
    </w:p>
    <w:p w14:paraId="5D228B4F" w14:textId="77777777" w:rsidR="00D44DCB" w:rsidRDefault="00000000">
      <w:pPr>
        <w:spacing w:after="120" w:line="360" w:lineRule="auto"/>
        <w:jc w:val="both"/>
      </w:pPr>
      <w:r>
        <w:rPr>
          <w:rFonts w:ascii="新細明體" w:eastAsia="新細明體" w:hAnsi="新細明體" w:cs="新細明體"/>
          <w:b/>
          <w:bCs/>
          <w:sz w:val="24"/>
          <w:szCs w:val="24"/>
        </w:rPr>
        <w:t>島嶼角色互動｜</w:t>
      </w:r>
      <w:r>
        <w:rPr>
          <w:rFonts w:ascii="新細明體" w:eastAsia="新細明體" w:hAnsi="新細明體" w:cs="新細明體"/>
          <w:sz w:val="24"/>
          <w:szCs w:val="24"/>
        </w:rPr>
        <w:t>寵物與 NPC 完成後，預期以動物外觀、人類化行為及園丁、管家等職務設定，形成具個別特色的島嶼居民。不同 NPC 將對島嶼產生不同的正向作用並與玩家互動，但其作用種類、數值與觸發方式尚待定義。</w:t>
      </w:r>
    </w:p>
    <w:p w14:paraId="5D228B50" w14:textId="77777777" w:rsidR="00D44DCB" w:rsidRDefault="00000000">
      <w:pPr>
        <w:spacing w:after="120" w:line="360" w:lineRule="auto"/>
        <w:jc w:val="both"/>
      </w:pPr>
      <w:r>
        <w:rPr>
          <w:rFonts w:ascii="新細明體" w:eastAsia="新細明體" w:hAnsi="新細明體" w:cs="新細明體"/>
          <w:b/>
          <w:bCs/>
          <w:sz w:val="24"/>
          <w:szCs w:val="24"/>
        </w:rPr>
        <w:t>操作理解｜</w:t>
      </w:r>
      <w:r>
        <w:rPr>
          <w:rFonts w:ascii="新細明體" w:eastAsia="新細明體" w:hAnsi="新細明體" w:cs="新細明體"/>
          <w:sz w:val="24"/>
          <w:szCs w:val="24"/>
        </w:rPr>
        <w:t>載入畫面的風格重設與新手引導完善，預期協助首次進入遊戲的使用者理解遊戲調性、主要介面、操作順序及核心功能，降低初次使用時的探索成本。</w:t>
      </w:r>
    </w:p>
    <w:p w14:paraId="5D228B50" w14:textId="77777777" w:rsidR="00D44DCB" w:rsidRDefault="00000000">
      <w:pPr>
        <w:spacing w:after="120" w:line="360" w:lineRule="auto"/>
        <w:jc w:val="both"/>
      </w:pPr>
      <w:r>
        <w:rPr>
          <w:rFonts w:ascii="新細明體" w:eastAsia="新細明體" w:hAnsi="新細明體" w:cs="新細明體"/>
          <w:b/>
          <w:bCs/>
          <w:sz w:val="24"/>
          <w:szCs w:val="24"/>
        </w:rPr>
        <w:t>稀有度與輪盤體驗｜飾品稀有度由三級調整為「普通、稀有、史詩、神話」四級後，商店商品的層次更為分明，各等級占比（60%/25%/12%/3%）使頂級商品保持稀缺感。輪盤介面依使用者連續登入天數呈現不同的視覺等級，搭配功能卡（如雙倍金幣卡）的限時供應，形成更具策略深度的遊戲經濟體驗。</w:t>
      </w:r>
      <w:r>
        <w:rPr>
          <w:rFonts w:ascii="新細明體" w:eastAsia="新細明體" w:hAnsi="新細明體" w:cs="新細明體"/>
          <w:sz w:val="24"/>
          <w:szCs w:val="24"/>
        </w:rPr>
      </w:r>
    </w:p>
    <w:p w14:paraId="5D228B50" w14:textId="77777777" w:rsidR="00D44DCB" w:rsidRDefault="00000000">
      <w:pPr>
        <w:spacing w:after="120" w:line="360" w:lineRule="auto"/>
        <w:jc w:val="both"/>
      </w:pPr>
      <w:r>
        <w:rPr>
          <w:rFonts w:ascii="新細明體" w:eastAsia="新細明體" w:hAnsi="新細明體" w:cs="新細明體"/>
          <w:b/>
          <w:bCs/>
          <w:sz w:val="24"/>
          <w:szCs w:val="24"/>
        </w:rPr>
        <w:t>寵物照護與島嶼生態｜寵物完成生命跡象機制後，預期形成需要持續關注的養成體驗：使用者透過餵食飼料維持寵物活動力，佈置戶外狗窩提供活動空間，並在未登入期間面對排泄物堆積的視覺後果。園丁、管家 NPC 可協助清理，使島嶼管理與 NPC 職務產生實際互動。商店中同時加入圍欄商品，為島嶼區域劃分與庭院裝飾提供新的建設選項。</w:t>
      </w:r>
      <w:r>
        <w:rPr>
          <w:rFonts w:ascii="新細明體" w:eastAsia="新細明體" w:hAnsi="新細明體" w:cs="新細明體"/>
          <w:sz w:val="24"/>
          <w:szCs w:val="24"/>
        </w:rPr>
      </w:r>
    </w:p>
    <w:p w14:paraId="5D228B51" w14:textId="77777777" w:rsidR="00D44DCB" w:rsidRDefault="00000000">
      <w:pPr>
        <w:pStyle w:val="2"/>
        <w:spacing w:before="240" w:after="160" w:line="360" w:lineRule="auto"/>
      </w:pPr>
      <w:r>
        <w:rPr>
          <w:rFonts w:ascii="標楷體" w:eastAsia="標楷體" w:hAnsi="標楷體" w:cs="標楷體"/>
          <w:b/>
          <w:bCs/>
        </w:rPr>
        <w:t>4. 遊戲機制與資訊更新（未來藍圖規劃）</w:t>
      </w:r>
    </w:p>
    <w:p w14:paraId="5D228B52" w14:textId="77777777" w:rsidR="00D44DCB" w:rsidRDefault="00000000">
      <w:pPr>
        <w:spacing w:after="120" w:line="360" w:lineRule="auto"/>
        <w:ind w:firstLine="480"/>
        <w:jc w:val="both"/>
      </w:pPr>
      <w:r>
        <w:rPr>
          <w:rFonts w:ascii="新細明體" w:eastAsia="新細明體" w:hAnsi="新細明體" w:cs="新細明體"/>
          <w:sz w:val="24"/>
          <w:szCs w:val="24"/>
        </w:rPr>
        <w:t>以下為團隊規劃中的遊戲機制更新方向，目前尚未完成但已列入未來藍圖，預計將逐步實作。各項機制的具體規則、數值與介面均待設計與測試後定案。</w:t>
      </w:r>
    </w:p>
    <w:p w14:paraId="5D228B53" w14:textId="77777777" w:rsidR="00D44DCB" w:rsidRDefault="00000000">
      <w:pPr>
        <w:spacing w:after="120" w:line="360" w:lineRule="auto"/>
        <w:jc w:val="both"/>
      </w:pPr>
      <w:r>
        <w:rPr>
          <w:rFonts w:ascii="新細明體" w:eastAsia="新細明體" w:hAnsi="新細明體" w:cs="新細明體"/>
          <w:b/>
          <w:bCs/>
          <w:sz w:val="24"/>
          <w:szCs w:val="24"/>
        </w:rPr>
        <w:t>飾品稀有度與取得機制｜商品劃分為「普通、稀有、史詩、神話」四種等級，商店內各等級占比分別為 60%、25%、12%、3%；越稀有的商品獲得時的特效、動畫與音效越華麗。最頂級商品（如神話級鳳凰）約需存 1 至 2 個月的金幣（約 5,000–6,000 金幣）方能購入；稀有度最高者則改以經驗值作為解鎖門檻——當經驗值累積達指定等級，該商品即行解鎖並直接獲得，全程不扣除經驗值，亦不另行支付金幣，藉此與金幣的消費用途明確區隔。團隊同時規劃全面優化人物飾品的性能與整體畫風，調整過去吸引力不足的飾品以提升使用者購買意願。</w:t>
      </w:r>
      <w:r>
        <w:rPr>
          <w:rFonts w:ascii="新細明體" w:eastAsia="新細明體" w:hAnsi="新細明體" w:cs="新細明體"/>
          <w:sz w:val="24"/>
          <w:szCs w:val="24"/>
        </w:rPr>
      </w:r>
    </w:p>
    <w:p w14:paraId="5D228B54" w14:textId="77777777" w:rsidR="00D44DCB" w:rsidRDefault="00000000">
      <w:pPr>
        <w:spacing w:after="120" w:line="360" w:lineRule="auto"/>
        <w:jc w:val="both"/>
      </w:pPr>
      <w:r>
        <w:rPr>
          <w:rFonts w:ascii="新細明體" w:eastAsia="新細明體" w:hAnsi="新細明體" w:cs="新細明體"/>
          <w:b/>
          <w:bCs/>
          <w:sz w:val="24"/>
          <w:szCs w:val="24"/>
        </w:rPr>
        <w:t>新手即時回饋｜</w:t>
      </w:r>
      <w:r>
        <w:rPr>
          <w:rFonts w:ascii="新細明體" w:eastAsia="新細明體" w:hAnsi="新細明體" w:cs="新細明體"/>
          <w:sz w:val="24"/>
          <w:szCs w:val="24"/>
        </w:rPr>
        <w:t>玩家首次完成健身即可獲得十餘枚金幣，使其在第一次體驗便有明確的成就回饋，避免初始門檻過高導致放棄。</w:t>
      </w:r>
    </w:p>
    <w:p w14:paraId="5D228B55" w14:textId="77777777" w:rsidR="00D44DCB" w:rsidRDefault="00000000">
      <w:pPr>
        <w:spacing w:after="120" w:line="360" w:lineRule="auto"/>
        <w:jc w:val="both"/>
      </w:pPr>
      <w:r>
        <w:rPr>
          <w:rFonts w:ascii="新細明體" w:eastAsia="新細明體" w:hAnsi="新細明體" w:cs="新細明體"/>
          <w:b/>
          <w:bCs/>
          <w:sz w:val="24"/>
          <w:szCs w:val="24"/>
        </w:rPr>
        <w:t>每日簽到與活動限定｜</w:t>
      </w:r>
      <w:r>
        <w:rPr>
          <w:rFonts w:ascii="新細明體" w:eastAsia="新細明體" w:hAnsi="新細明體" w:cs="新細明體"/>
          <w:sz w:val="24"/>
          <w:szCs w:val="24"/>
        </w:rPr>
        <w:t>簽到獎勵涵蓋特定節日（如聖誕節、萬聖節、共生節）限定極品，過期即絕版，最高可獲得頂級寵物或造型，以此提升使用者黏著度。漏簽七天以內可透過付費、完成特定運動任務或連續簽到至下週對應天數進行補簽；超過七天則不予補發。</w:t>
      </w:r>
    </w:p>
    <w:p w14:paraId="5D228B56" w14:textId="77777777" w:rsidR="00D44DCB" w:rsidRDefault="00000000">
      <w:pPr>
        <w:spacing w:after="120" w:line="360" w:lineRule="auto"/>
        <w:jc w:val="both"/>
      </w:pPr>
      <w:r>
        <w:rPr>
          <w:rFonts w:ascii="新細明體" w:eastAsia="新細明體" w:hAnsi="新細明體" w:cs="新細明體"/>
          <w:b/>
          <w:bCs/>
          <w:sz w:val="24"/>
          <w:szCs w:val="24"/>
        </w:rPr>
        <w:t>幸運輪盤與抽獎券｜第七天簽到大獎採用輪盤抽獎形式。抽獎券的來源為簽到累積、每日與每週任務及健身目標達成，無法以金幣直接購買。此設計旨在引導玩家實際參與運動，防止僅上線簽到而不運動的情形。系統加入連續登入進度條，以一週七天為單位，讓使用者看到再累積幾天輪盤即可加入更高稀有度獎品；符合條件的使用者，其抽獎券與輪盤介面皆升級為對應稀有度的顏色與樣式（如金色邊框、發光特效），與未達標使用者形成強烈的視覺對比，強化每日登入的參與動力。輪盤抽獎命中率為：碎片 48%、抽獎券 15%、功能卡 20%、普通 8%、稀有 5%、史詩 3%、神話 1%。</w:t>
      </w:r>
      <w:r>
        <w:rPr>
          <w:rFonts w:ascii="新細明體" w:eastAsia="新細明體" w:hAnsi="新細明體" w:cs="新細明體"/>
          <w:sz w:val="24"/>
          <w:szCs w:val="24"/>
        </w:rPr>
      </w:r>
    </w:p>
    <w:p w14:paraId="5D228B57" w14:textId="77777777" w:rsidR="00D44DCB" w:rsidRDefault="00000000">
      <w:pPr>
        <w:spacing w:after="120" w:line="360" w:lineRule="auto"/>
        <w:jc w:val="both"/>
      </w:pPr>
      <w:r>
        <w:rPr>
          <w:rFonts w:ascii="新細明體" w:eastAsia="新細明體" w:hAnsi="新細明體" w:cs="新細明體"/>
          <w:b/>
          <w:bCs/>
          <w:sz w:val="24"/>
          <w:szCs w:val="24"/>
        </w:rPr>
        <w:t>金幣與經驗值對接｜金幣的唯一獲取來源為健身結算，遊戲端不設任何其他金幣產出管道（例如餵寵物不可獲得金幣），以確保健身端與遊戲端的金幣數據一致。經驗值在兩端皆為只增不減並即時同步連動，因此不會產生扣除時的同步異常問題。此機制與第二章所述之單一寫入入口設計相一致——金幣的增加僅能透過訓練結算此一函式，系統對外提供之介面不含任何加值方法，進一步明確了金幣產出的唯一管道。</w:t>
      </w:r>
      <w:r>
        <w:rPr>
          <w:rFonts w:ascii="新細明體" w:eastAsia="新細明體" w:hAnsi="新細明體" w:cs="新細明體"/>
          <w:sz w:val="24"/>
          <w:szCs w:val="24"/>
        </w:rPr>
      </w:r>
    </w:p>
    <w:p w14:paraId="5D228B58" w14:textId="77777777" w:rsidR="00D44DCB" w:rsidRDefault="00000000">
      <w:pPr>
        <w:spacing w:after="120" w:line="360" w:lineRule="auto"/>
        <w:jc w:val="both"/>
      </w:pPr>
      <w:r>
        <w:rPr>
          <w:rFonts w:ascii="新細明體" w:eastAsia="新細明體" w:hAnsi="新細明體" w:cs="新細明體"/>
          <w:b/>
          <w:bCs/>
          <w:sz w:val="24"/>
          <w:szCs w:val="24"/>
        </w:rPr>
        <w:t>結算畫面｜</w:t>
      </w:r>
      <w:r>
        <w:rPr>
          <w:rFonts w:ascii="新細明體" w:eastAsia="新細明體" w:hAnsi="新細明體" w:cs="新細明體"/>
          <w:sz w:val="24"/>
          <w:szCs w:val="24"/>
        </w:rPr>
        <w:t>健身結束後的結算畫面將顯示金幣、經驗值、碎片與抽獎券四項資訊。金幣與經驗值常駐於健身端與遊戲端雙向顯示；碎片與抽獎券僅在結算畫面及遊戲端提示中顯示，主畫面不做同步呈現。</w:t>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建模現況｜</w:t>
      </w:r>
      <w:r>
        <w:rPr>
          <w:rFonts w:ascii="新細明體" w:eastAsia="新細明體" w:hAnsi="新細明體" w:cs="新細明體"/>
          <w:sz w:val="24"/>
          <w:szCs w:val="24"/>
        </w:rPr>
        <w:t>目前四維卡在建模嵌入遊戲的技術問題。團隊規劃若短期內無法解決，將先擱置該部分，優先處理其他可推進的項目，後續再行解決。</w:t>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寵物生命跡象與照護｜為寵物系統加入活動力與營養值兩項狀態指標。若使用者長期未餵食或未登入，寵物活動力逐步下降並躲在窩裡不出來互動。商店中加入狗飼料品項（如西沙等），餵食可提升寵物生命力與營養值、增加互動活性；同時加入戶外狗窩作為島嶼裝飾與寵物活動空間。連續多天未登入時，島嶼地面將出現寵物排泄物並隨天數堆積，此懲罰機制可與園丁、管家 NPC 結合，NPC 可協助清理但需消耗資源或達成特定條件。</w:t>
      </w:r>
      <w:r>
        <w:rPr>
          <w:rFonts w:ascii="新細明體" w:eastAsia="新細明體" w:hAnsi="新細明體" w:cs="新細明體"/>
          <w:sz w:val="24"/>
          <w:szCs w:val="24"/>
        </w:rPr>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商店新增商品：圍欄｜商店中加入「圍欄」類別商品，供使用者購買後放置於島嶼上，用於劃分區域、裝飾庭院或圍護寵物活動範圍。圍欄提供多種風格選擇（如木質、金屬、花園式），並對應不同稀有度等級與定價。</w:t>
      </w:r>
      <w:r>
        <w:rPr>
          <w:rFonts w:ascii="新細明體" w:eastAsia="新細明體" w:hAnsi="新細明體" w:cs="新細明體"/>
          <w:sz w:val="24"/>
          <w:szCs w:val="24"/>
        </w:rPr>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功能卡系統｜加入功能卡機制，首張功能卡為「雙倍金幣卡」，使用後下次健身結算金幣翻倍，未來將持續引進新種類功能卡。功能卡採隨機上線制，每隔數週於限時商店中返場販售；獲取管道包含限時商店購買（金幣購入，定價較高）與輪盤抽獎（命中率約 20%）。此機制為進階玩家提供策略性消費選項，同時以限時供應控制經濟平衡。功能卡之倍率上限與生效次數由健身辨識端定義，遊戲端僅能宣告使用一張已持有的功能卡，金幣仍全數於訓練結算函式產出，不另闢加值管道。</w:t>
      </w:r>
      <w:r>
        <w:rPr>
          <w:rFonts w:ascii="新細明體" w:eastAsia="新細明體" w:hAnsi="新細明體" w:cs="新細明體"/>
          <w:sz w:val="24"/>
          <w:szCs w:val="24"/>
        </w:rPr>
      </w:r>
    </w:p>
    <w:p w14:paraId="5D228ABB" w14:textId="77777777" w:rsidR="00D44DCB" w:rsidRDefault="00000000">
      <w:pPr>
        <w:pStyle w:val="2"/>
        <w:spacing w:before="240" w:after="160" w:line="360" w:lineRule="auto"/>
      </w:pPr>
      <w:r>
        <w:rPr>
          <w:rFonts w:ascii="標楷體" w:eastAsia="標楷體" w:hAnsi="標楷體" w:cs="標楷體"/>
          <w:b/>
          <w:bCs/>
        </w:rPr>
        <w:t>健身辨識端｜預期結果</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1. 交付成果</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6-2　健身辨識端交付成果</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交付項目</w:t>
            </w:r>
          </w:p>
        </w:tc>
        <w:tc>
          <w:tcPr>
            <w:tcW w:w="1600" w:type="dxa"/>
            <w:shd w:val="clear" w:color="auto" w:fill="D9E2F3"/>
            <w:tcMar>
              <w:top w:w="40" w:type="dxa"/>
              <w:left w:w="80" w:type="dxa"/>
              <w:bottom w:w="40" w:type="dxa"/>
              <w:right w:w="80" w:type="dxa"/>
            </w:tcMar>
          </w:tcPr>
          <w:p>
            <w:r>
              <w:t>內容</w:t>
            </w:r>
          </w:p>
        </w:tc>
        <w:tc>
          <w:tcPr>
            <w:tcW w:w="3600" w:type="dxa"/>
            <w:shd w:val="clear" w:color="auto" w:fill="D9E2F3"/>
            <w:tcMar>
              <w:top w:w="40" w:type="dxa"/>
              <w:left w:w="80" w:type="dxa"/>
              <w:bottom w:w="40" w:type="dxa"/>
              <w:right w:w="80" w:type="dxa"/>
            </w:tcMar>
          </w:tcPr>
          <w:p>
            <w:r>
              <w:t>狀態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整合系統</w:t>
            </w:r>
          </w:p>
        </w:tc>
        <w:tc>
          <w:tcPr>
            <w:tcW w:w="1600" w:type="dxa"/>
            <w:shd w:val="clear" w:color="auto" w:fill="D9E2F3"/>
            <w:tcMar>
              <w:top w:w="40" w:type="dxa"/>
              <w:left w:w="80" w:type="dxa"/>
              <w:bottom w:w="40" w:type="dxa"/>
              <w:right w:w="80" w:type="dxa"/>
            </w:tcMar>
          </w:tcPr>
          <w:p>
            <w:r>
              <w:t>單一網站應用程式，開啟瀏覽器即可使用，無須安裝與註冊</w:t>
            </w:r>
          </w:p>
        </w:tc>
        <w:tc>
          <w:tcPr>
            <w:tcW w:w="3600" w:type="dxa"/>
            <w:shd w:val="clear" w:color="auto" w:fill="D9E2F3"/>
            <w:tcMar>
              <w:top w:w="40" w:type="dxa"/>
              <w:left w:w="80" w:type="dxa"/>
              <w:bottom w:w="40" w:type="dxa"/>
              <w:right w:w="80" w:type="dxa"/>
            </w:tcMar>
          </w:tcPr>
          <w:p>
            <w:r>
              <w:t>開發中</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動作判定能力</w:t>
            </w:r>
          </w:p>
        </w:tc>
        <w:tc>
          <w:tcPr>
            <w:tcW w:w="1600" w:type="dxa"/>
            <w:shd w:val="clear" w:color="auto" w:fill="D9E2F3"/>
            <w:tcMar>
              <w:top w:w="40" w:type="dxa"/>
              <w:left w:w="80" w:type="dxa"/>
              <w:bottom w:w="40" w:type="dxa"/>
              <w:right w:w="80" w:type="dxa"/>
            </w:tcMar>
          </w:tcPr>
          <w:p>
            <w:r>
              <w:t>各動作具完整週期判定、錯誤原因輸出與修正提示</w:t>
            </w:r>
          </w:p>
        </w:tc>
        <w:tc>
          <w:tcPr>
            <w:tcW w:w="3600" w:type="dxa"/>
            <w:shd w:val="clear" w:color="auto" w:fill="D9E2F3"/>
            <w:tcMar>
              <w:top w:w="40" w:type="dxa"/>
              <w:left w:w="80" w:type="dxa"/>
              <w:bottom w:w="40" w:type="dxa"/>
              <w:right w:w="80" w:type="dxa"/>
            </w:tcMar>
          </w:tcPr>
          <w:p>
            <w:r>
              <w:t>四項已實作，二項規劃中</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真人驗證資料集</w:t>
            </w:r>
          </w:p>
        </w:tc>
        <w:tc>
          <w:tcPr>
            <w:tcW w:w="1600" w:type="dxa"/>
            <w:shd w:val="clear" w:color="auto" w:fill="D9E2F3"/>
            <w:tcMar>
              <w:top w:w="40" w:type="dxa"/>
              <w:left w:w="80" w:type="dxa"/>
              <w:bottom w:w="40" w:type="dxa"/>
              <w:right w:w="80" w:type="dxa"/>
            </w:tcMar>
          </w:tcPr>
          <w:p>
            <w:r>
              <w:t>受試者之標準與指定錯誤樣態樣本，含人工標註與混淆矩陣</w:t>
            </w:r>
          </w:p>
        </w:tc>
        <w:tc>
          <w:tcPr>
            <w:tcW w:w="3600" w:type="dxa"/>
            <w:shd w:val="clear" w:color="auto" w:fill="D9E2F3"/>
            <w:tcMar>
              <w:top w:w="40" w:type="dxa"/>
              <w:left w:w="80" w:type="dxa"/>
              <w:bottom w:w="40" w:type="dxa"/>
              <w:right w:w="80" w:type="dxa"/>
            </w:tcMar>
          </w:tcPr>
          <w:p>
            <w:r>
              <w:t>規劃中・尚未執行</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判定依據溯源紀錄</w:t>
            </w:r>
          </w:p>
        </w:tc>
        <w:tc>
          <w:tcPr>
            <w:tcW w:w="1600" w:type="dxa"/>
            <w:shd w:val="clear" w:color="auto" w:fill="D9E2F3"/>
            <w:tcMar>
              <w:top w:w="40" w:type="dxa"/>
              <w:left w:w="80" w:type="dxa"/>
              <w:bottom w:w="40" w:type="dxa"/>
              <w:right w:w="80" w:type="dxa"/>
            </w:tcMar>
          </w:tcPr>
          <w:p>
            <w:r>
              <w:t>各門檻標明知識來源等級</w:t>
            </w:r>
          </w:p>
        </w:tc>
        <w:tc>
          <w:tcPr>
            <w:tcW w:w="3600" w:type="dxa"/>
            <w:shd w:val="clear" w:color="auto" w:fill="D9E2F3"/>
            <w:tcMar>
              <w:top w:w="40" w:type="dxa"/>
              <w:left w:w="80" w:type="dxa"/>
              <w:bottom w:w="40" w:type="dxa"/>
              <w:right w:w="80" w:type="dxa"/>
            </w:tcMar>
          </w:tcPr>
          <w:p>
            <w:r>
              <w:t>已建立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兩端整合規格</w:t>
            </w:r>
          </w:p>
        </w:tc>
        <w:tc>
          <w:tcPr>
            <w:tcW w:w="1600" w:type="dxa"/>
            <w:shd w:val="clear" w:color="auto" w:fill="D9E2F3"/>
            <w:tcMar>
              <w:top w:w="40" w:type="dxa"/>
              <w:left w:w="80" w:type="dxa"/>
              <w:bottom w:w="40" w:type="dxa"/>
              <w:right w:w="80" w:type="dxa"/>
            </w:tcMar>
          </w:tcPr>
          <w:p>
            <w:r>
              <w:t>模組契約、資源存取介面、驗收標準</w:t>
            </w:r>
          </w:p>
        </w:tc>
        <w:tc>
          <w:tcPr>
            <w:tcW w:w="3600" w:type="dxa"/>
            <w:shd w:val="clear" w:color="auto" w:fill="D9E2F3"/>
            <w:tcMar>
              <w:top w:w="40" w:type="dxa"/>
              <w:left w:w="80" w:type="dxa"/>
              <w:bottom w:w="40" w:type="dxa"/>
              <w:right w:w="80" w:type="dxa"/>
            </w:tcMar>
          </w:tcPr>
          <w:p>
            <w:r>
              <w:t>已定稿</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動作示範素材</w:t>
            </w:r>
          </w:p>
        </w:tc>
        <w:tc>
          <w:tcPr>
            <w:tcW w:w="1600" w:type="dxa"/>
            <w:shd w:val="clear" w:color="auto" w:fill="D9E2F3"/>
            <w:tcMar>
              <w:top w:w="40" w:type="dxa"/>
              <w:left w:w="80" w:type="dxa"/>
              <w:bottom w:w="40" w:type="dxa"/>
              <w:right w:w="80" w:type="dxa"/>
            </w:tcMar>
          </w:tcPr>
          <w:p>
            <w:r>
              <w:t>各動作之真人示範影片</w:t>
            </w:r>
          </w:p>
        </w:tc>
        <w:tc>
          <w:tcPr>
            <w:tcW w:w="3600" w:type="dxa"/>
            <w:shd w:val="clear" w:color="auto" w:fill="D9E2F3"/>
            <w:tcMar>
              <w:top w:w="40" w:type="dxa"/>
              <w:left w:w="80" w:type="dxa"/>
              <w:bottom w:w="40" w:type="dxa"/>
              <w:right w:w="80" w:type="dxa"/>
            </w:tcMar>
          </w:tcPr>
          <w:p>
            <w:r>
              <w:t>規劃中・隨真人測試拍攝</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2. 驗證指標與解讀界線</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6-3　健身辨識端驗證指標與解讀界線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1800"/>
        <w:gridCol w:w="1800"/>
        <w:gridCol w:w="1800"/>
        <w:gridCol w:w="1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評估面向</w:t>
            </w:r>
          </w:p>
        </w:tc>
        <w:tc>
          <w:tcPr>
            <w:tcW w:w="1600" w:type="dxa"/>
            <w:shd w:val="clear" w:color="auto" w:fill="D9E2F3"/>
            <w:tcMar>
              <w:top w:w="40" w:type="dxa"/>
              <w:left w:w="80" w:type="dxa"/>
              <w:bottom w:w="40" w:type="dxa"/>
              <w:right w:w="80" w:type="dxa"/>
            </w:tcMar>
          </w:tcPr>
          <w:p>
            <w:r>
              <w:t>觀察重點</w:t>
            </w:r>
          </w:p>
        </w:tc>
        <w:tc>
          <w:tcPr>
            <w:tcW w:w="3600" w:type="dxa"/>
            <w:shd w:val="clear" w:color="auto" w:fill="D9E2F3"/>
            <w:tcMar>
              <w:top w:w="40" w:type="dxa"/>
              <w:left w:w="80" w:type="dxa"/>
              <w:bottom w:w="40" w:type="dxa"/>
              <w:right w:w="80" w:type="dxa"/>
            </w:tcMar>
          </w:tcPr>
          <w:p>
            <w:r>
              <w:t>驗證方式</w:t>
            </w:r>
          </w:p>
        </w:tc>
        <w:tc>
          <w:tcPr>
            <w:tcW w:w="3600" w:type="dxa"/>
            <w:shd w:val="clear" w:color="auto" w:fill="D9E2F3"/>
            <w:tcMar>
              <w:top w:w="40" w:type="dxa"/>
              <w:left w:w="80" w:type="dxa"/>
              <w:bottom w:w="40" w:type="dxa"/>
              <w:right w:w="80" w:type="dxa"/>
            </w:tcMar>
          </w:tcPr>
          <w:p>
            <w:r>
              <w:t>解讀界線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規則邏輯</w:t>
            </w:r>
          </w:p>
        </w:tc>
        <w:tc>
          <w:tcPr>
            <w:tcW w:w="1600" w:type="dxa"/>
            <w:shd w:val="clear" w:color="auto" w:fill="D9E2F3"/>
            <w:tcMar>
              <w:top w:w="40" w:type="dxa"/>
              <w:left w:w="80" w:type="dxa"/>
              <w:bottom w:w="40" w:type="dxa"/>
              <w:right w:w="80" w:type="dxa"/>
            </w:tcMar>
          </w:tcPr>
          <w:p>
            <w:r>
              <w:t>正負樣本之判定是否符合規格</w:t>
            </w:r>
          </w:p>
        </w:tc>
        <w:tc>
          <w:tcPr>
            <w:tcW w:w="3600" w:type="dxa"/>
            <w:shd w:val="clear" w:color="auto" w:fill="D9E2F3"/>
            <w:tcMar>
              <w:top w:w="40" w:type="dxa"/>
              <w:left w:w="80" w:type="dxa"/>
              <w:bottom w:w="40" w:type="dxa"/>
              <w:right w:w="80" w:type="dxa"/>
            </w:tcMar>
          </w:tcPr>
          <w:p>
            <w:r>
              <w:t>固定種子之自動化測試</w:t>
            </w:r>
          </w:p>
        </w:tc>
        <w:tc>
          <w:tcPr>
            <w:tcW w:w="3600" w:type="dxa"/>
            <w:shd w:val="clear" w:color="auto" w:fill="D9E2F3"/>
            <w:tcMar>
              <w:top w:w="40" w:type="dxa"/>
              <w:left w:w="80" w:type="dxa"/>
              <w:bottom w:w="40" w:type="dxa"/>
              <w:right w:w="80" w:type="dxa"/>
            </w:tcMar>
          </w:tcPr>
          <w:p>
            <w:r>
              <w:t>僅確認規則自洽，不推論真人準確率</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體型不變性</w:t>
            </w:r>
          </w:p>
        </w:tc>
        <w:tc>
          <w:tcPr>
            <w:tcW w:w="1600" w:type="dxa"/>
            <w:shd w:val="clear" w:color="auto" w:fill="D9E2F3"/>
            <w:tcMar>
              <w:top w:w="40" w:type="dxa"/>
              <w:left w:w="80" w:type="dxa"/>
              <w:bottom w:w="40" w:type="dxa"/>
              <w:right w:w="80" w:type="dxa"/>
            </w:tcMar>
          </w:tcPr>
          <w:p>
            <w:r>
              <w:t>不同身高使用者之判定一致性</w:t>
            </w:r>
          </w:p>
        </w:tc>
        <w:tc>
          <w:tcPr>
            <w:tcW w:w="3600" w:type="dxa"/>
            <w:shd w:val="clear" w:color="auto" w:fill="D9E2F3"/>
            <w:tcMar>
              <w:top w:w="40" w:type="dxa"/>
              <w:left w:w="80" w:type="dxa"/>
              <w:bottom w:w="40" w:type="dxa"/>
              <w:right w:w="80" w:type="dxa"/>
            </w:tcMar>
          </w:tcPr>
          <w:p>
            <w:r>
              <w:t>真人測試（體型差距拉開）</w:t>
            </w:r>
          </w:p>
        </w:tc>
        <w:tc>
          <w:tcPr>
            <w:tcW w:w="3600" w:type="dxa"/>
            <w:shd w:val="clear" w:color="auto" w:fill="D9E2F3"/>
            <w:tcMar>
              <w:top w:w="40" w:type="dxa"/>
              <w:left w:w="80" w:type="dxa"/>
              <w:bottom w:w="40" w:type="dxa"/>
              <w:right w:w="80" w:type="dxa"/>
            </w:tcMar>
          </w:tcPr>
          <w:p>
            <w:r>
              <w:t>樣本數有限，不作族群推論</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鏡頭距離不變性</w:t>
            </w:r>
          </w:p>
        </w:tc>
        <w:tc>
          <w:tcPr>
            <w:tcW w:w="1600" w:type="dxa"/>
            <w:shd w:val="clear" w:color="auto" w:fill="D9E2F3"/>
            <w:tcMar>
              <w:top w:w="40" w:type="dxa"/>
              <w:left w:w="80" w:type="dxa"/>
              <w:bottom w:w="40" w:type="dxa"/>
              <w:right w:w="80" w:type="dxa"/>
            </w:tcMar>
          </w:tcPr>
          <w:p>
            <w:r>
              <w:t>縮放範圍內之判定一致性</w:t>
            </w:r>
          </w:p>
        </w:tc>
        <w:tc>
          <w:tcPr>
            <w:tcW w:w="3600" w:type="dxa"/>
            <w:shd w:val="clear" w:color="auto" w:fill="D9E2F3"/>
            <w:tcMar>
              <w:top w:w="40" w:type="dxa"/>
              <w:left w:w="80" w:type="dxa"/>
              <w:bottom w:w="40" w:type="dxa"/>
              <w:right w:w="80" w:type="dxa"/>
            </w:tcMar>
          </w:tcPr>
          <w:p>
            <w:r>
              <w:t>縮放擾動測試</w:t>
            </w:r>
          </w:p>
        </w:tc>
        <w:tc>
          <w:tcPr>
            <w:tcW w:w="3600" w:type="dxa"/>
            <w:shd w:val="clear" w:color="auto" w:fill="D9E2F3"/>
            <w:tcMar>
              <w:top w:w="40" w:type="dxa"/>
              <w:left w:w="80" w:type="dxa"/>
              <w:bottom w:w="40" w:type="dxa"/>
              <w:right w:w="80" w:type="dxa"/>
            </w:tcMar>
          </w:tcPr>
          <w:p>
            <w:r>
              <w:t>僅涵蓋測試所及之範圍</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錯誤樣態辨識</w:t>
            </w:r>
          </w:p>
        </w:tc>
        <w:tc>
          <w:tcPr>
            <w:tcW w:w="1600" w:type="dxa"/>
            <w:shd w:val="clear" w:color="auto" w:fill="D9E2F3"/>
            <w:tcMar>
              <w:top w:w="40" w:type="dxa"/>
              <w:left w:w="80" w:type="dxa"/>
              <w:bottom w:w="40" w:type="dxa"/>
              <w:right w:w="80" w:type="dxa"/>
            </w:tcMar>
          </w:tcPr>
          <w:p>
            <w:r>
              <w:t>指定錯誤是否被正確攔截</w:t>
            </w:r>
          </w:p>
        </w:tc>
        <w:tc>
          <w:tcPr>
            <w:tcW w:w="3600" w:type="dxa"/>
            <w:shd w:val="clear" w:color="auto" w:fill="D9E2F3"/>
            <w:tcMar>
              <w:top w:w="40" w:type="dxa"/>
              <w:left w:w="80" w:type="dxa"/>
              <w:bottom w:w="40" w:type="dxa"/>
              <w:right w:w="80" w:type="dxa"/>
            </w:tcMar>
          </w:tcPr>
          <w:p>
            <w:r>
              <w:t>真人測試混淆矩陣</w:t>
            </w:r>
          </w:p>
        </w:tc>
        <w:tc>
          <w:tcPr>
            <w:tcW w:w="3600" w:type="dxa"/>
            <w:shd w:val="clear" w:color="auto" w:fill="D9E2F3"/>
            <w:tcMar>
              <w:top w:w="40" w:type="dxa"/>
              <w:left w:w="80" w:type="dxa"/>
              <w:bottom w:w="40" w:type="dxa"/>
              <w:right w:w="80" w:type="dxa"/>
            </w:tcMar>
          </w:tcPr>
          <w:p>
            <w:r>
              <w:t>標籤依拍攝指令設定，未經教練獨立標註</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系統整合</w:t>
            </w:r>
          </w:p>
        </w:tc>
        <w:tc>
          <w:tcPr>
            <w:tcW w:w="1600" w:type="dxa"/>
            <w:shd w:val="clear" w:color="auto" w:fill="D9E2F3"/>
            <w:tcMar>
              <w:top w:w="40" w:type="dxa"/>
              <w:left w:w="80" w:type="dxa"/>
              <w:bottom w:w="40" w:type="dxa"/>
              <w:right w:w="80" w:type="dxa"/>
            </w:tcMar>
          </w:tcPr>
          <w:p>
            <w:r>
              <w:t>兩端資料一致性與操作銜接</w:t>
            </w:r>
          </w:p>
        </w:tc>
        <w:tc>
          <w:tcPr>
            <w:tcW w:w="3600" w:type="dxa"/>
            <w:shd w:val="clear" w:color="auto" w:fill="D9E2F3"/>
            <w:tcMar>
              <w:top w:w="40" w:type="dxa"/>
              <w:left w:w="80" w:type="dxa"/>
              <w:bottom w:w="40" w:type="dxa"/>
              <w:right w:w="80" w:type="dxa"/>
            </w:tcMar>
          </w:tcPr>
          <w:p>
            <w:r>
              <w:t>整合驗收五項</w:t>
            </w:r>
          </w:p>
        </w:tc>
        <w:tc>
          <w:tcPr>
            <w:tcW w:w="3600" w:type="dxa"/>
            <w:shd w:val="clear" w:color="auto" w:fill="D9E2F3"/>
            <w:tcMar>
              <w:top w:w="40" w:type="dxa"/>
              <w:left w:w="80" w:type="dxa"/>
              <w:bottom w:w="40" w:type="dxa"/>
              <w:right w:w="80" w:type="dxa"/>
            </w:tcMar>
          </w:tcPr>
          <w:p>
            <w:r>
              <w:t>僅確認流程可用，不推論使用成效</w:t>
            </w:r>
          </w:p>
        </w:tc>
      </w:tr>
    </w:tbl>
    <w:p w14:paraId="5D228B5A" w14:textId="77777777" w:rsidR="00D44DCB" w:rsidRDefault="00000000">
      <w:pPr>
        <w:pStyle w:val="1"/>
        <w:spacing w:before="360" w:after="200" w:line="360" w:lineRule="auto"/>
      </w:pPr>
      <w:r>
        <w:rPr>
          <w:rFonts w:ascii="標楷體" w:eastAsia="標楷體" w:hAnsi="標楷體" w:cs="標楷體"/>
          <w:b/>
          <w:bCs/>
          <w:sz w:val="28"/>
          <w:szCs w:val="32"/>
        </w:rPr>
        <w:t>（三）用途</w:t>
      </w:r>
    </w:p>
    <w:p w14:paraId="5D228B5B"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網站健身操作｜</w:t>
      </w:r>
      <w:r>
        <w:rPr>
          <w:rFonts w:ascii="新細明體" w:eastAsia="新細明體" w:hAnsi="新細明體" w:cs="新細明體"/>
          <w:sz w:val="24"/>
          <w:szCs w:val="24"/>
        </w:rPr>
        <w:t>完成整合後，讓使用者在網站中選擇健身項目、進入訓練畫面、查看結算結果及追蹤紀錄，形成連續的使用流程。</w:t>
      </w:r>
    </w:p>
    <w:p w14:paraId="5D228B5C"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lastRenderedPageBreak/>
        <w:t>遊戲化成果呈現｜</w:t>
      </w:r>
      <w:r>
        <w:rPr>
          <w:rFonts w:ascii="新細明體" w:eastAsia="新細明體" w:hAnsi="新細明體" w:cs="新細明體"/>
          <w:sz w:val="24"/>
          <w:szCs w:val="24"/>
        </w:rPr>
        <w:t>以角色、獎勵、商店、穿搭、住家佈置與島嶼建造，呈現健身參與所累積的結果與進度。</w:t>
      </w:r>
    </w:p>
    <w:p w14:paraId="5D228B5D"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角色個人化｜</w:t>
      </w:r>
      <w:r>
        <w:rPr>
          <w:rFonts w:ascii="新細明體" w:eastAsia="新細明體" w:hAnsi="新細明體" w:cs="新細明體"/>
          <w:sz w:val="24"/>
          <w:szCs w:val="24"/>
        </w:rPr>
        <w:t>人物模型、髮型、穿搭與裝飾完成調整後，預期提供較清楚、協調且具角色特色的外觀呈現。</w:t>
      </w:r>
    </w:p>
    <w:p w14:paraId="5D228B5E"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回訪提醒與負向回饋｜</w:t>
      </w:r>
      <w:r>
        <w:rPr>
          <w:rFonts w:ascii="新細明體" w:eastAsia="新細明體" w:hAnsi="新細明體" w:cs="新細明體"/>
          <w:sz w:val="24"/>
          <w:szCs w:val="24"/>
        </w:rPr>
        <w:t>手機端大型訊息框、顏色變化、每日挑戰式通知、登入中斷後的解鎖，以及藤蔓侵蝕事件，規劃用於提醒使用者返回遊戲，並讓中斷參與產生可見的遊戲內後果。</w:t>
      </w:r>
    </w:p>
    <w:p w14:paraId="5D228B5F"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島嶼角色互動｜</w:t>
      </w:r>
      <w:r>
        <w:rPr>
          <w:rFonts w:ascii="新細明體" w:eastAsia="新細明體" w:hAnsi="新細明體" w:cs="新細明體"/>
          <w:sz w:val="24"/>
          <w:szCs w:val="24"/>
        </w:rPr>
        <w:t>動物 NPC 完成後，預期透過園丁、管家等職務角色及其島嶼正向作用，增加使用者與島嶼居民之間的互動內容。</w:t>
      </w:r>
    </w:p>
    <w:p w14:paraId="5D228B60"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操作引導｜</w:t>
      </w:r>
      <w:r>
        <w:rPr>
          <w:rFonts w:ascii="新細明體" w:eastAsia="新細明體" w:hAnsi="新細明體" w:cs="新細明體"/>
          <w:sz w:val="24"/>
          <w:szCs w:val="24"/>
        </w:rPr>
        <w:t>載入畫面與新手引導完成優化後，預期協助使用者理解遊戲風格、主要介面及操作流程。</w:t>
      </w:r>
    </w:p>
    <w:p w14:paraId="5D228B61"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碎片機制｜</w:t>
      </w:r>
      <w:r>
        <w:rPr>
          <w:rFonts w:ascii="新細明體" w:eastAsia="新細明體" w:hAnsi="新細明體" w:cs="新細明體"/>
          <w:sz w:val="24"/>
          <w:szCs w:val="24"/>
        </w:rPr>
        <w:t>目前僅能作為高機率考慮中的遊戲構想列入企劃；在詳細規則未定前，不預設其收集、合成、建造、兌換或獎勵用途。</w:t>
      </w:r>
    </w:p>
    <w:p w14:paraId="5D228B62"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飾品稀有度與取得（未來藍圖）｜透過「普通、稀有、史詩、神話」四級稀有度劃分（商店占比 60%/25%/12%/3%），並以經驗值累積至指定等級作為最高階商品的解鎖條件，為使用者提供明確的收集目標與長期動力。</w:t>
      </w:r>
      <w:r>
        <w:rPr>
          <w:rFonts w:ascii="新細明體" w:eastAsia="新細明體" w:hAnsi="新細明體" w:cs="新細明體"/>
          <w:sz w:val="24"/>
          <w:szCs w:val="24"/>
        </w:rPr>
      </w:r>
    </w:p>
    <w:p w14:paraId="5D228B63"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每日簽到與活動限定（未來藍圖）｜</w:t>
      </w:r>
      <w:r>
        <w:rPr>
          <w:rFonts w:ascii="新細明體" w:eastAsia="新細明體" w:hAnsi="新細明體" w:cs="新細明體"/>
          <w:sz w:val="24"/>
          <w:szCs w:val="24"/>
        </w:rPr>
        <w:t>以每日簽到獎勵、節日限定絕版品及補簽機制，建立使用者每日回訪的習慣與節慶期間的參與高峰。</w:t>
      </w:r>
    </w:p>
    <w:p w14:paraId="5D228B64"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幸運輪盤與抽獎券（未來藍圖）｜以不可用金幣購買的抽獎券作為運動目標達成獎勵，引導使用者透過實際健身而非僅登入來獲取遊戲資源；連續登入進度條與輪盤視覺升級讓每日參與的差異一目了然。</w:t>
      </w:r>
      <w:r>
        <w:rPr>
          <w:rFonts w:ascii="新細明體" w:eastAsia="新細明體" w:hAnsi="新細明體" w:cs="新細明體"/>
          <w:sz w:val="24"/>
          <w:szCs w:val="24"/>
        </w:rPr>
      </w:r>
    </w:p>
    <w:p w14:paraId="5D228B64"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寵物生命跡象與照護（未來藍圖）｜透過寵物活動力與營養值指標、飼料商品及排泄物懲罰機制，增加使用者與寵物的互動深度，並結合 NPC 職務形成島嶼生態系統。</w:t>
      </w:r>
      <w:r>
        <w:rPr>
          <w:rFonts w:ascii="新細明體" w:eastAsia="新細明體" w:hAnsi="新細明體" w:cs="新細明體"/>
          <w:sz w:val="24"/>
          <w:szCs w:val="24"/>
        </w:rPr>
      </w:r>
    </w:p>
    <w:p w14:paraId="5D228B64"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商店新增商品：圍欄（未來藍圖）｜以多風格、多稀有度的圍欄商品，為使用者的島嶼提供區域劃分與庭院裝飾功能，豐富島嶼建設的可玩性。</w:t>
      </w:r>
      <w:r>
        <w:rPr>
          <w:rFonts w:ascii="新細明體" w:eastAsia="新細明體" w:hAnsi="新細明體" w:cs="新細明體"/>
          <w:sz w:val="24"/>
          <w:szCs w:val="24"/>
        </w:rPr>
      </w:r>
    </w:p>
    <w:p w14:paraId="5D228B64"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功能卡系統（未來藍圖）｜以限時供應的功能卡（如雙倍金幣卡）提供進階玩家策略性消費選項，透過限時商店與輪盤兩種管道獲取，豐富遊戲經濟的層次。</w:t>
      </w:r>
      <w:r>
        <w:rPr>
          <w:rFonts w:ascii="新細明體" w:eastAsia="新細明體" w:hAnsi="新細明體" w:cs="新細明體"/>
          <w:sz w:val="24"/>
          <w:szCs w:val="24"/>
        </w:rPr>
      </w:r>
    </w:p>
    <w:p w14:paraId="5D228ABB" w14:textId="77777777" w:rsidR="00D44DCB" w:rsidRDefault="00000000">
      <w:pPr>
        <w:pStyle w:val="2"/>
        <w:spacing w:before="240" w:after="160" w:line="360" w:lineRule="auto"/>
      </w:pPr>
      <w:r>
        <w:rPr>
          <w:rFonts w:ascii="標楷體" w:eastAsia="標楷體" w:hAnsi="標楷體" w:cs="標楷體"/>
          <w:b/>
          <w:bCs/>
        </w:rPr>
        <w:t>健身辨識端｜用途</w:t>
      </w:r>
    </w:p>
    <w:p w14:paraId="5D228A8A" w14:textId="77777777" w:rsidR="00D44DCB" w:rsidRDefault="00000000">
      <w:pPr>
        <w:spacing w:after="120" w:line="360" w:lineRule="auto"/>
        <w:ind/>
        <w:jc w:val="both"/>
      </w:pPr>
      <w:r>
        <w:rPr>
          <w:rFonts w:ascii="新細明體" w:eastAsia="新細明體" w:hAnsi="新細明體" w:cs="新細明體"/>
          <w:sz w:val="24"/>
          <w:szCs w:val="24"/>
        </w:rPr>
        <w:t>居家自主訓練｜開啟瀏覽器並對準鏡頭即可開始，無須器材、場地與安裝。此為本作品之主要設計場景。</w:t>
      </w:r>
    </w:p>
    <w:p w14:paraId="5D228A8A" w14:textId="77777777" w:rsidR="00D44DCB" w:rsidRDefault="00000000">
      <w:pPr>
        <w:spacing w:after="120" w:line="360" w:lineRule="auto"/>
        <w:ind/>
        <w:jc w:val="both"/>
      </w:pPr>
      <w:r>
        <w:rPr>
          <w:rFonts w:ascii="新細明體" w:eastAsia="新細明體" w:hAnsi="新細明體" w:cs="新細明體"/>
          <w:sz w:val="24"/>
          <w:szCs w:val="24"/>
        </w:rPr>
        <w:t>校園體適能輔助｜學生於課後自主練習，教師檢視過程指標。本作品之動作項目與體適能檢測項目部分重疊（伏地挺身、仰臥起坐）。</w:t>
      </w:r>
    </w:p>
    <w:p w14:paraId="5D228A8A" w14:textId="77777777" w:rsidR="00D44DCB" w:rsidRDefault="00000000">
      <w:pPr>
        <w:spacing w:after="120" w:line="360" w:lineRule="auto"/>
        <w:ind/>
        <w:jc w:val="both"/>
      </w:pPr>
      <w:r>
        <w:rPr>
          <w:rFonts w:ascii="新細明體" w:eastAsia="新細明體" w:hAnsi="新細明體" w:cs="新細明體"/>
          <w:sz w:val="24"/>
          <w:szCs w:val="24"/>
        </w:rPr>
        <w:t>社區運動推廣｜因零安裝且無伺服器成本，適合於社區據點單機佈建。</w:t>
      </w:r>
    </w:p>
    <w:p w14:paraId="5D228A8A" w14:textId="77777777" w:rsidR="00D44DCB" w:rsidRDefault="00000000">
      <w:pPr>
        <w:spacing w:after="120" w:line="360" w:lineRule="auto"/>
        <w:ind/>
        <w:jc w:val="both"/>
      </w:pPr>
      <w:r>
        <w:rPr>
          <w:rFonts w:ascii="新細明體" w:eastAsia="新細明體" w:hAnsi="新細明體" w:cs="新細明體"/>
          <w:sz w:val="24"/>
          <w:szCs w:val="24"/>
        </w:rPr>
        <w:t>健身入門引導｜作為新手於接受教練指導前之自主練習工具，補足教練不在場時之回饋空缺。</w:t>
      </w:r>
    </w:p>
    <w:p w14:paraId="5D228A8A" w14:textId="77777777" w:rsidR="00D44DCB" w:rsidRDefault="00000000">
      <w:pPr>
        <w:spacing w:after="120" w:line="360" w:lineRule="auto"/>
        <w:ind/>
        <w:jc w:val="both"/>
      </w:pPr>
      <w:r>
        <w:rPr>
          <w:rFonts w:ascii="新細明體" w:eastAsia="新細明體" w:hAnsi="新細明體" w:cs="新細明體"/>
          <w:sz w:val="24"/>
          <w:szCs w:val="24"/>
        </w:rPr>
        <w:t>不適用範圍｜需器材或負重之訓練動作、需判讀深度或旋轉之複合動作、復健與術後訓練（須由醫療專業人員指導）、需精確評分或競賽判定之場合。</w:t>
      </w:r>
    </w:p>
    <w:p w14:paraId="5D228B65" w14:textId="77777777" w:rsidR="00D44DCB" w:rsidRDefault="00000000">
      <w:pPr>
        <w:pStyle w:val="1"/>
        <w:spacing w:before="360" w:after="200" w:line="360" w:lineRule="auto"/>
      </w:pPr>
      <w:r>
        <w:rPr>
          <w:rFonts w:ascii="標楷體" w:eastAsia="標楷體" w:hAnsi="標楷體" w:cs="標楷體"/>
          <w:b/>
          <w:bCs/>
          <w:sz w:val="28"/>
          <w:szCs w:val="32"/>
        </w:rPr>
        <w:t>（四）影響</w:t>
      </w:r>
    </w:p>
    <w:p w14:paraId="5D228B66" w14:textId="77777777" w:rsidR="00D44DCB" w:rsidRDefault="00000000">
      <w:pPr>
        <w:spacing w:after="120" w:line="360" w:lineRule="auto"/>
        <w:jc w:val="both"/>
      </w:pPr>
      <w:r>
        <w:rPr>
          <w:rFonts w:ascii="新細明體" w:eastAsia="新細明體" w:hAnsi="新細明體" w:cs="新細明體"/>
          <w:b/>
          <w:bCs/>
          <w:sz w:val="24"/>
          <w:szCs w:val="24"/>
        </w:rPr>
        <w:t>整合體驗｜</w:t>
      </w:r>
      <w:r>
        <w:rPr>
          <w:rFonts w:ascii="新細明體" w:eastAsia="新細明體" w:hAnsi="新細明體" w:cs="新細明體"/>
          <w:sz w:val="24"/>
          <w:szCs w:val="24"/>
        </w:rPr>
        <w:t>本作品預期把健身流程、訓練結果、追蹤紀錄與遊戲互動集中於同一網站，使健身功能與角色、獎勵及島嶼內容形成共同流程，而不是彼此分離的系統。</w:t>
      </w:r>
    </w:p>
    <w:p w14:paraId="5D228B67" w14:textId="77777777" w:rsidR="00D44DCB" w:rsidRDefault="00000000">
      <w:pPr>
        <w:spacing w:after="120" w:line="360" w:lineRule="auto"/>
        <w:jc w:val="both"/>
      </w:pPr>
      <w:r>
        <w:rPr>
          <w:rFonts w:ascii="新細明體" w:eastAsia="新細明體" w:hAnsi="新細明體" w:cs="新細明體"/>
          <w:b/>
          <w:bCs/>
          <w:sz w:val="24"/>
          <w:szCs w:val="24"/>
        </w:rPr>
        <w:t>視覺與角色體驗｜</w:t>
      </w:r>
      <w:r>
        <w:rPr>
          <w:rFonts w:ascii="新細明體" w:eastAsia="新細明體" w:hAnsi="新細明體" w:cs="新細明體"/>
          <w:sz w:val="24"/>
          <w:szCs w:val="24"/>
        </w:rPr>
        <w:t>人物五官與身體構造的呈現、髮型與穿搭協調、畫質、特效、UI 及載入畫面完成調整後，可望使角色與介面更容易辨識，並建立較一致的視覺風格。新手引導完善後，亦有助於降低首次使用者理解操作流程的負擔。</w:t>
      </w:r>
    </w:p>
    <w:p w14:paraId="5D228B68" w14:textId="77777777" w:rsidR="00D44DCB" w:rsidRDefault="00000000">
      <w:pPr>
        <w:spacing w:after="120" w:line="360" w:lineRule="auto"/>
        <w:jc w:val="both"/>
      </w:pPr>
      <w:r>
        <w:rPr>
          <w:rFonts w:ascii="新細明體" w:eastAsia="新細明體" w:hAnsi="新細明體" w:cs="新細明體"/>
          <w:b/>
          <w:bCs/>
          <w:sz w:val="24"/>
          <w:szCs w:val="24"/>
        </w:rPr>
        <w:t>持續參與與世界互動｜</w:t>
      </w:r>
      <w:r>
        <w:rPr>
          <w:rFonts w:ascii="新細明體" w:eastAsia="新細明體" w:hAnsi="新細明體" w:cs="新細明體"/>
          <w:sz w:val="24"/>
          <w:szCs w:val="24"/>
        </w:rPr>
        <w:t>提醒、遊戲後果、寵物與 NPC 等規劃，意圖增加使用者留存與</w:t>
        <w:lastRenderedPageBreak/>
        <w:t>持續參與感。具有職務特色的動物 NPC 可望增加島嶼的角色層次；登入與島嶼狀態的可見變化，則使參與歷程不只停留在數字紀錄。上述影響仍屬預期，尚無實測結果。</w:t>
      </w:r>
    </w:p>
    <w:p w14:paraId="5D228B69" w14:textId="77777777" w:rsidR="00D44DCB" w:rsidRDefault="00000000">
      <w:pPr>
        <w:spacing w:after="120" w:line="360" w:lineRule="auto"/>
        <w:jc w:val="both"/>
      </w:pPr>
      <w:r>
        <w:rPr>
          <w:rFonts w:ascii="新細明體" w:eastAsia="新細明體" w:hAnsi="新細明體" w:cs="新細明體"/>
          <w:b/>
          <w:bCs/>
          <w:sz w:val="24"/>
          <w:szCs w:val="24"/>
        </w:rPr>
        <w:t>公平性與付費壓力｜</w:t>
      </w:r>
      <w:r>
        <w:rPr>
          <w:rFonts w:ascii="新細明體" w:eastAsia="新細明體" w:hAnsi="新細明體" w:cs="新細明體"/>
          <w:sz w:val="24"/>
          <w:szCs w:val="24"/>
        </w:rPr>
        <w:t>來源所述的登入中斷後「花錢解鎖大獎」可能造成公平性、付費壓力與失去獎勵的焦慮。具體付費方式、價格及條件尚未定義，正式採用前應先檢視其必要性、透明度及對不同使用者的影響。</w:t>
      </w:r>
    </w:p>
    <w:p w14:paraId="5D228B6A" w14:textId="77777777" w:rsidR="00D44DCB" w:rsidRDefault="00000000">
      <w:pPr>
        <w:spacing w:after="120" w:line="360" w:lineRule="auto"/>
        <w:jc w:val="both"/>
      </w:pPr>
      <w:r>
        <w:rPr>
          <w:rFonts w:ascii="新細明體" w:eastAsia="新細明體" w:hAnsi="新細明體" w:cs="新細明體"/>
          <w:b/>
          <w:bCs/>
          <w:sz w:val="24"/>
          <w:szCs w:val="24"/>
        </w:rPr>
        <w:t>通知與使用自主性｜</w:t>
      </w:r>
      <w:r>
        <w:rPr>
          <w:rFonts w:ascii="新細明體" w:eastAsia="新細明體" w:hAnsi="新細明體" w:cs="新細明體"/>
          <w:sz w:val="24"/>
          <w:szCs w:val="24"/>
        </w:rPr>
        <w:t>每日挑戰式通知、大型框體及強烈顏色變化雖可提高提醒的顯著程度，也可能造成反感、干擾或心理壓力。通知頻率、文案、同意方式與關閉機制尚未定案，須以使用者控制與可用性測試結果作為設計依據。</w:t>
      </w:r>
    </w:p>
    <w:p w14:paraId="5D228B6B" w14:textId="77777777" w:rsidR="00D44DCB" w:rsidRDefault="00000000">
      <w:pPr>
        <w:spacing w:after="120" w:line="360" w:lineRule="auto"/>
        <w:jc w:val="both"/>
      </w:pPr>
      <w:r>
        <w:rPr>
          <w:rFonts w:ascii="新細明體" w:eastAsia="新細明體" w:hAnsi="新細明體" w:cs="新細明體"/>
          <w:b/>
          <w:bCs/>
          <w:sz w:val="24"/>
          <w:szCs w:val="24"/>
        </w:rPr>
        <w:t>資產與挫折感｜</w:t>
      </w:r>
      <w:r>
        <w:rPr>
          <w:rFonts w:ascii="新細明體" w:eastAsia="新細明體" w:hAnsi="新細明體" w:cs="新細明體"/>
          <w:sz w:val="24"/>
          <w:szCs w:val="24"/>
        </w:rPr>
        <w:t>藤蔓撐開或破壞地板、房屋、室內及島嶼的設計，可能強化遊戲後果，也可能使使用者對既有資產產生不安全感或挫折。其效果是視覺狀態、可逆事件或實際資產變更尚未提供，正式設計前須明確界定並進行接受度測試。</w:t>
      </w:r>
    </w:p>
    <w:p w14:paraId="5D228B6B" w14:textId="77777777" w:rsidR="00D44DCB" w:rsidRDefault="00000000">
      <w:pPr>
        <w:spacing w:after="120" w:line="360" w:lineRule="auto"/>
        <w:jc w:val="both"/>
      </w:pPr>
      <w:r>
        <w:rPr>
          <w:rFonts w:ascii="新細明體" w:eastAsia="新細明體" w:hAnsi="新細明體" w:cs="新細明體"/>
          <w:b/>
          <w:bCs/>
          <w:sz w:val="24"/>
          <w:szCs w:val="24"/>
        </w:rPr>
        <w:t>寵物照護與懲罰感受｜寵物活動力下降與排泄物堆積雖可作為回訪誘因，但過度的負面呈現可能使部分使用者感到不適或增加焦慮。飼料商品的定價與消耗速率須避免形成額外的付費壓力；排泄物機制的視覺呈現與觸發天數應以使用者接受度測試結果作為設計依據。</w:t>
      </w:r>
      <w:r>
        <w:rPr>
          <w:rFonts w:ascii="新細明體" w:eastAsia="新細明體" w:hAnsi="新細明體" w:cs="新細明體"/>
          <w:sz w:val="24"/>
          <w:szCs w:val="24"/>
        </w:rPr>
      </w:r>
    </w:p>
    <w:p w14:paraId="5D228B6B" w14:textId="77777777" w:rsidR="00D44DCB" w:rsidRDefault="00000000">
      <w:pPr>
        <w:spacing w:after="120" w:line="360" w:lineRule="auto"/>
        <w:jc w:val="both"/>
      </w:pPr>
      <w:r>
        <w:rPr>
          <w:rFonts w:ascii="新細明體" w:eastAsia="新細明體" w:hAnsi="新細明體" w:cs="新細明體"/>
          <w:b/>
          <w:bCs/>
          <w:sz w:val="24"/>
          <w:szCs w:val="24"/>
        </w:rPr>
        <w:t>功能卡經濟影響｜功能卡的限時供應與較高定價可能引導玩家在限時商店期間集中消費，對金幣經濟產生短期波動。功能卡的效果強度（如雙倍金幣）與供應頻率須謹慎平衡，避免持有功能卡的玩家與未持有者之間產生過大的資源差距；其定價亦須高於單次結算之金幣增量，以避免形成金幣的自我增殖迴圈。</w:t>
      </w:r>
      <w:r>
        <w:rPr>
          <w:rFonts w:ascii="新細明體" w:eastAsia="新細明體" w:hAnsi="新細明體" w:cs="新細明體"/>
          <w:sz w:val="24"/>
          <w:szCs w:val="24"/>
        </w:rPr>
      </w:r>
    </w:p>
    <w:p w14:paraId="5D228ABB" w14:textId="77777777" w:rsidR="00D44DCB" w:rsidRDefault="00000000">
      <w:pPr>
        <w:pStyle w:val="2"/>
        <w:spacing w:before="240" w:after="160" w:line="360" w:lineRule="auto"/>
      </w:pPr>
      <w:r>
        <w:rPr>
          <w:rFonts w:ascii="標楷體" w:eastAsia="標楷體" w:hAnsi="標楷體" w:cs="標楷體"/>
          <w:b/>
          <w:bCs/>
        </w:rPr>
        <w:t>健身辨識端｜影響</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1. 對個人</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6-4　運動行為門檻與本作品之對應</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800"/>
        <w:gridCol w:w="4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門檻</w:t>
            </w:r>
          </w:p>
        </w:tc>
        <w:tc>
          <w:tcPr>
            <w:tcW w:w="1600" w:type="dxa"/>
            <w:shd w:val="clear" w:color="auto" w:fill="D9E2F3"/>
            <w:tcMar>
              <w:top w:w="40" w:type="dxa"/>
              <w:left w:w="80" w:type="dxa"/>
              <w:bottom w:w="40" w:type="dxa"/>
              <w:right w:w="80" w:type="dxa"/>
            </w:tcMar>
          </w:tcPr>
          <w:p>
            <w:r>
              <w:t>本作品之對應</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開始運動</w:t>
            </w:r>
          </w:p>
        </w:tc>
        <w:tc>
          <w:tcPr>
            <w:tcW w:w="1600" w:type="dxa"/>
            <w:shd w:val="clear" w:color="auto" w:fill="D9E2F3"/>
            <w:tcMar>
              <w:top w:w="40" w:type="dxa"/>
              <w:left w:w="80" w:type="dxa"/>
              <w:bottom w:w="40" w:type="dxa"/>
              <w:right w:w="80" w:type="dxa"/>
            </w:tcMar>
          </w:tcPr>
          <w:p>
            <w:r>
              <w:t>零安裝、零器材、零註冊即可試用</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持續運動</w:t>
            </w:r>
          </w:p>
        </w:tc>
        <w:tc>
          <w:tcPr>
            <w:tcW w:w="1600" w:type="dxa"/>
            <w:shd w:val="clear" w:color="auto" w:fill="D9E2F3"/>
            <w:tcMar>
              <w:top w:w="40" w:type="dxa"/>
              <w:left w:w="80" w:type="dxa"/>
              <w:bottom w:w="40" w:type="dxa"/>
              <w:right w:w="80" w:type="dxa"/>
            </w:tcMar>
          </w:tcPr>
          <w:p>
            <w:r>
              <w:t>即時回饋使進步可感知，島嶼建設使累積可見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動作正確性</w:t>
            </w:r>
          </w:p>
        </w:tc>
        <w:tc>
          <w:tcPr>
            <w:tcW w:w="1600" w:type="dxa"/>
            <w:shd w:val="clear" w:color="auto" w:fill="D9E2F3"/>
            <w:tcMar>
              <w:top w:w="40" w:type="dxa"/>
              <w:left w:w="80" w:type="dxa"/>
              <w:bottom w:w="40" w:type="dxa"/>
              <w:right w:w="80" w:type="dxa"/>
            </w:tcMar>
          </w:tcPr>
          <w:p>
            <w:r>
              <w:t>錯誤於發生當下被指出，而非長期錯誤而不自知</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2. 對運動指導可近性</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一對一教練指導具成本門檻，並非所有使用者皆能負擔。本作品於教練不在場時提供一層具體且可解釋之動作回饋，服務對象為「無教練資源但希望正確訓練」之族群。</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界線說明｜本作品不取代教練，其回饋範圍限於系統已建立標準卡之動作與已定義之錯誤樣態。</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3. 對運動參與之對應</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依教育部體育署 113 年運動現況調查，我國規律運動人口比例為 35.3%（定義為每週三次以上、每次三十分鐘以上且運動時會喘會流汗）。未運動者之主要原因依序為「因工作沒有時間」（24.0%）、「懶得運動」（22.2%）與「工作太累」（21.1%）；另在家運動占最常運動地點之 18.3%。</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前三項原因中，「沒有時間」與「工作太累」合計 45.1%，均與必須外出、必須到場、必須另行安排時段高度相關。本作品之產品形態（零安裝、居家、短時段、無器材）正對應於此類障礙。</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界線說明｜規律運動人口比例之年變動幅度以零點數個百分點計，單一作品之貢獻無從自母體指標中辨識。本作品主張者為產品形態與調查所示障礙之對應關係，非對國民運動率之可衡量影響。</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4. 對運動習慣之作用</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本作品之機制設計對應行為改變之數項環節：降低啟動摩擦（零安裝）、提供回饋（即時判定）、綁定品質（僅有效次數換取獎勵）、呈現累積（島嶼建設與連續天數）、設定近程目標（每日任務與週目標）。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遊戲化對身體活動之促進效果已有隨機對照試驗之統合分析支持。Mazeas 等人（2022）納入 16 篇隨機對照試驗、共 2,407 名參與者，結果顯示遊戲化介入對身體活動行為具小至中等之效果量（Hedges g = 0.42, 95% CI 0.14–0.69）。</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本作品與該類研究之差異在於獎勵依據：多數研究以步數或活動時間為獎勵基準，本作品則以通過品質判定之動作次數為基準，使獎勵不僅回應「是否活動」，亦回應「動作是否正確」。</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上開文獻之受試族群、介入形式與獎勵機制與本作品未盡相同，其效果量不得直接套用於本作品。本作品不宣稱可養成運動習慣；期程內將以「使用者接受提示後次一動作之改善幅度」作為可觀測之代理指標，該指標僅需比較同一使用者之前後表現。</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5. 對應永續發展目標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本作品呼應聯合國永續發展目標 SDG 3「良好健康與福祉」，具體對應於透過預防促進健康福祉之方向：提供可長期追蹤之運動過程指標（訓練頻率、累計時間、達標率、常見錯誤趨勢、連續天數），使使用者得以觀察並調整自身之運動行為。世界衛生組織建議成人每週應累積 150 至 300 分鐘中等強度有氧活動，並每週至少兩天從事肌力訓練（World Health Organization, 2020）。</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界線說明｜此對應屬設計目標，不代表已產生公共衛生、臨床或醫療成果。本作品所提供者為過程指標，非健康結果指標。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6. 技術與方法論之示範</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於兩項面向提出同類作品少見之作法。其一為可解釋之規則式判定：在深度學習成為預設選項之情況下，選擇規則式架構以換取指出錯誤所在之能力。其二為判定依據之三級溯源制度：每項技術參數均標明知識來源等級，使技術主張得以追溯與檢驗。</w:t>
      </w:r>
    </w:p>
    <w:p w14:paraId="5D228B6C" w14:textId="77777777" w:rsidR="00D44DCB" w:rsidRDefault="00000000">
      <w:pPr>
        <w:pStyle w:val="1"/>
        <w:spacing w:before="360" w:after="200" w:line="360" w:lineRule="auto"/>
      </w:pPr>
      <w:r>
        <w:rPr>
          <w:rFonts w:ascii="標楷體" w:eastAsia="標楷體" w:hAnsi="標楷體" w:cs="標楷體"/>
          <w:b/>
          <w:bCs/>
          <w:sz w:val="28"/>
          <w:szCs w:val="32"/>
        </w:rPr>
        <w:t>（五）效益</w:t>
      </w:r>
    </w:p>
    <w:p w14:paraId="5D228B6D"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流程整合效益｜</w:t>
      </w:r>
      <w:r>
        <w:rPr>
          <w:rFonts w:ascii="新細明體" w:eastAsia="新細明體" w:hAnsi="新細明體" w:cs="新細明體"/>
          <w:sz w:val="24"/>
          <w:szCs w:val="24"/>
        </w:rPr>
        <w:t>預期將健身選擇、訓練、結算、紀錄與遊戲互動集中呈現，使作品核心概念及操作關係較容易理解。</w:t>
      </w:r>
    </w:p>
    <w:p w14:paraId="5D228B6E"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視覺呈現效益｜</w:t>
      </w:r>
      <w:r>
        <w:rPr>
          <w:rFonts w:ascii="新細明體" w:eastAsia="新細明體" w:hAnsi="新細明體" w:cs="新細明體"/>
          <w:sz w:val="24"/>
          <w:szCs w:val="24"/>
        </w:rPr>
        <w:t>人物模型、髮型與穿搭、畫質、特效、UI 及載入畫面完成調整後，可望提升角色辨識度、造型協調性及整體風格一致性。</w:t>
      </w:r>
    </w:p>
    <w:p w14:paraId="5D228B6F"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使用引導效益｜</w:t>
      </w:r>
      <w:r>
        <w:rPr>
          <w:rFonts w:ascii="新細明體" w:eastAsia="新細明體" w:hAnsi="新細明體" w:cs="新細明體"/>
          <w:sz w:val="24"/>
          <w:szCs w:val="24"/>
        </w:rPr>
        <w:t>新手引導完成完善後，預期使主要介面、功能入口與操作順序更容易被理解。</w:t>
      </w:r>
    </w:p>
    <w:p w14:paraId="5D228B70"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參與回饋效益｜</w:t>
      </w:r>
      <w:r>
        <w:rPr>
          <w:rFonts w:ascii="新細明體" w:eastAsia="新細明體" w:hAnsi="新細明體" w:cs="新細明體"/>
          <w:sz w:val="24"/>
          <w:szCs w:val="24"/>
        </w:rPr>
        <w:t>獎勵、提醒、登入中斷機制、藤蔓侵蝕與島嶼進度，規劃為使用者提供提醒、累積或遊戲後果；實際回訪與持續參與效果須待測試確認。</w:t>
      </w:r>
    </w:p>
    <w:p w14:paraId="5D228B71"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角色互動效益｜</w:t>
      </w:r>
      <w:r>
        <w:rPr>
          <w:rFonts w:ascii="新細明體" w:eastAsia="新細明體" w:hAnsi="新細明體" w:cs="新細明體"/>
          <w:sz w:val="24"/>
          <w:szCs w:val="24"/>
        </w:rPr>
        <w:t>寵物與動物 NPC 完成後，可望增加使用者與島嶼之間的互動，並以尚待定義的正向作用豐富島嶼內容。</w:t>
      </w:r>
    </w:p>
    <w:p w14:paraId="5D228B71"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寵物照護互動效益｜寵物生命跡象機制可望增加使用者與寵物之間的情感連結與互動頻率，飼料、狗窩等商品進一步擴展島嶼生態；排泄物與 NPC 清理的聯動則增加島嶼管理的趣味性。實際參與意願與情感反應須待測試確認。</w:t>
      </w:r>
      <w:r>
        <w:rPr>
          <w:rFonts w:ascii="新細明體" w:eastAsia="新細明體" w:hAnsi="新細明體" w:cs="新細明體"/>
          <w:sz w:val="24"/>
          <w:szCs w:val="24"/>
        </w:rPr>
      </w:r>
    </w:p>
    <w:p w14:paraId="5D228B71"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功能卡與商品擴充效益｜功能卡、圍欄等新商品類別可望豐富商店內容與消費選項，為進階使用者提供更多策略規劃空間；限時供應機制預期創造回訪誘因與消費節奏。</w:t>
      </w:r>
      <w:r>
        <w:rPr>
          <w:rFonts w:ascii="新細明體" w:eastAsia="新細明體" w:hAnsi="新細明體" w:cs="新細明體"/>
          <w:sz w:val="24"/>
          <w:szCs w:val="24"/>
        </w:rPr>
      </w:r>
    </w:p>
    <w:p w14:paraId="5D228B72"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作品展示效益｜</w:t>
      </w:r>
      <w:r>
        <w:rPr>
          <w:rFonts w:ascii="新細明體" w:eastAsia="新細明體" w:hAnsi="新細明體" w:cs="新細明體"/>
          <w:sz w:val="24"/>
          <w:szCs w:val="24"/>
        </w:rPr>
        <w:t>以同一網站呈現健身影像辨識、訓練紀錄、角色養成及島嶼互動，使競賽評審較容易掌握作品的整合特色。</w:t>
      </w:r>
    </w:p>
    <w:p w14:paraId="5D228B73"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健康促進效益｜</w:t>
      </w:r>
      <w:r>
        <w:rPr>
          <w:rFonts w:ascii="新細明體" w:eastAsia="新細明體" w:hAnsi="新細明體" w:cs="新細明體"/>
          <w:sz w:val="24"/>
          <w:szCs w:val="24"/>
        </w:rPr>
        <w:t>作品期望透過遊戲化健身體驗支持運動參與與健康生活意識；不預先宣稱習慣養成、辨識準確率、醫療效果或健康改善幅度。</w:t>
      </w:r>
    </w:p>
    <w:p w14:paraId="5D228B74" w14:textId="77777777" w:rsidR="00D44DCB" w:rsidRDefault="00D44DCB"/>
    <w:p w14:paraId="5D228ABB" w14:textId="77777777" w:rsidR="00D44DCB" w:rsidRDefault="00000000">
      <w:pPr>
        <w:pStyle w:val="2"/>
        <w:spacing w:before="240" w:after="160" w:line="360" w:lineRule="auto"/>
      </w:pPr>
      <w:r>
        <w:rPr>
          <w:rFonts w:ascii="標楷體" w:eastAsia="標楷體" w:hAnsi="標楷體" w:cs="標楷體"/>
          <w:b/>
          <w:bCs/>
        </w:rPr>
        <w:t>健身辨識端｜效益</w:t>
      </w:r>
    </w:p>
    <w:p w14:paraId="5D228A8A" w14:textId="77777777" w:rsidR="00D44DCB" w:rsidRDefault="00000000">
      <w:pPr>
        <w:spacing w:after="120" w:line="360" w:lineRule="auto"/>
        <w:ind/>
        <w:jc w:val="both"/>
      </w:pPr>
      <w:r>
        <w:rPr>
          <w:rFonts w:ascii="新細明體" w:eastAsia="新細明體" w:hAnsi="新細明體" w:cs="新細明體"/>
          <w:sz w:val="24"/>
          <w:szCs w:val="24"/>
        </w:rPr>
        <w:t>動作品質效益｜使用者於訓練當下即可得知動作錯誤所在與修正方式，而非事後僅取得次數統計。</w:t>
      </w:r>
    </w:p>
    <w:p w14:paraId="5D228A8A" w14:textId="77777777" w:rsidR="00D44DCB" w:rsidRDefault="00000000">
      <w:pPr>
        <w:spacing w:after="120" w:line="360" w:lineRule="auto"/>
        <w:ind/>
        <w:jc w:val="both"/>
      </w:pPr>
      <w:r>
        <w:rPr>
          <w:rFonts w:ascii="新細明體" w:eastAsia="新細明體" w:hAnsi="新細明體" w:cs="新細明體"/>
          <w:sz w:val="24"/>
          <w:szCs w:val="24"/>
        </w:rPr>
        <w:t>參與動機效益｜島嶼建設將抽象之訓練累積轉為可見成果；連續天數與週目標提供近程與中程目標。</w:t>
      </w:r>
    </w:p>
    <w:p w14:paraId="5D228A8A" w14:textId="77777777" w:rsidR="00D44DCB" w:rsidRDefault="00000000">
      <w:pPr>
        <w:spacing w:after="120" w:line="360" w:lineRule="auto"/>
        <w:ind/>
        <w:jc w:val="both"/>
      </w:pPr>
      <w:r>
        <w:rPr>
          <w:rFonts w:ascii="新細明體" w:eastAsia="新細明體" w:hAnsi="新細明體" w:cs="新細明體"/>
          <w:sz w:val="24"/>
          <w:szCs w:val="24"/>
        </w:rPr>
        <w:t>可近性效益｜僅需一台具鏡頭之裝置與瀏覽器，無須器材、場地、安裝與交通。</w:t>
      </w:r>
    </w:p>
    <w:p w14:paraId="5D228A8A" w14:textId="77777777" w:rsidR="00D44DCB" w:rsidRDefault="00000000">
      <w:pPr>
        <w:spacing w:after="120" w:line="360" w:lineRule="auto"/>
        <w:ind/>
        <w:jc w:val="both"/>
      </w:pPr>
      <w:r>
        <w:rPr>
          <w:rFonts w:ascii="新細明體" w:eastAsia="新細明體" w:hAnsi="新細明體" w:cs="新細明體"/>
          <w:sz w:val="24"/>
          <w:szCs w:val="24"/>
        </w:rPr>
        <w:t>隱私效益｜影像全程不離開使用者裝置，不上傳亦不儲存，解除使用鏡頭之隱私疑慮。</w:t>
      </w:r>
    </w:p>
    <w:p w14:paraId="5D228A8A" w14:textId="77777777" w:rsidR="00D44DCB" w:rsidRDefault="00000000">
      <w:pPr>
        <w:spacing w:after="120" w:line="360" w:lineRule="auto"/>
        <w:ind/>
        <w:jc w:val="both"/>
      </w:pPr>
      <w:r>
        <w:rPr>
          <w:rFonts w:ascii="新細明體" w:eastAsia="新細明體" w:hAnsi="新細明體" w:cs="新細明體"/>
          <w:sz w:val="24"/>
          <w:szCs w:val="24"/>
        </w:rPr>
        <w:t>無障礙效益｜提供高對比與單色兩種替代顯示模式，使核心功能不因使用者之色覺條件而失效。</w:t>
      </w:r>
    </w:p>
    <w:p w14:paraId="5D228A8A" w14:textId="77777777" w:rsidR="00D44DCB" w:rsidRDefault="00000000">
      <w:pPr>
        <w:spacing w:after="120" w:line="360" w:lineRule="auto"/>
        <w:ind/>
        <w:jc w:val="both"/>
      </w:pPr>
      <w:r>
        <w:rPr>
          <w:rFonts w:ascii="新細明體" w:eastAsia="新細明體" w:hAnsi="新細明體" w:cs="新細明體"/>
          <w:sz w:val="24"/>
          <w:szCs w:val="24"/>
        </w:rPr>
        <w:t>成本效益｜使用者端硬體、安裝、伺服器與技術授權成本均為零；所採技術（MediaPipe、Three.js、Chart.js）皆為開源。全案不依賴任何付費服務，作品於競賽結束後仍可持續維護與散布，並具備於校園及社區佈建之可行性。</w:t>
      </w:r>
    </w:p>
    <w:p w14:paraId="5D228A8A" w14:textId="77777777" w:rsidR="00D44DCB" w:rsidRDefault="00000000">
      <w:pPr>
        <w:spacing w:after="120" w:line="360" w:lineRule="auto"/>
        <w:ind/>
        <w:jc w:val="both"/>
      </w:pPr>
      <w:r>
        <w:rPr>
          <w:rFonts w:ascii="新細明體" w:eastAsia="新細明體" w:hAnsi="新細明體" w:cs="新細明體"/>
          <w:sz w:val="24"/>
          <w:szCs w:val="24"/>
        </w:rPr>
        <w:t>教學應用效益｜判定規則可完整說明，且不涉及學生影像之保存，適合教學場域使用。</w:t>
      </w:r>
    </w:p>
    <w:p w14:paraId="5D228B75" w14:textId="77777777" w:rsidR="00D44DCB" w:rsidRDefault="00000000">
      <w:pPr>
        <w:spacing w:after="120" w:line="360" w:lineRule="auto"/>
        <w:jc w:val="center"/>
      </w:pPr>
      <w:r>
        <w:rPr>
          <w:rFonts w:ascii="新細明體" w:eastAsia="新細明體" w:hAnsi="新細明體" w:cs="新細明體"/>
          <w:b/>
          <w:bCs/>
          <w:sz w:val="24"/>
          <w:szCs w:val="24"/>
        </w:rPr>
        <w:t>表 6-5　預期效益與驗證方式</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1400"/>
        <w:gridCol w:w="2800"/>
        <w:gridCol w:w="2800"/>
        <w:gridCol w:w="2600"/>
      </w:tblGrid>
      <w:tr w:rsidR="00D44DCB" w14:paraId="5D228B7A" w14:textId="77777777">
        <w:tblPrEx>
          <w:tblCellMar>
            <w:top w:w="0" w:type="dxa"/>
            <w:bottom w:w="0" w:type="dxa"/>
          </w:tblCellMar>
        </w:tblPrEx>
        <w:trPr>
          <w:tblHeader/>
        </w:trPr>
        <w:tc>
          <w:tcPr>
            <w:tcW w:w="1400" w:type="dxa"/>
            <w:shd w:val="clear" w:color="auto" w:fill="D9E2F3"/>
            <w:tcMar>
              <w:top w:w="40" w:type="dxa"/>
              <w:left w:w="80" w:type="dxa"/>
              <w:bottom w:w="40" w:type="dxa"/>
              <w:right w:w="80" w:type="dxa"/>
            </w:tcMar>
          </w:tcPr>
          <w:p w14:paraId="5D228B76" w14:textId="77777777" w:rsidR="00D44DCB" w:rsidRDefault="00000000">
            <w:pPr>
              <w:spacing w:after="40"/>
            </w:pPr>
            <w:r>
              <w:rPr>
                <w:rFonts w:ascii="新細明體" w:eastAsia="新細明體" w:hAnsi="新細明體" w:cs="新細明體"/>
                <w:b/>
                <w:bCs/>
                <w:sz w:val="22"/>
                <w:szCs w:val="22"/>
              </w:rPr>
              <w:t>評估面向</w:t>
            </w:r>
          </w:p>
        </w:tc>
        <w:tc>
          <w:tcPr>
            <w:tcW w:w="2800" w:type="dxa"/>
            <w:shd w:val="clear" w:color="auto" w:fill="D9E2F3"/>
            <w:tcMar>
              <w:top w:w="40" w:type="dxa"/>
              <w:left w:w="80" w:type="dxa"/>
              <w:bottom w:w="40" w:type="dxa"/>
              <w:right w:w="80" w:type="dxa"/>
            </w:tcMar>
          </w:tcPr>
          <w:p w14:paraId="5D228B77" w14:textId="77777777" w:rsidR="00D44DCB" w:rsidRDefault="00000000">
            <w:pPr>
              <w:spacing w:after="40"/>
            </w:pPr>
            <w:r>
              <w:rPr>
                <w:rFonts w:ascii="新細明體" w:eastAsia="新細明體" w:hAnsi="新細明體" w:cs="新細明體"/>
                <w:b/>
                <w:bCs/>
                <w:sz w:val="22"/>
                <w:szCs w:val="22"/>
              </w:rPr>
              <w:t>觀察重點</w:t>
            </w:r>
          </w:p>
        </w:tc>
        <w:tc>
          <w:tcPr>
            <w:tcW w:w="2800" w:type="dxa"/>
            <w:shd w:val="clear" w:color="auto" w:fill="D9E2F3"/>
            <w:tcMar>
              <w:top w:w="40" w:type="dxa"/>
              <w:left w:w="80" w:type="dxa"/>
              <w:bottom w:w="40" w:type="dxa"/>
              <w:right w:w="80" w:type="dxa"/>
            </w:tcMar>
          </w:tcPr>
          <w:p w14:paraId="5D228B78" w14:textId="77777777" w:rsidR="00D44DCB" w:rsidRDefault="00000000">
            <w:pPr>
              <w:spacing w:after="40"/>
            </w:pPr>
            <w:r>
              <w:rPr>
                <w:rFonts w:ascii="新細明體" w:eastAsia="新細明體" w:hAnsi="新細明體" w:cs="新細明體"/>
                <w:b/>
                <w:bCs/>
                <w:sz w:val="22"/>
                <w:szCs w:val="22"/>
              </w:rPr>
              <w:t>驗證方式</w:t>
            </w:r>
          </w:p>
        </w:tc>
        <w:tc>
          <w:tcPr>
            <w:tcW w:w="2600" w:type="dxa"/>
            <w:shd w:val="clear" w:color="auto" w:fill="D9E2F3"/>
            <w:tcMar>
              <w:top w:w="40" w:type="dxa"/>
              <w:left w:w="80" w:type="dxa"/>
              <w:bottom w:w="40" w:type="dxa"/>
              <w:right w:w="80" w:type="dxa"/>
            </w:tcMar>
          </w:tcPr>
          <w:p w14:paraId="5D228B79" w14:textId="77777777" w:rsidR="00D44DCB" w:rsidRDefault="00000000">
            <w:pPr>
              <w:spacing w:after="40"/>
            </w:pPr>
            <w:r>
              <w:rPr>
                <w:rFonts w:ascii="新細明體" w:eastAsia="新細明體" w:hAnsi="新細明體" w:cs="新細明體"/>
                <w:b/>
                <w:bCs/>
                <w:sz w:val="22"/>
                <w:szCs w:val="22"/>
              </w:rPr>
              <w:t>解讀界線</w:t>
            </w:r>
          </w:p>
        </w:tc>
      </w:tr>
      <w:tr w:rsidR="00D44DCB" w14:paraId="5D228B7F" w14:textId="77777777">
        <w:tblPrEx>
          <w:tblCellMar>
            <w:top w:w="0" w:type="dxa"/>
            <w:bottom w:w="0" w:type="dxa"/>
          </w:tblCellMar>
        </w:tblPrEx>
        <w:tc>
          <w:tcPr>
            <w:tcW w:w="1400" w:type="dxa"/>
            <w:tcMar>
              <w:top w:w="40" w:type="dxa"/>
              <w:left w:w="80" w:type="dxa"/>
              <w:bottom w:w="40" w:type="dxa"/>
              <w:right w:w="80" w:type="dxa"/>
            </w:tcMar>
          </w:tcPr>
          <w:p w14:paraId="5D228B7B" w14:textId="77777777" w:rsidR="00D44DCB" w:rsidRDefault="00000000">
            <w:pPr>
              <w:spacing w:after="40"/>
            </w:pPr>
            <w:r>
              <w:rPr>
                <w:rFonts w:ascii="新細明體" w:eastAsia="新細明體" w:hAnsi="新細明體" w:cs="新細明體"/>
              </w:rPr>
              <w:t>整合流程</w:t>
            </w:r>
          </w:p>
        </w:tc>
        <w:tc>
          <w:tcPr>
            <w:tcW w:w="2800" w:type="dxa"/>
            <w:tcMar>
              <w:top w:w="40" w:type="dxa"/>
              <w:left w:w="80" w:type="dxa"/>
              <w:bottom w:w="40" w:type="dxa"/>
              <w:right w:w="80" w:type="dxa"/>
            </w:tcMar>
          </w:tcPr>
          <w:p w14:paraId="5D228B7C" w14:textId="77777777" w:rsidR="00D44DCB" w:rsidRDefault="00000000">
            <w:pPr>
              <w:spacing w:after="40"/>
            </w:pPr>
            <w:r>
              <w:rPr>
                <w:rFonts w:ascii="新細明體" w:eastAsia="新細明體" w:hAnsi="新細明體" w:cs="新細明體"/>
              </w:rPr>
              <w:t>健身選擇、訓練、結算、追蹤與遊戲回饋的銜接</w:t>
            </w:r>
          </w:p>
        </w:tc>
        <w:tc>
          <w:tcPr>
            <w:tcW w:w="2800" w:type="dxa"/>
            <w:tcMar>
              <w:top w:w="40" w:type="dxa"/>
              <w:left w:w="80" w:type="dxa"/>
              <w:bottom w:w="40" w:type="dxa"/>
              <w:right w:w="80" w:type="dxa"/>
            </w:tcMar>
          </w:tcPr>
          <w:p w14:paraId="5D228B7D" w14:textId="77777777" w:rsidR="00D44DCB" w:rsidRDefault="00000000">
            <w:pPr>
              <w:spacing w:after="40"/>
            </w:pPr>
            <w:r>
              <w:rPr>
                <w:rFonts w:ascii="新細明體" w:eastAsia="新細明體" w:hAnsi="新細明體" w:cs="新細明體"/>
              </w:rPr>
              <w:t>完成整合後進行流程與內容一致性測試</w:t>
            </w:r>
          </w:p>
        </w:tc>
        <w:tc>
          <w:tcPr>
            <w:tcW w:w="2600" w:type="dxa"/>
            <w:tcMar>
              <w:top w:w="40" w:type="dxa"/>
              <w:left w:w="80" w:type="dxa"/>
              <w:bottom w:w="40" w:type="dxa"/>
              <w:right w:w="80" w:type="dxa"/>
            </w:tcMar>
          </w:tcPr>
          <w:p w14:paraId="5D228B7E" w14:textId="77777777" w:rsidR="00D44DCB" w:rsidRDefault="00000000">
            <w:pPr>
              <w:spacing w:after="40"/>
            </w:pPr>
            <w:r>
              <w:rPr>
                <w:rFonts w:ascii="新細明體" w:eastAsia="新細明體" w:hAnsi="新細明體" w:cs="新細明體"/>
              </w:rPr>
              <w:t>只確認流程可用，不推論健康成效</w:t>
            </w:r>
          </w:p>
        </w:tc>
      </w:tr>
      <w:tr w:rsidR="00D44DCB" w14:paraId="5D228B84" w14:textId="77777777">
        <w:tblPrEx>
          <w:tblCellMar>
            <w:top w:w="0" w:type="dxa"/>
            <w:bottom w:w="0" w:type="dxa"/>
          </w:tblCellMar>
        </w:tblPrEx>
        <w:tc>
          <w:tcPr>
            <w:tcW w:w="1400" w:type="dxa"/>
            <w:tcMar>
              <w:top w:w="40" w:type="dxa"/>
              <w:left w:w="80" w:type="dxa"/>
              <w:bottom w:w="40" w:type="dxa"/>
              <w:right w:w="80" w:type="dxa"/>
            </w:tcMar>
          </w:tcPr>
          <w:p w14:paraId="5D228B80" w14:textId="77777777" w:rsidR="00D44DCB" w:rsidRDefault="00000000">
            <w:pPr>
              <w:spacing w:after="40"/>
            </w:pPr>
            <w:r>
              <w:rPr>
                <w:rFonts w:ascii="新細明體" w:eastAsia="新細明體" w:hAnsi="新細明體" w:cs="新細明體"/>
              </w:rPr>
              <w:t>角色與視覺</w:t>
            </w:r>
          </w:p>
        </w:tc>
        <w:tc>
          <w:tcPr>
            <w:tcW w:w="2800" w:type="dxa"/>
            <w:tcMar>
              <w:top w:w="40" w:type="dxa"/>
              <w:left w:w="80" w:type="dxa"/>
              <w:bottom w:w="40" w:type="dxa"/>
              <w:right w:w="80" w:type="dxa"/>
            </w:tcMar>
          </w:tcPr>
          <w:p w14:paraId="5D228B81" w14:textId="77777777" w:rsidR="00D44DCB" w:rsidRDefault="00000000">
            <w:pPr>
              <w:spacing w:after="40"/>
            </w:pPr>
            <w:r>
              <w:rPr>
                <w:rFonts w:ascii="新細明體" w:eastAsia="新細明體" w:hAnsi="新細明體" w:cs="新細明體"/>
              </w:rPr>
              <w:t>模型辨識度、穿搭協調、畫質、特效、UI 與載入畫面一致性</w:t>
            </w:r>
          </w:p>
        </w:tc>
        <w:tc>
          <w:tcPr>
            <w:tcW w:w="2800" w:type="dxa"/>
            <w:tcMar>
              <w:top w:w="40" w:type="dxa"/>
              <w:left w:w="80" w:type="dxa"/>
              <w:bottom w:w="40" w:type="dxa"/>
              <w:right w:w="80" w:type="dxa"/>
            </w:tcMar>
          </w:tcPr>
          <w:p w14:paraId="5D228B82" w14:textId="77777777" w:rsidR="00D44DCB" w:rsidRDefault="00000000">
            <w:pPr>
              <w:spacing w:after="40"/>
            </w:pPr>
            <w:r>
              <w:rPr>
                <w:rFonts w:ascii="新細明體" w:eastAsia="新細明體" w:hAnsi="新細明體" w:cs="新細明體"/>
              </w:rPr>
              <w:t>以設計規範檢核及可用性觀察確認</w:t>
            </w:r>
          </w:p>
        </w:tc>
        <w:tc>
          <w:tcPr>
            <w:tcW w:w="2600" w:type="dxa"/>
            <w:tcMar>
              <w:top w:w="40" w:type="dxa"/>
              <w:left w:w="80" w:type="dxa"/>
              <w:bottom w:w="40" w:type="dxa"/>
              <w:right w:w="80" w:type="dxa"/>
            </w:tcMar>
          </w:tcPr>
          <w:p w14:paraId="5D228B83" w14:textId="77777777" w:rsidR="00D44DCB" w:rsidRDefault="00000000">
            <w:pPr>
              <w:spacing w:after="40"/>
            </w:pPr>
            <w:r>
              <w:rPr>
                <w:rFonts w:ascii="新細明體" w:eastAsia="新細明體" w:hAnsi="新細明體" w:cs="新細明體"/>
              </w:rPr>
              <w:t>不以風格參考保證同等品質</w:t>
            </w:r>
          </w:p>
        </w:tc>
      </w:tr>
      <w:tr w:rsidR="00D44DCB" w14:paraId="5D228B89" w14:textId="77777777">
        <w:tblPrEx>
          <w:tblCellMar>
            <w:top w:w="0" w:type="dxa"/>
            <w:bottom w:w="0" w:type="dxa"/>
          </w:tblCellMar>
        </w:tblPrEx>
        <w:tc>
          <w:tcPr>
            <w:tcW w:w="1400" w:type="dxa"/>
            <w:tcMar>
              <w:top w:w="40" w:type="dxa"/>
              <w:left w:w="80" w:type="dxa"/>
              <w:bottom w:w="40" w:type="dxa"/>
              <w:right w:w="80" w:type="dxa"/>
            </w:tcMar>
          </w:tcPr>
          <w:p w14:paraId="5D228B85" w14:textId="77777777" w:rsidR="00D44DCB" w:rsidRDefault="00000000">
            <w:pPr>
              <w:spacing w:after="40"/>
            </w:pPr>
            <w:r>
              <w:rPr>
                <w:rFonts w:ascii="新細明體" w:eastAsia="新細明體" w:hAnsi="新細明體" w:cs="新細明體"/>
              </w:rPr>
              <w:t>新手引導</w:t>
            </w:r>
          </w:p>
        </w:tc>
        <w:tc>
          <w:tcPr>
            <w:tcW w:w="2800" w:type="dxa"/>
            <w:tcMar>
              <w:top w:w="40" w:type="dxa"/>
              <w:left w:w="80" w:type="dxa"/>
              <w:bottom w:w="40" w:type="dxa"/>
              <w:right w:w="80" w:type="dxa"/>
            </w:tcMar>
          </w:tcPr>
          <w:p w14:paraId="5D228B86" w14:textId="77777777" w:rsidR="00D44DCB" w:rsidRDefault="00000000">
            <w:pPr>
              <w:spacing w:after="40"/>
            </w:pPr>
            <w:r>
              <w:rPr>
                <w:rFonts w:ascii="新細明體" w:eastAsia="新細明體" w:hAnsi="新細明體" w:cs="新細明體"/>
              </w:rPr>
              <w:t>首次使用者能否理解主要介面與操作順序</w:t>
            </w:r>
          </w:p>
        </w:tc>
        <w:tc>
          <w:tcPr>
            <w:tcW w:w="2800" w:type="dxa"/>
            <w:tcMar>
              <w:top w:w="40" w:type="dxa"/>
              <w:left w:w="80" w:type="dxa"/>
              <w:bottom w:w="40" w:type="dxa"/>
              <w:right w:w="80" w:type="dxa"/>
            </w:tcMar>
          </w:tcPr>
          <w:p w14:paraId="5D228B87" w14:textId="77777777" w:rsidR="00D44DCB" w:rsidRDefault="00000000">
            <w:pPr>
              <w:spacing w:after="40"/>
            </w:pPr>
            <w:r>
              <w:rPr>
                <w:rFonts w:ascii="新細明體" w:eastAsia="新細明體" w:hAnsi="新細明體" w:cs="新細明體"/>
              </w:rPr>
              <w:t>依引導流程進行任務完成觀察</w:t>
            </w:r>
          </w:p>
        </w:tc>
        <w:tc>
          <w:tcPr>
            <w:tcW w:w="2600" w:type="dxa"/>
            <w:tcMar>
              <w:top w:w="40" w:type="dxa"/>
              <w:left w:w="80" w:type="dxa"/>
              <w:bottom w:w="40" w:type="dxa"/>
              <w:right w:w="80" w:type="dxa"/>
            </w:tcMar>
          </w:tcPr>
          <w:p w14:paraId="5D228B88" w14:textId="77777777" w:rsidR="00D44DCB" w:rsidRDefault="00000000">
            <w:pPr>
              <w:spacing w:after="40"/>
            </w:pPr>
            <w:r>
              <w:rPr>
                <w:rFonts w:ascii="新細明體" w:eastAsia="新細明體" w:hAnsi="新細明體" w:cs="新細明體"/>
              </w:rPr>
              <w:t>結果以實際測試為準</w:t>
            </w:r>
          </w:p>
        </w:tc>
      </w:tr>
      <w:tr w:rsidR="00D44DCB" w14:paraId="5D228B8E" w14:textId="77777777">
        <w:tblPrEx>
          <w:tblCellMar>
            <w:top w:w="0" w:type="dxa"/>
            <w:bottom w:w="0" w:type="dxa"/>
          </w:tblCellMar>
        </w:tblPrEx>
        <w:tc>
          <w:tcPr>
            <w:tcW w:w="1400" w:type="dxa"/>
            <w:tcMar>
              <w:top w:w="40" w:type="dxa"/>
              <w:left w:w="80" w:type="dxa"/>
              <w:bottom w:w="40" w:type="dxa"/>
              <w:right w:w="80" w:type="dxa"/>
            </w:tcMar>
          </w:tcPr>
          <w:p w14:paraId="5D228B8A" w14:textId="77777777" w:rsidR="00D44DCB" w:rsidRDefault="00000000">
            <w:pPr>
              <w:spacing w:after="40"/>
            </w:pPr>
            <w:r>
              <w:rPr>
                <w:rFonts w:ascii="新細明體" w:eastAsia="新細明體" w:hAnsi="新細明體" w:cs="新細明體"/>
              </w:rPr>
              <w:t>提醒與懲罰</w:t>
            </w:r>
          </w:p>
        </w:tc>
        <w:tc>
          <w:tcPr>
            <w:tcW w:w="2800" w:type="dxa"/>
            <w:tcMar>
              <w:top w:w="40" w:type="dxa"/>
              <w:left w:w="80" w:type="dxa"/>
              <w:bottom w:w="40" w:type="dxa"/>
              <w:right w:w="80" w:type="dxa"/>
            </w:tcMar>
          </w:tcPr>
          <w:p w14:paraId="5D228B8B" w14:textId="77777777" w:rsidR="00D44DCB" w:rsidRDefault="00000000">
            <w:pPr>
              <w:spacing w:after="40"/>
            </w:pPr>
            <w:r>
              <w:rPr>
                <w:rFonts w:ascii="新細明體" w:eastAsia="新細明體" w:hAnsi="新細明體" w:cs="新細明體"/>
              </w:rPr>
              <w:t>通知理解、回訪意圖、付費壓力、挫折感與使用者控制</w:t>
            </w:r>
          </w:p>
        </w:tc>
        <w:tc>
          <w:tcPr>
            <w:tcW w:w="2800" w:type="dxa"/>
            <w:tcMar>
              <w:top w:w="40" w:type="dxa"/>
              <w:left w:w="80" w:type="dxa"/>
              <w:bottom w:w="40" w:type="dxa"/>
              <w:right w:w="80" w:type="dxa"/>
            </w:tcMar>
          </w:tcPr>
          <w:p w14:paraId="5D228B8C" w14:textId="77777777" w:rsidR="00D44DCB" w:rsidRDefault="00000000">
            <w:pPr>
              <w:spacing w:after="40"/>
            </w:pPr>
            <w:r>
              <w:rPr>
                <w:rFonts w:ascii="新細明體" w:eastAsia="新細明體" w:hAnsi="新細明體" w:cs="新細明體"/>
              </w:rPr>
              <w:t>機制定案後進行公平性及使用者感受測試</w:t>
            </w:r>
          </w:p>
        </w:tc>
        <w:tc>
          <w:tcPr>
            <w:tcW w:w="2600" w:type="dxa"/>
            <w:tcMar>
              <w:top w:w="40" w:type="dxa"/>
              <w:left w:w="80" w:type="dxa"/>
              <w:bottom w:w="40" w:type="dxa"/>
              <w:right w:w="80" w:type="dxa"/>
            </w:tcMar>
          </w:tcPr>
          <w:p w14:paraId="5D228B8D" w14:textId="77777777" w:rsidR="00D44DCB" w:rsidRDefault="00000000">
            <w:pPr>
              <w:spacing w:after="40"/>
            </w:pPr>
            <w:r>
              <w:rPr>
                <w:rFonts w:ascii="新細明體" w:eastAsia="新細明體" w:hAnsi="新細明體" w:cs="新細明體"/>
              </w:rPr>
              <w:t>不預先宣稱提升留存或黏著</w:t>
            </w:r>
          </w:p>
        </w:tc>
      </w:tr>
      <w:tr w:rsidR="00D44DCB" w14:paraId="5D228B93" w14:textId="77777777">
        <w:tblPrEx>
          <w:tblCellMar>
            <w:top w:w="0" w:type="dxa"/>
            <w:bottom w:w="0" w:type="dxa"/>
          </w:tblCellMar>
        </w:tblPrEx>
        <w:tc>
          <w:tcPr>
            <w:tcW w:w="1400" w:type="dxa"/>
            <w:tcMar>
              <w:top w:w="40" w:type="dxa"/>
              <w:left w:w="80" w:type="dxa"/>
              <w:bottom w:w="40" w:type="dxa"/>
              <w:right w:w="80" w:type="dxa"/>
            </w:tcMar>
          </w:tcPr>
          <w:p w14:paraId="5D228B8F" w14:textId="77777777" w:rsidR="00D44DCB" w:rsidRDefault="00000000">
            <w:pPr>
              <w:spacing w:after="40"/>
            </w:pPr>
            <w:r>
              <w:rPr>
                <w:rFonts w:ascii="新細明體" w:eastAsia="新細明體" w:hAnsi="新細明體" w:cs="新細明體"/>
              </w:rPr>
              <w:t>NPC 與島嶼</w:t>
            </w:r>
          </w:p>
        </w:tc>
        <w:tc>
          <w:tcPr>
            <w:tcW w:w="2800" w:type="dxa"/>
            <w:tcMar>
              <w:top w:w="40" w:type="dxa"/>
              <w:left w:w="80" w:type="dxa"/>
              <w:bottom w:w="40" w:type="dxa"/>
              <w:right w:w="80" w:type="dxa"/>
            </w:tcMar>
          </w:tcPr>
          <w:p w14:paraId="5D228B90" w14:textId="77777777" w:rsidR="00D44DCB" w:rsidRDefault="00000000">
            <w:pPr>
              <w:spacing w:after="40"/>
            </w:pPr>
            <w:r>
              <w:rPr>
                <w:rFonts w:ascii="新細明體" w:eastAsia="新細明體" w:hAnsi="新細明體" w:cs="新細明體"/>
              </w:rPr>
              <w:t>角色互動、職務特色與正向作用是否清楚</w:t>
            </w:r>
          </w:p>
        </w:tc>
        <w:tc>
          <w:tcPr>
            <w:tcW w:w="2800" w:type="dxa"/>
            <w:tcMar>
              <w:top w:w="40" w:type="dxa"/>
              <w:left w:w="80" w:type="dxa"/>
              <w:bottom w:w="40" w:type="dxa"/>
              <w:right w:w="80" w:type="dxa"/>
            </w:tcMar>
          </w:tcPr>
          <w:p w14:paraId="5D228B91" w14:textId="77777777" w:rsidR="00D44DCB" w:rsidRDefault="00000000">
            <w:pPr>
              <w:spacing w:after="40"/>
            </w:pPr>
            <w:r>
              <w:rPr>
                <w:rFonts w:ascii="新細明體" w:eastAsia="新細明體" w:hAnsi="新細明體" w:cs="新細明體"/>
              </w:rPr>
              <w:t>功能完成後檢查互動流程及規則可理解性</w:t>
            </w:r>
          </w:p>
        </w:tc>
        <w:tc>
          <w:tcPr>
            <w:tcW w:w="2600" w:type="dxa"/>
            <w:tcMar>
              <w:top w:w="40" w:type="dxa"/>
              <w:left w:w="80" w:type="dxa"/>
              <w:bottom w:w="40" w:type="dxa"/>
              <w:right w:w="80" w:type="dxa"/>
            </w:tcMar>
          </w:tcPr>
          <w:p w14:paraId="5D228B92" w14:textId="77777777" w:rsidR="00D44DCB" w:rsidRDefault="00000000">
            <w:pPr>
              <w:spacing w:after="40"/>
            </w:pPr>
            <w:r>
              <w:rPr>
                <w:rFonts w:ascii="新細明體" w:eastAsia="新細明體" w:hAnsi="新細明體" w:cs="新細明體"/>
              </w:rPr>
              <w:t>未定數值與作用不先列為效益</w:t>
            </w:r>
          </w:p>
        </w:tc>
      </w:tr>
      <w:tr w:rsidR="00D44DCB" w14:paraId="5D228B98" w14:textId="77777777">
        <w:tblPrEx>
          <w:tblCellMar>
            <w:top w:w="0" w:type="dxa"/>
            <w:bottom w:w="0" w:type="dxa"/>
          </w:tblCellMar>
        </w:tblPrEx>
        <w:tc>
          <w:tcPr>
            <w:tcW w:w="1400" w:type="dxa"/>
            <w:tcMar>
              <w:top w:w="40" w:type="dxa"/>
              <w:left w:w="80" w:type="dxa"/>
              <w:bottom w:w="40" w:type="dxa"/>
              <w:right w:w="80" w:type="dxa"/>
            </w:tcMar>
          </w:tcPr>
          <w:p w14:paraId="5D228B94" w14:textId="77777777" w:rsidR="00D44DCB" w:rsidRDefault="00000000">
            <w:pPr>
              <w:spacing w:after="40"/>
            </w:pPr>
            <w:r>
              <w:rPr>
                <w:rFonts w:ascii="新細明體" w:eastAsia="新細明體" w:hAnsi="新細明體" w:cs="新細明體"/>
              </w:rPr>
              <w:t>健康促進</w:t>
            </w:r>
          </w:p>
        </w:tc>
        <w:tc>
          <w:tcPr>
            <w:tcW w:w="2800" w:type="dxa"/>
            <w:tcMar>
              <w:top w:w="40" w:type="dxa"/>
              <w:left w:w="80" w:type="dxa"/>
              <w:bottom w:w="40" w:type="dxa"/>
              <w:right w:w="80" w:type="dxa"/>
            </w:tcMar>
          </w:tcPr>
          <w:p w14:paraId="5D228B95" w14:textId="77777777" w:rsidR="00D44DCB" w:rsidRDefault="00000000">
            <w:pPr>
              <w:spacing w:after="40"/>
            </w:pPr>
            <w:r>
              <w:rPr>
                <w:rFonts w:ascii="新細明體" w:eastAsia="新細明體" w:hAnsi="新細明體" w:cs="新細明體"/>
              </w:rPr>
              <w:t>使用者是否能理解健身流程、紀錄與遊戲進度的關聯</w:t>
            </w:r>
          </w:p>
        </w:tc>
        <w:tc>
          <w:tcPr>
            <w:tcW w:w="2800" w:type="dxa"/>
            <w:tcMar>
              <w:top w:w="40" w:type="dxa"/>
              <w:left w:w="80" w:type="dxa"/>
              <w:bottom w:w="40" w:type="dxa"/>
              <w:right w:w="80" w:type="dxa"/>
            </w:tcMar>
          </w:tcPr>
          <w:p w14:paraId="5D228B96" w14:textId="77777777" w:rsidR="00D44DCB" w:rsidRDefault="00000000">
            <w:pPr>
              <w:spacing w:after="40"/>
            </w:pPr>
            <w:r>
              <w:rPr>
                <w:rFonts w:ascii="新細明體" w:eastAsia="新細明體" w:hAnsi="新細明體" w:cs="新細明體"/>
              </w:rPr>
              <w:t>依整合版本測試與回饋資料評估</w:t>
            </w:r>
          </w:p>
        </w:tc>
        <w:tc>
          <w:tcPr>
            <w:tcW w:w="2600" w:type="dxa"/>
            <w:tcMar>
              <w:top w:w="40" w:type="dxa"/>
              <w:left w:w="80" w:type="dxa"/>
              <w:bottom w:w="40" w:type="dxa"/>
              <w:right w:w="80" w:type="dxa"/>
            </w:tcMar>
          </w:tcPr>
          <w:p w14:paraId="5D228B97" w14:textId="77777777" w:rsidR="00D44DCB" w:rsidRDefault="00000000">
            <w:pPr>
              <w:spacing w:after="40"/>
            </w:pPr>
            <w:r>
              <w:rPr>
                <w:rFonts w:ascii="新細明體" w:eastAsia="新細明體" w:hAnsi="新細明體" w:cs="新細明體"/>
              </w:rPr>
              <w:t>不推論醫療、臨床或疾病改善效果</w:t>
            </w:r>
          </w:p>
        </w:tc>
      </w:tr>
      <w:tr w:rsidR="00D44DCB" w14:paraId="5D228B98" w14:textId="77777777">
        <w:tblPrEx>
          <w:tblCellMar>
            <w:top w:w="0" w:type="dxa"/>
            <w:bottom w:w="0" w:type="dxa"/>
          </w:tblCellMar>
        </w:tblPrEx>
        <w:tc>
          <w:tcPr>
            <w:tcW w:w="1400" w:type="dxa"/>
            <w:tcMar>
              <w:top w:w="40" w:type="dxa"/>
              <w:left w:w="80" w:type="dxa"/>
              <w:bottom w:w="40" w:type="dxa"/>
              <w:right w:w="80" w:type="dxa"/>
            </w:tcMar>
          </w:tcPr>
          <w:p w14:paraId="5D228B94" w14:textId="77777777" w:rsidR="00D44DCB" w:rsidRDefault="00000000">
            <w:pPr>
              <w:spacing w:after="40"/>
            </w:pPr>
            <w:r>
              <w:rPr>
                <w:rFonts w:ascii="新細明體" w:eastAsia="新細明體" w:hAnsi="新細明體" w:cs="新細明體"/>
              </w:rPr>
              <w:t>功能卡與商品</w:t>
            </w:r>
          </w:p>
        </w:tc>
        <w:tc>
          <w:tcPr>
            <w:tcW w:w="2800" w:type="dxa"/>
            <w:tcMar>
              <w:top w:w="40" w:type="dxa"/>
              <w:left w:w="80" w:type="dxa"/>
              <w:bottom w:w="40" w:type="dxa"/>
              <w:right w:w="80" w:type="dxa"/>
            </w:tcMar>
          </w:tcPr>
          <w:p w14:paraId="5D228B95" w14:textId="77777777" w:rsidR="00D44DCB" w:rsidRDefault="00000000">
            <w:pPr>
              <w:spacing w:after="40"/>
            </w:pPr>
            <w:r>
              <w:rPr>
                <w:rFonts w:ascii="新細明體" w:eastAsia="新細明體" w:hAnsi="新細明體" w:cs="新細明體"/>
              </w:rPr>
              <w:t>功能卡效果、供應頻率、經濟影響與商店商品多樣性</w:t>
            </w:r>
          </w:p>
        </w:tc>
        <w:tc>
          <w:tcPr>
            <w:tcW w:w="2800" w:type="dxa"/>
            <w:tcMar>
              <w:top w:w="40" w:type="dxa"/>
              <w:left w:w="80" w:type="dxa"/>
              <w:bottom w:w="40" w:type="dxa"/>
              <w:right w:w="80" w:type="dxa"/>
            </w:tcMar>
          </w:tcPr>
          <w:p w14:paraId="5D228B96" w14:textId="77777777" w:rsidR="00D44DCB" w:rsidRDefault="00000000">
            <w:pPr>
              <w:spacing w:after="40"/>
            </w:pPr>
            <w:r>
              <w:rPr>
                <w:rFonts w:ascii="新細明體" w:eastAsia="新細明體" w:hAnsi="新細明體" w:cs="新細明體"/>
              </w:rPr>
              <w:t>機制上線後追蹤金幣流通與消費行為</w:t>
            </w:r>
          </w:p>
        </w:tc>
        <w:tc>
          <w:tcPr>
            <w:tcW w:w="2600" w:type="dxa"/>
            <w:tcMar>
              <w:top w:w="40" w:type="dxa"/>
              <w:left w:w="80" w:type="dxa"/>
              <w:bottom w:w="40" w:type="dxa"/>
              <w:right w:w="80" w:type="dxa"/>
            </w:tcMar>
          </w:tcPr>
          <w:p w14:paraId="5D228B97" w14:textId="77777777" w:rsidR="00D44DCB" w:rsidRDefault="00000000">
            <w:pPr>
              <w:spacing w:after="40"/>
            </w:pPr>
            <w:r>
              <w:rPr>
                <w:rFonts w:ascii="新細明體" w:eastAsia="新細明體" w:hAnsi="新細明體" w:cs="新細明體"/>
              </w:rPr>
              <w:t>不預先宣稱消費轉化或留存提升</w:t>
            </w:r>
          </w:p>
        </w:tc>
      </w:tr>
      <w:tr w:rsidR="00D44DCB" w14:paraId="5D228B98" w14:textId="77777777">
        <w:tblPrEx>
          <w:tblCellMar>
            <w:top w:w="0" w:type="dxa"/>
            <w:bottom w:w="0" w:type="dxa"/>
          </w:tblCellMar>
        </w:tblPrEx>
        <w:tc>
          <w:tcPr>
            <w:tcW w:w="1400" w:type="dxa"/>
            <w:tcMar>
              <w:top w:w="40" w:type="dxa"/>
              <w:left w:w="80" w:type="dxa"/>
              <w:bottom w:w="40" w:type="dxa"/>
              <w:right w:w="80" w:type="dxa"/>
            </w:tcMar>
          </w:tcPr>
          <w:p w14:paraId="5D228B94" w14:textId="77777777" w:rsidR="00D44DCB" w:rsidRDefault="00000000">
            <w:pPr>
              <w:spacing w:after="40"/>
            </w:pPr>
            <w:r>
              <w:rPr>
                <w:rFonts w:ascii="新細明體" w:eastAsia="新細明體" w:hAnsi="新細明體" w:cs="新細明體"/>
              </w:rPr>
              <w:t>寵物照護</w:t>
            </w:r>
          </w:p>
        </w:tc>
        <w:tc>
          <w:tcPr>
            <w:tcW w:w="2800" w:type="dxa"/>
            <w:tcMar>
              <w:top w:w="40" w:type="dxa"/>
              <w:left w:w="80" w:type="dxa"/>
              <w:bottom w:w="40" w:type="dxa"/>
              <w:right w:w="80" w:type="dxa"/>
            </w:tcMar>
          </w:tcPr>
          <w:p w14:paraId="5D228B95" w14:textId="77777777" w:rsidR="00D44DCB" w:rsidRDefault="00000000">
            <w:pPr>
              <w:spacing w:after="40"/>
            </w:pPr>
            <w:r>
              <w:rPr>
                <w:rFonts w:ascii="新細明體" w:eastAsia="新細明體" w:hAnsi="新細明體" w:cs="新細明體"/>
              </w:rPr>
              <w:t>活動力指標、餵食互動、排泄物觸發與 NPC 聯動</w:t>
            </w:r>
          </w:p>
        </w:tc>
        <w:tc>
          <w:tcPr>
            <w:tcW w:w="2800" w:type="dxa"/>
            <w:tcMar>
              <w:top w:w="40" w:type="dxa"/>
              <w:left w:w="80" w:type="dxa"/>
              <w:bottom w:w="40" w:type="dxa"/>
              <w:right w:w="80" w:type="dxa"/>
            </w:tcMar>
          </w:tcPr>
          <w:p w14:paraId="5D228B96" w14:textId="77777777" w:rsidR="00D44DCB" w:rsidRDefault="00000000">
            <w:pPr>
              <w:spacing w:after="40"/>
            </w:pPr>
            <w:r>
              <w:rPr>
                <w:rFonts w:ascii="新細明體" w:eastAsia="新細明體" w:hAnsi="新細明體" w:cs="新細明體"/>
              </w:rPr>
              <w:t>機制完成後進行使用者接受度與互動頻率測試</w:t>
            </w:r>
          </w:p>
        </w:tc>
        <w:tc>
          <w:tcPr>
            <w:tcW w:w="2600" w:type="dxa"/>
            <w:tcMar>
              <w:top w:w="40" w:type="dxa"/>
              <w:left w:w="80" w:type="dxa"/>
              <w:bottom w:w="40" w:type="dxa"/>
              <w:right w:w="80" w:type="dxa"/>
            </w:tcMar>
          </w:tcPr>
          <w:p w14:paraId="5D228B97" w14:textId="77777777" w:rsidR="00D44DCB" w:rsidRDefault="00000000">
            <w:pPr>
              <w:spacing w:after="40"/>
            </w:pPr>
            <w:r>
              <w:rPr>
                <w:rFonts w:ascii="新細明體" w:eastAsia="新細明體" w:hAnsi="新細明體" w:cs="新細明體"/>
              </w:rPr>
              <w:t>不預先宣稱情感連結或回訪效果</w:t>
            </w:r>
          </w:p>
        </w:tc>
      </w:tr>
    </w:tbl>
    <w:p w14:paraId="5D228B99" w14:textId="77777777" w:rsidR="00D44DCB" w:rsidRDefault="00D44DCB"/>
    <w:p w14:paraId="5D228B9A" w14:textId="77777777" w:rsidR="00D44DCB" w:rsidRDefault="00000000">
      <w:pPr>
        <w:spacing w:after="120" w:line="360" w:lineRule="auto"/>
        <w:jc w:val="both"/>
      </w:pPr>
      <w:r>
        <w:rPr>
          <w:rFonts w:ascii="新細明體" w:eastAsia="新細明體" w:hAnsi="新細明體" w:cs="新細明體"/>
          <w:b/>
          <w:bCs/>
          <w:sz w:val="24"/>
          <w:szCs w:val="24"/>
        </w:rPr>
        <w:t>效益判定原則｜</w:t>
      </w:r>
      <w:r>
        <w:rPr>
          <w:rFonts w:ascii="新細明體" w:eastAsia="新細明體" w:hAnsi="新細明體" w:cs="新細明體"/>
          <w:sz w:val="24"/>
          <w:szCs w:val="24"/>
        </w:rPr>
        <w:t>本章所列未完成項目均為規劃內容。除附件明載碎片機制「約九成可能納入」外，本章未新增任何量化成效、營運指標、使用者規模、通知成果或技術規格；各項效果須在功能完成並接受可重現測試後，才依實際資料陳述。</w:t>
      </w:r>
    </w:p>
    <w:p w14:paraId="5D228A88" w14:textId="77777777" w:rsidR="00D44DCB" w:rsidRDefault="00000000">
      <w:pPr>
        <w:spacing w:after="200" w:line="360" w:lineRule="auto"/>
        <w:jc w:val="center"/>
      </w:pPr>
      <w:r>
        <w:rPr>
          <w:rFonts w:ascii="標楷體" w:eastAsia="標楷體" w:hAnsi="標楷體" w:cs="標楷體"/>
          <w:b/>
          <w:bCs/>
          <w:i w:val="0"/>
          <w:sz w:val="32"/>
          <w:szCs w:val="32"/>
        </w:rPr>
        <w:t>十、參考文獻</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教育部體育署（2024）。《中華民國 113 年運動現況調查結案報告書》。世新大學執行。</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林暐庭、楊捷閔、徐誠佑、鄭磬蔚、姜建均、林威成（2025）。AI 影像辨識技術應用於健身課程。學校體育，207，49–63。</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Alshurafa, N., Eastwood, J.-A., Pourhomayoun, M., Nyamathi, S., Bao, L., Mortazavi, B., &amp; Sarrafzadeh, M. (2014). Anti-cheating: Detecting self-inflicted and impersonator cheaters for remote health monitoring systems with wearable sensors. In </w:t>
      </w:r>
      <w:r>
        <w:rPr>
          <w:rFonts w:ascii="新細明體" w:eastAsia="新細明體" w:hAnsi="新細明體" w:cs="新細明體"/>
          <w:i/>
        </w:rPr>
        <w:t>2014 11th International Conference on Wearable and Implantable Body Sensor Networks</w:t>
      </w:r>
      <w:r>
        <w:rPr>
          <w:rFonts w:ascii="新細明體" w:eastAsia="新細明體" w:hAnsi="新細明體" w:cs="新細明體"/>
          <w:i w:val="0"/>
        </w:rPr>
        <w:t xml:space="preserve"> (pp. 92–97). IEEE. https://doi.org/10.1109/BSN.2014.38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Bazarevsky, V., Grishchenko, I., Raveendran, K., Zhu, T., Zhang, F., &amp; Grundmann, M. (2020). </w:t>
      </w:r>
      <w:r>
        <w:rPr>
          <w:rFonts w:ascii="新細明體" w:eastAsia="新細明體" w:hAnsi="新細明體" w:cs="新細明體"/>
          <w:i/>
        </w:rPr>
        <w:t>BlazePose: On-device real-time body pose tracking</w:t>
      </w:r>
      <w:r>
        <w:rPr>
          <w:rFonts w:ascii="新細明體" w:eastAsia="新細明體" w:hAnsi="新細明體" w:cs="新細明體"/>
          <w:i w:val="0"/>
        </w:rPr>
        <w:t xml:space="preserve"> (arXiv:2006.10204). arXiv. https://doi.org/10.48550/arXiv.2006.10204</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Casiez, G., Roussel, N., &amp; Vogel, D. (2012). 1 € filter: A simple speed-based low-pass filter for noisy input in interactive systems. In </w:t>
      </w:r>
      <w:r>
        <w:rPr>
          <w:rFonts w:ascii="新細明體" w:eastAsia="新細明體" w:hAnsi="新細明體" w:cs="新細明體"/>
          <w:i/>
        </w:rPr>
        <w:t>Proceedings of the SIGCHI Conference on Human Factors in Computing Systems</w:t>
      </w:r>
      <w:r>
        <w:rPr>
          <w:rFonts w:ascii="新細明體" w:eastAsia="新細明體" w:hAnsi="新細明體" w:cs="新細明體"/>
          <w:i w:val="0"/>
        </w:rPr>
        <w:t xml:space="preserve"> (pp. 2527–2530). Association for Computing Machinery. https://doi.org/10.1145/2207676.2208639</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Conroy, D. E., Yang, C.-H., &amp; Maher, J. P. (2014). Behavior change techniques in top-ranked mobile apps for physical activity. </w:t>
      </w:r>
      <w:r>
        <w:rPr>
          <w:rFonts w:ascii="新細明體" w:eastAsia="新細明體" w:hAnsi="新細明體" w:cs="新細明體"/>
          <w:i/>
        </w:rPr>
        <w:t>American Journal of Preventive Medicine, 46</w:t>
      </w:r>
      <w:r>
        <w:rPr>
          <w:rFonts w:ascii="新細明體" w:eastAsia="新細明體" w:hAnsi="新細明體" w:cs="新細明體"/>
          <w:i w:val="0"/>
        </w:rPr>
        <w:t>(6), 649–652. https://doi.org/10.1016/j.amepre.2014.01.010</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Dedhia, U., Bhoir, P., Ranka, P., &amp; Kanani, P. (2023). Pose estimation and virtual gym assistant using MediaPipe and machine learning. In </w:t>
      </w:r>
      <w:r>
        <w:rPr>
          <w:rFonts w:ascii="新細明體" w:eastAsia="新細明體" w:hAnsi="新細明體" w:cs="新細明體"/>
          <w:i/>
        </w:rPr>
        <w:t>2023 International Conference on Network, Multimedia and Information Technology (NMITCON)</w:t>
      </w:r>
      <w:r>
        <w:rPr>
          <w:rFonts w:ascii="新細明體" w:eastAsia="新細明體" w:hAnsi="新細明體" w:cs="新細明體"/>
          <w:i w:val="0"/>
        </w:rPr>
        <w:t xml:space="preserve"> (pp. 1–7). IEEE. https://doi.org/10.1109/NMITCON58196.2023.10275938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Direito, A., Pfaeffli Dale, L., Shields, E., Dobson, R., Whittaker, R., &amp; Maddison, R. (2014). Do physical activity and dietary smartphone applications incorporate evidence-based behaviour change techniques? </w:t>
      </w:r>
      <w:r>
        <w:rPr>
          <w:rFonts w:ascii="新細明體" w:eastAsia="新細明體" w:hAnsi="新細明體" w:cs="新細明體"/>
          <w:i/>
        </w:rPr>
        <w:t>BMC Public Health, 14</w:t>
      </w:r>
      <w:r>
        <w:rPr>
          <w:rFonts w:ascii="新細明體" w:eastAsia="新細明體" w:hAnsi="新細明體" w:cs="新細明體"/>
          <w:i w:val="0"/>
        </w:rPr>
        <w:t>, Article 646. https://doi.org/10.1186/1471-2458-14-646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Escamilla, R. F. (2001). Knee biomechanics of the dynamic squat exercise. </w:t>
      </w:r>
      <w:r>
        <w:rPr>
          <w:rFonts w:ascii="新細明體" w:eastAsia="新細明體" w:hAnsi="新細明體" w:cs="新細明體"/>
          <w:i/>
        </w:rPr>
        <w:t>Medicine &amp; Science in Sports &amp; Exercise, 33</w:t>
      </w:r>
      <w:r>
        <w:rPr>
          <w:rFonts w:ascii="新細明體" w:eastAsia="新細明體" w:hAnsi="新細明體" w:cs="新細明體"/>
          <w:i w:val="0"/>
        </w:rPr>
        <w:t>(1), 127–141. https://doi.org/10.1097/00005768-200101000-00020</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Hamari, J., Koivisto, J., &amp; Sarsa, H. (2014). Does gamification work? — A literature review of empirical studies on gamification. In </w:t>
      </w:r>
      <w:r>
        <w:rPr>
          <w:rFonts w:ascii="新細明體" w:eastAsia="新細明體" w:hAnsi="新細明體" w:cs="新細明體"/>
          <w:i/>
        </w:rPr>
        <w:t>2014 47th Hawaii International Conference on System Sciences</w:t>
      </w:r>
      <w:r>
        <w:rPr>
          <w:rFonts w:ascii="新細明體" w:eastAsia="新細明體" w:hAnsi="新細明體" w:cs="新細明體"/>
          <w:i w:val="0"/>
        </w:rPr>
        <w:t xml:space="preserve"> (pp. 3025–3034). IEEE. https://doi.org/10.1109/HICSS.2014.377</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Jaiswal, A., Chauhan, G., &amp; Srivastava, N. (2023). Using learnable physics for real-time exercise form recommendations. In </w:t>
      </w:r>
      <w:r>
        <w:rPr>
          <w:rFonts w:ascii="新細明體" w:eastAsia="新細明體" w:hAnsi="新細明體" w:cs="新細明體"/>
          <w:i/>
        </w:rPr>
        <w:t>Proceedings of the 17th ACM Conference on Recommender Systems</w:t>
      </w:r>
      <w:r>
        <w:rPr>
          <w:rFonts w:ascii="新細明體" w:eastAsia="新細明體" w:hAnsi="新細明體" w:cs="新細明體"/>
          <w:i w:val="0"/>
        </w:rPr>
        <w:t xml:space="preserve"> (pp. 688–695). Association for Computing Machinery. https://doi.org/10.1145/3604915.3608816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Johnson, D., Deterding, S., Kuhn, K.-A., Staneva, A., Stoyanov, S., &amp; Hides, L. (2016). Gamification for health and wellbeing: A systematic review of the literature. </w:t>
      </w:r>
      <w:r>
        <w:rPr>
          <w:rFonts w:ascii="新細明體" w:eastAsia="新細明體" w:hAnsi="新細明體" w:cs="新細明體"/>
          <w:i/>
        </w:rPr>
        <w:t>Internet Interventions, 6</w:t>
      </w:r>
      <w:r>
        <w:rPr>
          <w:rFonts w:ascii="新細明體" w:eastAsia="新細明體" w:hAnsi="新細明體" w:cs="新細明體"/>
          <w:i w:val="0"/>
        </w:rPr>
        <w:t>, 89–106. https://doi.org/10.1016/j.invent.2016.10.002</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Kercher, V. M., Kercher, K., Levy, P., Bennion, T., Alexander, C., Amaral, P. C., Batrakoulis, A., Chávez, L. F. J. G., Cortés-Almanzar, P., Haro, J. L., Zavalza, A. R. P., Rodríguez, L. E. A., Franco, S., Santos-Rocha, R., Ramalho, F., Simões, V., Vieira, I., Ramos, L., Veiga, O. L., ... Romero-Caballero, A. (2023). 2023 fitness trends from around the globe. </w:t>
      </w:r>
      <w:r>
        <w:rPr>
          <w:rFonts w:ascii="新細明體" w:eastAsia="新細明體" w:hAnsi="新細明體" w:cs="新細明體"/>
          <w:i/>
        </w:rPr>
        <w:t>ACSM's Health &amp; Fitness Journal, 27</w:t>
      </w:r>
      <w:r>
        <w:rPr>
          <w:rFonts w:ascii="新細明體" w:eastAsia="新細明體" w:hAnsi="新細明體" w:cs="新細明體"/>
          <w:i w:val="0"/>
        </w:rPr>
        <w:t>(1), 19–30. https://doi.org/10.1249/FIT.0000000000000836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Kerr, Z. Y., Collins, C. L., &amp; Comstock, R. D. (2010). Epidemiology of weight training-related injuries presenting to United States emergency departments, 1990 to 2007. </w:t>
      </w:r>
      <w:r>
        <w:rPr>
          <w:rFonts w:ascii="新細明體" w:eastAsia="新細明體" w:hAnsi="新細明體" w:cs="新細明體"/>
          <w:i/>
        </w:rPr>
        <w:t>The American Journal of Sports Medicine, 38</w:t>
      </w:r>
      <w:r>
        <w:rPr>
          <w:rFonts w:ascii="新細明體" w:eastAsia="新細明體" w:hAnsi="新細明體" w:cs="新細明體"/>
          <w:i w:val="0"/>
        </w:rPr>
        <w:t>(4), 765–771. https://doi.org/10.1177/0363546509351560</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Kwon, Y., &amp; Kim, D. (2022). Real-time workout posture correction using OpenCV and MediaPipe. </w:t>
      </w:r>
      <w:r>
        <w:rPr>
          <w:rFonts w:ascii="新細明體" w:eastAsia="新細明體" w:hAnsi="新細明體" w:cs="新細明體"/>
          <w:i/>
        </w:rPr>
        <w:t>The Journal of Korean Institute of Information Technology, 20</w:t>
      </w:r>
      <w:r>
        <w:rPr>
          <w:rFonts w:ascii="新細明體" w:eastAsia="新細明體" w:hAnsi="新細明體" w:cs="新細明體"/>
          <w:i w:val="0"/>
        </w:rPr>
        <w:t>(1), 199–208. https://doi.org/10.14801/jkiit.2022.20.1.199</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Lally, P., van Jaarsveld, C. H. M., Potts, H. W. W., &amp; Wardle, J. (2010). How are habits formed: Modelling habit formation in the real world. </w:t>
      </w:r>
      <w:r>
        <w:rPr>
          <w:rFonts w:ascii="新細明體" w:eastAsia="新細明體" w:hAnsi="新細明體" w:cs="新細明體"/>
          <w:i/>
        </w:rPr>
        <w:t>European Journal of Social Psychology, 40</w:t>
      </w:r>
      <w:r>
        <w:rPr>
          <w:rFonts w:ascii="新細明體" w:eastAsia="新細明體" w:hAnsi="新細明體" w:cs="新細明體"/>
          <w:i w:val="0"/>
        </w:rPr>
        <w:t>(6), 998–1009. https://doi.org/10.1002/ejsp.674</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Locke, E. A., &amp; Latham, G. P. (2002). Building a practically useful theory of goal setting and task motivation: A 35-year odyssey. </w:t>
      </w:r>
      <w:r>
        <w:rPr>
          <w:rFonts w:ascii="新細明體" w:eastAsia="新細明體" w:hAnsi="新細明體" w:cs="新細明體"/>
          <w:i/>
        </w:rPr>
        <w:t>American Psychologist, 57</w:t>
      </w:r>
      <w:r>
        <w:rPr>
          <w:rFonts w:ascii="新細明體" w:eastAsia="新細明體" w:hAnsi="新細明體" w:cs="新細明體"/>
          <w:i w:val="0"/>
        </w:rPr>
        <w:t>(9), 705–717. https://doi.org/10.1037/0003-066X.57.9.705</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Lugaresi, C., Tang, J., Nash, H., McClanahan, C., Uboweja, E., Hays, M., Zhang, F., Chang, C.-L., Yong, M. G., Lee, J., Chang, W.-T., Hua, W., Georg, M., &amp; Grundmann, M. (2019). </w:t>
      </w:r>
      <w:r>
        <w:rPr>
          <w:rFonts w:ascii="新細明體" w:eastAsia="新細明體" w:hAnsi="新細明體" w:cs="新細明體"/>
          <w:i/>
        </w:rPr>
        <w:t>MediaPipe: A framework for building perception pipelines</w:t>
      </w:r>
      <w:r>
        <w:rPr>
          <w:rFonts w:ascii="新細明體" w:eastAsia="新細明體" w:hAnsi="新細明體" w:cs="新細明體"/>
          <w:i w:val="0"/>
        </w:rPr>
        <w:t xml:space="preserve"> (arXiv:1906.08172). arXiv. https://doi.org/10.48550/arXiv.1906.08172</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Mazeas, A., Duclos, M., Pereira, B., &amp; Chalabaev, A. (2022). Evaluating the effectiveness of gamification on physical activity: Systematic review and meta-analysis of randomized controlled trials. </w:t>
      </w:r>
      <w:r>
        <w:rPr>
          <w:rFonts w:ascii="新細明體" w:eastAsia="新細明體" w:hAnsi="新細明體" w:cs="新細明體"/>
          <w:i/>
        </w:rPr>
        <w:t>Journal of Medical Internet Research, 24</w:t>
      </w:r>
      <w:r>
        <w:rPr>
          <w:rFonts w:ascii="新細明體" w:eastAsia="新細明體" w:hAnsi="新細明體" w:cs="新細明體"/>
          <w:i w:val="0"/>
        </w:rPr>
        <w:t>(1), Article e26779. https://doi.org/10.2196/26779</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Michie, S., Abraham, C., Whittington, C., McAteer, J., &amp; Gupta, S. (2009). Effective techniques in healthy eating and physical activity interventions: A meta-regression. </w:t>
      </w:r>
      <w:r>
        <w:rPr>
          <w:rFonts w:ascii="新細明體" w:eastAsia="新細明體" w:hAnsi="新細明體" w:cs="新細明體"/>
          <w:i/>
        </w:rPr>
        <w:t>Health Psychology, 28</w:t>
      </w:r>
      <w:r>
        <w:rPr>
          <w:rFonts w:ascii="新細明體" w:eastAsia="新細明體" w:hAnsi="新細明體" w:cs="新細明體"/>
          <w:i w:val="0"/>
        </w:rPr>
        <w:t>(6), 690–701. https://doi.org/10.1037/a0016136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Myer, G. D., Kushner, A. M., Brent, J. L., Schoenfeld, B. J., Hugentobler, J., Lloyd, R. S., Vermeil, A., Chu, D. A., Harbin, J., &amp; McGill, S. M. (2014). The back squat: A proposed assessment of functional deficits and technical factors that limit performance. </w:t>
      </w:r>
      <w:r>
        <w:rPr>
          <w:rFonts w:ascii="新細明體" w:eastAsia="新細明體" w:hAnsi="新細明體" w:cs="新細明體"/>
          <w:i/>
        </w:rPr>
        <w:t>Strength and Conditioning Journal, 36</w:t>
      </w:r>
      <w:r>
        <w:rPr>
          <w:rFonts w:ascii="新細明體" w:eastAsia="新細明體" w:hAnsi="新細明體" w:cs="新細明體"/>
          <w:i w:val="0"/>
        </w:rPr>
        <w:t>(6), 4–27. https://doi.org/10.1519/SSC.0000000000000103</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Okabe, M., &amp; Ito, K. (2008). </w:t>
      </w:r>
      <w:r>
        <w:rPr>
          <w:rFonts w:ascii="新細明體" w:eastAsia="新細明體" w:hAnsi="新細明體" w:cs="新細明體"/>
          <w:i/>
        </w:rPr>
        <w:t>Color universal design (CUD): How to make figures and presentations that are friendly to colorblind people</w:t>
      </w:r>
      <w:r>
        <w:rPr>
          <w:rFonts w:ascii="新細明體" w:eastAsia="新細明體" w:hAnsi="新細明體" w:cs="新細明體"/>
          <w:i w:val="0"/>
        </w:rPr>
        <w:t>. Jikei Medical School / University of Tokyo.</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Ryan, R. M., &amp; Deci, E. L. (2000). Self-determination theory and the facilitation of intrinsic motivation, social development, and well-being. </w:t>
      </w:r>
      <w:r>
        <w:rPr>
          <w:rFonts w:ascii="新細明體" w:eastAsia="新細明體" w:hAnsi="新細明體" w:cs="新細明體"/>
          <w:i/>
        </w:rPr>
        <w:t>American Psychologist, 55</w:t>
      </w:r>
      <w:r>
        <w:rPr>
          <w:rFonts w:ascii="新細明體" w:eastAsia="新細明體" w:hAnsi="新細明體" w:cs="新細明體"/>
          <w:i w:val="0"/>
        </w:rPr>
        <w:t>(1), 68–78. https://doi.org/10.1037/0003-066X.55.1.68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Saeb, S., Körding, K., &amp; Mohr, D. C. (2015). Making activity recognition robust against deceptive behavior. </w:t>
      </w:r>
      <w:r>
        <w:rPr>
          <w:rFonts w:ascii="新細明體" w:eastAsia="新細明體" w:hAnsi="新細明體" w:cs="新細明體"/>
          <w:i/>
        </w:rPr>
        <w:t>PLOS ONE, 10</w:t>
      </w:r>
      <w:r>
        <w:rPr>
          <w:rFonts w:ascii="新細明體" w:eastAsia="新細明體" w:hAnsi="新細明體" w:cs="新細明體"/>
          <w:i w:val="0"/>
        </w:rPr>
        <w:t>(12), Article e0144795. https://doi.org/10.1371/journal.pone.0144795</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Sardi, L., Idri, A., &amp; Fernández-Alemán, J. L. (2017). A systematic review of gamification in e-Health. </w:t>
      </w:r>
      <w:r>
        <w:rPr>
          <w:rFonts w:ascii="新細明體" w:eastAsia="新細明體" w:hAnsi="新細明體" w:cs="新細明體"/>
          <w:i/>
        </w:rPr>
        <w:t>Journal of Biomedical Informatics, 71</w:t>
      </w:r>
      <w:r>
        <w:rPr>
          <w:rFonts w:ascii="新細明體" w:eastAsia="新細明體" w:hAnsi="新細明體" w:cs="新細明體"/>
          <w:i w:val="0"/>
        </w:rPr>
        <w:t>, 31–48. https://doi.org/10.1016/j.jbi.2017.05.011</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Schoenfeld, B. J. (2010). Squatting kinematics and kinetics and their application to exercise performance. </w:t>
      </w:r>
      <w:r>
        <w:rPr>
          <w:rFonts w:ascii="新細明體" w:eastAsia="新細明體" w:hAnsi="新細明體" w:cs="新細明體"/>
          <w:i/>
        </w:rPr>
        <w:t>Journal of Strength and Conditioning Research, 24</w:t>
      </w:r>
      <w:r>
        <w:rPr>
          <w:rFonts w:ascii="新細明體" w:eastAsia="新細明體" w:hAnsi="新細明體" w:cs="新細明體"/>
          <w:i w:val="0"/>
        </w:rPr>
        <w:t>(12), 3497–3506. https://doi.org/10.1519/JSC.0b013e3181bac2d7</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Sperandei, S., Vieira, M. C., &amp; Reis, A. C. (2016). Adherence to physical activity in an unsupervised setting: Explanatory variables for high attrition rates among fitness center members. </w:t>
      </w:r>
      <w:r>
        <w:rPr>
          <w:rFonts w:ascii="新細明體" w:eastAsia="新細明體" w:hAnsi="新細明體" w:cs="新細明體"/>
          <w:i/>
        </w:rPr>
        <w:t>Journal of Science and Medicine in Sport, 19</w:t>
      </w:r>
      <w:r>
        <w:rPr>
          <w:rFonts w:ascii="新細明體" w:eastAsia="新細明體" w:hAnsi="新細明體" w:cs="新細明體"/>
          <w:i w:val="0"/>
        </w:rPr>
        <w:t>(11), 916–920. https://doi.org/10.1016/j.jsams.2015.12.522</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Strain, T., Flaxman, S., Guthold, R., Semenova, E., Cowan, M., Riley, L. M., Bull, F. C., &amp; Stevens, G. A. (2024). National, regional, and global trends in insufficient physical activity among adults from 2000 to 2022: A pooled analysis of 507 population-based surveys with 5.7 million participants. </w:t>
      </w:r>
      <w:r>
        <w:rPr>
          <w:rFonts w:ascii="新細明體" w:eastAsia="新細明體" w:hAnsi="新細明體" w:cs="新細明體"/>
          <w:i/>
        </w:rPr>
        <w:t>The Lancet Global Health, 12</w:t>
      </w:r>
      <w:r>
        <w:rPr>
          <w:rFonts w:ascii="新細明體" w:eastAsia="新細明體" w:hAnsi="新細明體" w:cs="新細明體"/>
          <w:i w:val="0"/>
        </w:rPr>
        <w:t>(8), e1232–e1243. https://doi.org/10.1016/S2214-109X(24)00150-5</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United Nations Department of Economic and Social Affairs. (n.d.). </w:t>
      </w:r>
      <w:r>
        <w:rPr>
          <w:rFonts w:ascii="新細明體" w:eastAsia="新細明體" w:hAnsi="新細明體" w:cs="新細明體"/>
          <w:i/>
        </w:rPr>
        <w:t>Goal 3: Ensure healthy lives and promote well-being for all at all ages</w:t>
      </w:r>
      <w:r>
        <w:rPr>
          <w:rFonts w:ascii="新細明體" w:eastAsia="新細明體" w:hAnsi="新細明體" w:cs="新細明體"/>
          <w:i w:val="0"/>
        </w:rPr>
        <w:t>. Retrieved August 19, 2026, from https://sdgs.un.org/goals/goal3</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Wong, B. (2011). Points of view: Color blindness. </w:t>
      </w:r>
      <w:r>
        <w:rPr>
          <w:rFonts w:ascii="新細明體" w:eastAsia="新細明體" w:hAnsi="新細明體" w:cs="新細明體"/>
          <w:i/>
        </w:rPr>
        <w:t>Nature Methods, 8</w:t>
      </w:r>
      <w:r>
        <w:rPr>
          <w:rFonts w:ascii="新細明體" w:eastAsia="新細明體" w:hAnsi="新細明體" w:cs="新細明體"/>
          <w:i w:val="0"/>
        </w:rPr>
        <w:t>(6), 441. https://doi.org/10.1038/nmeth.1618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World Health Organization. (2020). </w:t>
      </w:r>
      <w:r>
        <w:rPr>
          <w:rFonts w:ascii="新細明體" w:eastAsia="新細明體" w:hAnsi="新細明體" w:cs="新細明體"/>
          <w:i/>
        </w:rPr>
        <w:t>WHO guidelines on physical activity and sedentary behaviour</w:t>
      </w:r>
      <w:r>
        <w:rPr>
          <w:rFonts w:ascii="新細明體" w:eastAsia="新細明體" w:hAnsi="新細明體" w:cs="新細明體"/>
          <w:i w:val="0"/>
        </w:rPr>
        <w:t>. https://www.who.int/publications/i/item/9789240015128</w:t>
      </w:r>
    </w:p>
    <w:sectPr w:rsidR="00D44DCB">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A22EDA" w14:textId="77777777" w:rsidR="00CC2140" w:rsidRDefault="00CC2140" w:rsidP="006B6DD8">
      <w:r>
        <w:separator/>
      </w:r>
    </w:p>
  </w:endnote>
  <w:endnote w:type="continuationSeparator" w:id="0">
    <w:p w14:paraId="3F6EB5D2" w14:textId="77777777" w:rsidR="00CC2140" w:rsidRDefault="00CC2140" w:rsidP="006B6D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微軟正黑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BC7161" w14:textId="77777777" w:rsidR="00CC2140" w:rsidRDefault="00CC2140" w:rsidP="006B6DD8">
      <w:r>
        <w:separator/>
      </w:r>
    </w:p>
  </w:footnote>
  <w:footnote w:type="continuationSeparator" w:id="0">
    <w:p w14:paraId="4921D4E9" w14:textId="77777777" w:rsidR="00CC2140" w:rsidRDefault="00CC2140" w:rsidP="006B6DD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97E25"/>
    <w:multiLevelType w:val="hybridMultilevel"/>
    <w:tmpl w:val="6ABA0338"/>
    <w:lvl w:ilvl="0" w:tplc="D7E4C488">
      <w:start w:val="1"/>
      <w:numFmt w:val="bullet"/>
      <w:lvlText w:val="●"/>
      <w:lvlJc w:val="left"/>
      <w:pPr>
        <w:ind w:left="720" w:hanging="360"/>
      </w:pPr>
    </w:lvl>
    <w:lvl w:ilvl="1" w:tplc="29FE6D36">
      <w:start w:val="1"/>
      <w:numFmt w:val="bullet"/>
      <w:lvlText w:val="○"/>
      <w:lvlJc w:val="left"/>
      <w:pPr>
        <w:ind w:left="1440" w:hanging="360"/>
      </w:pPr>
    </w:lvl>
    <w:lvl w:ilvl="2" w:tplc="425AD062">
      <w:start w:val="1"/>
      <w:numFmt w:val="bullet"/>
      <w:lvlText w:val="■"/>
      <w:lvlJc w:val="left"/>
      <w:pPr>
        <w:ind w:left="2160" w:hanging="360"/>
      </w:pPr>
    </w:lvl>
    <w:lvl w:ilvl="3" w:tplc="F1749BCA">
      <w:start w:val="1"/>
      <w:numFmt w:val="bullet"/>
      <w:lvlText w:val="●"/>
      <w:lvlJc w:val="left"/>
      <w:pPr>
        <w:ind w:left="2880" w:hanging="360"/>
      </w:pPr>
    </w:lvl>
    <w:lvl w:ilvl="4" w:tplc="11DA183A">
      <w:start w:val="1"/>
      <w:numFmt w:val="bullet"/>
      <w:lvlText w:val="○"/>
      <w:lvlJc w:val="left"/>
      <w:pPr>
        <w:ind w:left="3600" w:hanging="360"/>
      </w:pPr>
    </w:lvl>
    <w:lvl w:ilvl="5" w:tplc="E5EAE3FE">
      <w:start w:val="1"/>
      <w:numFmt w:val="bullet"/>
      <w:lvlText w:val="■"/>
      <w:lvlJc w:val="left"/>
      <w:pPr>
        <w:ind w:left="4320" w:hanging="360"/>
      </w:pPr>
    </w:lvl>
    <w:lvl w:ilvl="6" w:tplc="3428428E">
      <w:start w:val="1"/>
      <w:numFmt w:val="bullet"/>
      <w:lvlText w:val="●"/>
      <w:lvlJc w:val="left"/>
      <w:pPr>
        <w:ind w:left="5040" w:hanging="360"/>
      </w:pPr>
    </w:lvl>
    <w:lvl w:ilvl="7" w:tplc="A8928494">
      <w:start w:val="1"/>
      <w:numFmt w:val="bullet"/>
      <w:lvlText w:val="●"/>
      <w:lvlJc w:val="left"/>
      <w:pPr>
        <w:ind w:left="5760" w:hanging="360"/>
      </w:pPr>
    </w:lvl>
    <w:lvl w:ilvl="8" w:tplc="9D2888E2">
      <w:start w:val="1"/>
      <w:numFmt w:val="bullet"/>
      <w:lvlText w:val="●"/>
      <w:lvlJc w:val="left"/>
      <w:pPr>
        <w:ind w:left="6480" w:hanging="360"/>
      </w:pPr>
    </w:lvl>
  </w:abstractNum>
  <w:num w:numId="1" w16cid:durableId="780633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8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DCB"/>
    <w:rsid w:val="006B6DD8"/>
    <w:rsid w:val="00C31DA9"/>
    <w:rsid w:val="00CC2140"/>
    <w:rsid w:val="00D44DC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228A88"/>
  <w15:docId w15:val="{AB5A6D94-4BD1-4069-B999-427A0C01B6BD}"/>
</w:settings>
</file>

<file path=word/styles.xml><?xml version="1.0" encoding="utf-8"?>
<w:styles xmlns:r="http://schemas.openxmlformats.org/officeDocument/2006/relationships"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mc="http://schemas.openxmlformats.org/markup-compatibility/2006" xmlns:w="http://schemas.openxmlformats.org/wordprocessingml/2006/main" mc:Ignorable="w14 w15 w16se w16cid w16 w16cex w16sdtdh w16sdtfl w16du">
  <w:docDefaults>
    <w:rPrDefault>
      <w:rPr>
        <w:rFonts w:ascii="新細明體" w:hAnsi="新細明體" w:cs="Times New Roman" w:eastAsia="新細明體"/>
        <w:lang w:val="en-US" w:eastAsia="zh-TW" w:bidi="ar-SA"/>
        <w:sz w:val="24"/>
        <w:szCs w:val="24"/>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before="0" w:after="120" w:line="360" w:lineRule="auto"/>
    </w:pPr>
    <w:rPr>
      <w:rFonts w:ascii="新細明體" w:hAnsi="新細明體" w:eastAsia="新細明體" w:cs="Times New Roman"/>
      <w:sz w:val="24"/>
      <w:szCs w:val="24"/>
    </w:rPr>
  </w:style>
  <w:style w:type="paragraph" w:styleId="1">
    <w:name w:val="heading 1"/>
    <w:uiPriority w:val="9"/>
    <w:qFormat/>
    <w:pPr>
      <w:spacing w:before="360" w:after="200" w:line="360" w:lineRule="auto"/>
      <w:outlineLvl w:val="0"/>
    </w:pPr>
    <w:rPr>
      <w:sz w:val="32"/>
      <w:szCs w:val="32"/>
      <w:rFonts w:ascii="標楷體" w:hAnsi="標楷體" w:eastAsia="標楷體" w:cs="Times New Roman"/>
    </w:rPr>
  </w:style>
  <w:style w:type="paragraph" w:styleId="2">
    <w:name w:val="heading 2"/>
    <w:uiPriority w:val="9"/>
    <w:unhideWhenUsed/>
    <w:qFormat/>
    <w:pPr>
      <w:spacing w:before="240" w:after="120" w:line="360" w:lineRule="auto"/>
      <w:outlineLvl w:val="1"/>
    </w:pPr>
    <w:rPr>
      <w:sz w:val="28"/>
      <w:szCs w:val="28"/>
      <w:rFonts w:ascii="標楷體" w:hAnsi="標楷體" w:eastAsia="標楷體" w:cs="Times New Roman"/>
    </w:rPr>
  </w:style>
  <w:style w:type="paragraph" w:styleId="3">
    <w:name w:val="heading 3"/>
    <w:uiPriority w:val="9"/>
    <w:semiHidden/>
    <w:unhideWhenUsed/>
    <w:qFormat/>
    <w:pPr>
      <w:spacing w:before="200" w:after="100" w:line="360" w:lineRule="auto"/>
      <w:outlineLvl w:val="2"/>
    </w:pPr>
    <w:rPr>
      <w:sz w:val="26"/>
      <w:szCs w:val="26"/>
      <w:rFonts w:ascii="標楷體" w:hAnsi="標楷體" w:eastAsia="標楷體" w:cs="Times New Roman"/>
    </w:rPr>
  </w:style>
  <w:style w:type="paragraph" w:styleId="4">
    <w:name w:val="heading 4"/>
    <w:uiPriority w:val="9"/>
    <w:semiHidden/>
    <w:unhideWhenUsed/>
    <w:qFormat/>
    <w:pPr>
      <w:outlineLvl w:val="3"/>
    </w:pPr>
    <w:rPr>
      <w:i/>
      <w:iCs/>
    </w:rPr>
  </w:style>
  <w:style w:type="paragraph" w:styleId="5">
    <w:name w:val="heading 5"/>
    <w:uiPriority w:val="9"/>
    <w:semiHidden/>
    <w:unhideWhenUsed/>
    <w:qFormat/>
    <w:pPr>
      <w:outlineLvl w:val="4"/>
    </w:pPr>
    <w:rPr/>
  </w:style>
  <w:style w:type="paragraph" w:styleId="6">
    <w:name w:val="heading 6"/>
    <w:uiPriority w:val="9"/>
    <w:semiHidden/>
    <w:unhideWhenUsed/>
    <w:qFormat/>
    <w:pPr>
      <w:outlineLvl w:val="5"/>
    </w:pPr>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rPr/>
  </w:style>
  <w:style w:type="character" w:styleId="a5">
    <w:name w:val="Hyperlink"/>
    <w:uiPriority w:val="99"/>
    <w:unhideWhenUsed/>
    <w:rPr>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章節附註文字 字元"/>
    <w:link w:val="aa"/>
    <w:uiPriority w:val="99"/>
    <w:semiHidden/>
    <w:unhideWhenUsed/>
    <w:rPr>
      <w:sz w:val="20"/>
      <w:szCs w:val="20"/>
    </w:rPr>
  </w:style>
  <w:style w:type="paragraph" w:styleId="ac">
    <w:name w:val="header"/>
    <w:basedOn w:val="a"/>
    <w:link w:val="ad"/>
    <w:uiPriority w:val="99"/>
    <w:unhideWhenUsed/>
    <w:rsid w:val="006B6DD8"/>
    <w:pPr>
      <w:tabs>
        <w:tab w:val="center" w:pos="4153"/>
        <w:tab w:val="right" w:pos="8306"/>
      </w:tabs>
      <w:snapToGrid w:val="0"/>
    </w:pPr>
  </w:style>
  <w:style w:type="character" w:customStyle="1" w:styleId="ad">
    <w:name w:val="頁首 字元"/>
    <w:basedOn w:val="a0"/>
    <w:link w:val="ac"/>
    <w:uiPriority w:val="99"/>
    <w:rsid w:val="006B6DD8"/>
  </w:style>
  <w:style w:type="paragraph" w:styleId="ae">
    <w:name w:val="footer"/>
    <w:basedOn w:val="a"/>
    <w:link w:val="af"/>
    <w:uiPriority w:val="99"/>
    <w:unhideWhenUsed/>
    <w:rsid w:val="006B6DD8"/>
    <w:pPr>
      <w:tabs>
        <w:tab w:val="center" w:pos="4153"/>
        <w:tab w:val="right" w:pos="8306"/>
      </w:tabs>
      <w:snapToGrid w:val="0"/>
    </w:pPr>
  </w:style>
  <w:style w:type="character" w:customStyle="1" w:styleId="af">
    <w:name w:val="頁尾 字元"/>
    <w:basedOn w:val="a0"/>
    <w:link w:val="ae"/>
    <w:uiPriority w:val="99"/>
    <w:rsid w:val="006B6D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14</Pages>
  <Words>2561</Words>
  <Characters>14599</Characters>
  <Application>Microsoft Office Word</Application>
  <DocSecurity>0</DocSecurity>
  <Lines>121</Lines>
  <Paragraphs>34</Paragraphs>
  <ScaleCrop>false</ScaleCrop>
  <Company/>
  <LinksUpToDate>false</LinksUpToDate>
  <CharactersWithSpaces>17126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ryan Liu</cp:lastModifiedBy>
  <cp:revision>2</cp:revision>
  <dcterms:created xsi:type="dcterms:W3CDTF">2026-08-21T18:50:00Z</dcterms:created>
  <dcterms:modified xsi:type="dcterms:W3CDTF">2026-08-23T04:06:00Z</dcterms:modified>
</cp:coreProperties>
</file>