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28A88" w14:textId="77777777" w:rsidR="00D44DCB" w:rsidRDefault="00000000">
      <w:pPr>
        <w:spacing w:after="200" w:line="360" w:lineRule="auto"/>
        <w:jc w:val="center"/>
      </w:pPr>
      <w:r>
        <w:rPr>
          <w:rFonts w:ascii="標楷體" w:eastAsia="標楷體" w:hAnsi="標楷體" w:cs="標楷體"/>
          <w:b/>
          <w:bCs/>
          <w:sz w:val="32"/>
          <w:szCs w:val="32"/>
        </w:rPr>
        <w:t>二、作品動機（Why）</w:t>
      </w:r>
    </w:p>
    <w:p w14:paraId="5D228A89" w14:textId="77777777" w:rsidR="00D44DCB" w:rsidRDefault="00000000">
      <w:pPr>
        <w:pStyle w:val="2"/>
        <w:spacing w:before="240" w:after="160" w:line="360" w:lineRule="auto"/>
      </w:pPr>
      <w:r>
        <w:rPr>
          <w:rFonts w:ascii="標楷體" w:eastAsia="標楷體" w:hAnsi="標楷體" w:cs="標楷體"/>
          <w:b/>
          <w:bCs/>
        </w:rPr>
        <w:t>（一）背景</w:t>
      </w:r>
    </w:p>
    <w:p w14:paraId="5D228A8A" w14:textId="77777777" w:rsidR="00D44DCB" w:rsidRDefault="00000000">
      <w:pPr>
        <w:spacing w:after="120" w:line="360" w:lineRule="auto"/>
        <w:ind w:firstLine="480"/>
        <w:jc w:val="both"/>
      </w:pPr>
      <w:r>
        <w:rPr>
          <w:rFonts w:ascii="Times New Roman" w:eastAsia="新細明體" w:hAnsi="Times New Roman" w:cs="Times New Roman"/>
          <w:sz w:val="24"/>
          <w:szCs w:val="24"/>
        </w:rPr>
        <w:t xml:space="preserve">世界衛生組織建議成人每週應累積 150 至 300 分鐘中等強度有氧活動，並每週至少兩天從事肌力訓練（World Health Organization, 2020），然而 2022 年全球仍有 31.3% 的成人未達建議量，且推估 2030 年將升至約 35%（Strain et al., 2024）。疫情期間居家健身房與線上訓練一度躍居趨勢前段，隨後隨防疫措施鬆綁而明顯回落——以美國為例，居家健身房自 2022 年的第 2 名降至 2023 年的第 13 名，線上直播與隨選運動由第 7 名降至第 21 名，行動運動應用程式由第 12 名降至第 19 名，該調查並指出線上導向趨勢與數位服務在歐洲與美國同步下滑（Kercher et al., 2023）。這正說明居家運動短缺的並非內容或器材，而是隨之而來的專業指導——國內研究亦指出，大學體育課的健身課程通常由一名教師帶領多名學生，逐一給予即時而個別化的回饋在現場難以落實（林暐庭等人，2025）。同一時期，姿勢估計技術已可在一般裝置端即時輸出 33 個全身關鍵點（Bazarevsky et al., 2020; Lugaresi et al., 2019），並經多項研究驗證可用於健身姿勢矯正與訓練進度規劃（Dedhia et al., 2023; Kwon &amp; Kim, 2022）。本作品即建立在此一「需求擴大、指導稀缺、技術已成熟」的落差之上，並直接對應聯合國永續發展目標第三項「良好健康與福祉」（United Nations Department of Economic and Social Affairs, n.d.）。</w:t>
      </w:r>
    </w:p>
    <w:p w14:paraId="5D228A8B" w14:textId="77777777" w:rsidR="00D44DCB" w:rsidRDefault="00000000">
      <w:pPr>
        <w:pStyle w:val="2"/>
        <w:spacing w:before="240" w:after="160" w:line="360" w:lineRule="auto"/>
      </w:pPr>
      <w:r>
        <w:rPr>
          <w:rFonts w:ascii="標楷體" w:eastAsia="標楷體" w:hAnsi="標楷體" w:cs="標楷體"/>
          <w:b/>
          <w:bCs/>
        </w:rPr>
        <w:t>（二）痛點</w:t>
      </w:r>
    </w:p>
    <w:p w14:paraId="5D228A8C" w14:textId="77777777" w:rsidR="00D44DCB" w:rsidRDefault="00000000">
      <w:pPr>
        <w:spacing w:after="120" w:line="360" w:lineRule="auto"/>
        <w:ind w:firstLine="480"/>
        <w:jc w:val="both"/>
      </w:pPr>
      <w:r>
        <w:rPr>
          <w:rFonts w:ascii="Times New Roman" w:eastAsia="新細明體" w:hAnsi="Times New Roman" w:cs="Times New Roman"/>
          <w:sz w:val="24"/>
          <w:szCs w:val="24"/>
        </w:rPr>
        <w:t xml:space="preserve">第一，居家運動不缺內容，缺的是當下把關。使用者真正需要的是訓練過程中可立即執行的修正建議，而非事後統計（Jaiswal et al., 2023）。第二，現有應用程式多半只計次、不判品質：排名前列之身體活動類應用程式所納入的行為改變技術數量偏少且集中於少數幾類（Conroy et al., 2014; Direito et al., 2014）。第三，錯誤動作會在無人糾正下累積成傷害——美國 1990 至 2007 年間重量訓練相關急診就診累計達 970,801 件且逐年上升（Kerr et al., 2010），而軀幹前傾、膝內夾與深度不足等技術缺陷已被明確列為需辨識與矯正的項目（Myer et al., 2014）。第四，動機難以維持：無監督情境下健身中心會員流失率極高且集中於參與初期（Sperandei et al., 2016），而行為自動化所需時間中位數約為 66 天（Lally et al., 2010）；使用者最容易放棄的階段，正好落在習慣</w:t>
        <w:lastRenderedPageBreak/>
        <w:t>尚未成形的階段。</w:t>
      </w:r>
    </w:p>
    <w:p w14:paraId="5D228A8D" w14:textId="77777777" w:rsidR="00D44DCB" w:rsidRDefault="00000000">
      <w:pPr>
        <w:pStyle w:val="2"/>
        <w:spacing w:before="240" w:after="160" w:line="360" w:lineRule="auto"/>
      </w:pPr>
      <w:r>
        <w:rPr>
          <w:rFonts w:ascii="標楷體" w:eastAsia="標楷體" w:hAnsi="標楷體" w:cs="標楷體"/>
          <w:b/>
          <w:bCs/>
        </w:rPr>
        <w:t>（三）解決的問題方式</w:t>
      </w:r>
    </w:p>
    <w:p w14:paraId="5D228A8E" w14:textId="77777777" w:rsidR="00D44DCB" w:rsidRDefault="00000000">
      <w:pPr>
        <w:spacing w:after="120" w:line="360" w:lineRule="auto"/>
        <w:ind w:firstLine="480"/>
        <w:jc w:val="both"/>
      </w:pPr>
      <w:r>
        <w:rPr>
          <w:rFonts w:ascii="Times New Roman" w:eastAsia="新細明體" w:hAnsi="Times New Roman" w:cs="Times New Roman"/>
          <w:sz w:val="24"/>
          <w:szCs w:val="24"/>
        </w:rPr>
        <w:t xml:space="preserve">本作品的核心主張是「不是計次，而是品質確認」：一次有效次數須同時滿足完整動作週期、標準深度與無顯著代償，且唯有有效次數能換取遊戲資源。系統以裝置端 33 點姿勢感知取得動作資料，原始影像全程不離開裝置（Bazarevsky et al., 2020）；關鍵點經向量化後以反正切函數計算關節夾角（Agrawal et al., 2020），再交由本團隊自行設計的規則式幾何有限狀態機判定。相較於僅能輸出通過與否的黑盒分類，規則引擎能明確指出「讓髖部低於膝蓋」這類具體修正方向，直接回應使用者對可執行建議的需求（Jaiswal et al., 2023）。達標條件援引運動領域既有標準，深蹲以大腿約與地面平行之平行蹲（parallel squat）作為深度依據——該深度經實證不致傷害健康膝關節，且相較於全蹲可降低半月板與十字韌帶、側副韌帶的受傷風險（Escamilla, 2001）；深蹲各關節之運動學與動力學變化則參照 Schoenfeld（2010）；判定門檻以人體比例而非絕對像素表示，使不同身形與鏡頭距離得到一致判定（本作品自行設計之判定規則，非引自文獻）。訊號層以 One-Euro Filter 抑制抖動並保留快速動作的峰值（Casiez et al., 2012），並以關鍵點可見度信心值設置取景閘門，畫面不可信時先提示調整再凍結判定（Bazarevsky et al., 2020）。回饋則以分段三色骨架與三級語音，落實行為改變技術中實證支持最強的「自我監控」與「行為回饋」——涵蓋 122 項評估的 meta 迴歸顯示，自我監控可解釋研究間最大比例的效果異質性，且與其他源自控制理論的技術併用時效果顯著較高（0.42 對 0.26）（Michie et al., 2009），熱量估算採代謝當量標準值（Ainsworth et al., 2011）；判定正確性另以公開真人資料集 UI-PRMD 進行外部驗證（Vakanski et al., 2018）。</w:t>
      </w:r>
    </w:p>
    <w:p w14:paraId="5D228A8F" w14:textId="77777777" w:rsidR="00D44DCB" w:rsidRDefault="00000000">
      <w:pPr>
        <w:pStyle w:val="2"/>
        <w:spacing w:before="240" w:after="160" w:line="360" w:lineRule="auto"/>
      </w:pPr>
      <w:r>
        <w:rPr>
          <w:rFonts w:ascii="標楷體" w:eastAsia="標楷體" w:hAnsi="標楷體" w:cs="標楷體"/>
          <w:b/>
          <w:bCs/>
        </w:rPr>
        <w:t>（四）特色點</w:t>
      </w:r>
    </w:p>
    <w:p w14:paraId="5D228A90" w14:textId="77777777" w:rsidR="00D44DCB" w:rsidRDefault="00000000">
      <w:pPr>
        <w:spacing w:after="120" w:line="360" w:lineRule="auto"/>
        <w:ind w:firstLine="480"/>
        <w:jc w:val="both"/>
      </w:pPr>
      <w:r>
        <w:rPr>
          <w:rFonts w:ascii="Times New Roman" w:eastAsia="新細明體" w:hAnsi="Times New Roman" w:cs="Times New Roman"/>
          <w:sz w:val="24"/>
          <w:szCs w:val="24"/>
        </w:rPr>
        <w:t>第一，獎勵綁定品質而非數量：基礎獎勵由有效次數產生、加成依姿勢達標率給予，錯誤次數不換取任何獎勵，使遊戲誘因與「把動作做對」完全同向，呼應目標設定理論中具體目標優於「盡力而為」的結論（Locke &amp; Latham, 2002）。第二，島嶼建設把抽象數據轉為可見的成長軌跡：使用者是自己島嶼的建築師，訓練成果轉換為可累積、可自由規劃的建設進度，藉此滿足自我決定理論所指的勝任感與自主性（Ryan &amp; Deci, 2000），此類進度視覺化與成就機制對健康行為參與的正面效果亦有系統性回</w:t>
        <w:lastRenderedPageBreak/>
        <w:t xml:space="preserve">顧支持（Johnson et al., 2016）。第三，金幣採兩層經濟——先於商店選購建材，再進行建造與升級——使「蓋起一棟房子」成為需要規劃與累積的具體目標，而非一次點擊即完成的消費（Locke &amp; Latham, 2002）。第四，連續訓練天數獎勵密集配置於前期，正對準習慣尚未成形而流失率最高的關鍵期（Lally et al., 2010; Sperandei et al., 2016）。第五，設每日任務、週目標與獎勵上限，避免使用者為刷金幣而過度運動，使訓練量維持在世界衛生組織建議的區間內（World Health Organization, 2020）；因為遊戲化的成效取決於機制是否與健康目標對齊，而非加上點數即必然有效（Hamari et al., 2014; Sardi et al., 2017）。第六，金幣僅由伺服器端單一閘門依有效次數寫入，使獎勵無法以偽造動作換取。獎勵一旦與運動資料綁定，使用者便存在造假誘因：實驗顯示受試者可刻意誘導手機活動辨識器將靜坐判定為行走，僅以正常活動資料訓練的分類器對此類造假僅約 38% 的辨識率，需納入造假樣本重新訓練後方提升至約 84%（Saeb et al., 2015）；在以點數或獎勵驅動的遠距健康監測系統中，防止使用者以搖晃裝置或請他人代持等方式虛增獎勵，已被視為必須處理的設計課題（Alshurafa et al., 2014）。</w:t>
      </w:r>
    </w:p>
    <w:p w14:paraId="5D228A91" w14:textId="77777777" w:rsidR="00D44DCB" w:rsidRDefault="00D44DCB"/>
    <w:p w14:paraId="5D228A92" w14:textId="77777777" w:rsidR="00D44DCB" w:rsidRDefault="00000000">
      <w:pPr>
        <w:spacing w:after="120" w:line="360" w:lineRule="auto"/>
        <w:jc w:val="both"/>
      </w:pPr>
      <w:r>
        <w:rPr>
          <w:rFonts w:ascii="Times New Roman" w:eastAsia="新細明體" w:hAnsi="Times New Roman" w:cs="Times New Roman"/>
          <w:b/>
          <w:bCs/>
          <w:sz w:val="22"/>
          <w:szCs w:val="22"/>
        </w:rPr>
        <w:t>本章引用文獻（APA 第 7 版，請併入第十章「參考文獻」，不計入本章頁數）</w:t>
      </w:r>
    </w:p>
    <w:p w14:paraId="5D228A93" w14:textId="77777777" w:rsidR="00D44DCB" w:rsidRDefault="00000000">
      <w:pPr>
        <w:spacing w:after="80" w:line="360" w:lineRule="auto"/>
        <w:ind w:left="720" w:hanging="720"/>
        <w:jc w:val="both"/>
      </w:pPr>
      <w:r>
        <w:rPr>
          <w:rFonts w:ascii="Times New Roman" w:eastAsia="新細明體" w:hAnsi="Times New Roman" w:cs="Times New Roman"/>
        </w:rPr>
        <w:t>林暐庭、楊捷閔、徐誠佑、鄭磬蔚、姜建均、林威成（2025）。AI 影像辨識技術應用於健身課程。</w:t>
      </w:r>
      <w:r>
        <w:rPr>
          <w:rFonts w:ascii="Times New Roman" w:eastAsia="新細明體" w:hAnsi="Times New Roman" w:cs="Times New Roman"/>
          <w:i/>
          <w:iCs/>
        </w:rPr>
        <w:t>學校體育，207</w:t>
      </w:r>
      <w:r>
        <w:rPr>
          <w:rFonts w:ascii="Times New Roman" w:eastAsia="新細明體" w:hAnsi="Times New Roman" w:cs="Times New Roman"/>
        </w:rPr>
        <w:t>，49–63。</w:t>
      </w:r>
    </w:p>
    <w:p w14:paraId="5D228A94" w14:textId="77777777" w:rsidR="00D44DCB" w:rsidRDefault="00000000">
      <w:pPr>
        <w:spacing w:after="80" w:line="360" w:lineRule="auto"/>
        <w:ind w:left="720" w:hanging="720"/>
        <w:jc w:val="both"/>
      </w:pPr>
      <w:r>
        <w:rPr>
          <w:rFonts w:ascii="Times New Roman" w:eastAsia="新細明體" w:hAnsi="Times New Roman" w:cs="Times New Roman"/>
        </w:rPr>
        <w:t xml:space="preserve">Agrawal, Y., Shah, Y., &amp; Sharma, A. (2020). Implementation of machine learning technique for identification of yoga poses. In </w:t>
      </w:r>
      <w:r>
        <w:rPr>
          <w:rFonts w:ascii="Times New Roman" w:eastAsia="新細明體" w:hAnsi="Times New Roman" w:cs="Times New Roman"/>
          <w:i/>
          <w:iCs/>
        </w:rPr>
        <w:t>2020 IEEE 9th International Conference on Communication Systems and Network Technologies (CSNT)</w:t>
      </w:r>
      <w:r>
        <w:rPr>
          <w:rFonts w:ascii="Times New Roman" w:eastAsia="新細明體" w:hAnsi="Times New Roman" w:cs="Times New Roman"/>
        </w:rPr>
        <w:t xml:space="preserve"> (pp. 40–43). IEEE. https://doi.org/10.1109/CSNT48778.2020.9115758</w:t>
      </w:r>
    </w:p>
    <w:p w14:paraId="5D228A95" w14:textId="77777777" w:rsidR="00D44DCB" w:rsidRDefault="00000000">
      <w:pPr>
        <w:spacing w:after="80" w:line="360" w:lineRule="auto"/>
        <w:ind w:left="720" w:hanging="720"/>
        <w:jc w:val="both"/>
      </w:pPr>
      <w:r>
        <w:rPr>
          <w:rFonts w:ascii="Times New Roman" w:eastAsia="新細明體" w:hAnsi="Times New Roman" w:cs="Times New Roman"/>
        </w:rPr>
        <w:t xml:space="preserve">Ainsworth, B. E., Haskell, W. L., Herrmann, S. D., Meckes, N., Bassett, D. R., Jr., Tudor-Locke, C., Greer, J. L., Vezina, J., Whitt-Glover, M. C., &amp; Leon, A. S. (2011). 2011 Compendium of Physical Activities: A second update of codes and MET values. </w:t>
      </w:r>
      <w:r>
        <w:rPr>
          <w:rFonts w:ascii="Times New Roman" w:eastAsia="新細明體" w:hAnsi="Times New Roman" w:cs="Times New Roman"/>
          <w:i/>
          <w:iCs/>
        </w:rPr>
        <w:t>Medicine &amp; Science in Sports &amp; Exercise, 43</w:t>
      </w:r>
      <w:r>
        <w:rPr>
          <w:rFonts w:ascii="Times New Roman" w:eastAsia="新細明體" w:hAnsi="Times New Roman" w:cs="Times New Roman"/>
        </w:rPr>
        <w:t>(8), 1575–1581. https://doi.org/10.1249/MSS.0b013e31821ece12</w:t>
      </w:r>
    </w:p>
    <w:p w14:paraId="5D228A96" w14:textId="77777777" w:rsidR="00D44DCB" w:rsidRDefault="00000000">
      <w:pPr>
        <w:spacing w:after="80" w:line="360" w:lineRule="auto"/>
        <w:ind w:left="720" w:hanging="720"/>
        <w:jc w:val="both"/>
      </w:pPr>
      <w:r>
        <w:rPr>
          <w:rFonts w:ascii="Times New Roman" w:eastAsia="新細明體" w:hAnsi="Times New Roman" w:cs="Times New Roman"/>
        </w:rPr>
        <w:t xml:space="preserve">Alshurafa, N., Eastwood, J.-A., Pourhomayoun, M., Nyamathi, S., Bao, L., Mortazavi, B., &amp; Sarrafzadeh, M. (2014). Anti-cheating: Detecting self-inflicted and impersonator cheaters for remote health monitoring systems with wearable sensors. In </w:t>
      </w:r>
      <w:r>
        <w:rPr>
          <w:rFonts w:ascii="Times New Roman" w:eastAsia="新細明體" w:hAnsi="Times New Roman" w:cs="Times New Roman"/>
          <w:i/>
          <w:iCs/>
        </w:rPr>
        <w:t>2014 11th International Conference on Wearable and Implantable Body Sensor Networks</w:t>
      </w:r>
      <w:r>
        <w:rPr>
          <w:rFonts w:ascii="Times New Roman" w:eastAsia="新細明體" w:hAnsi="Times New Roman" w:cs="Times New Roman"/>
        </w:rPr>
        <w:t xml:space="preserve"> (pp. 92–97). IEEE. https://doi.org/10.1109/BSN.2014.38</w:t>
      </w:r>
    </w:p>
    <w:p w14:paraId="5D228A97" w14:textId="77777777" w:rsidR="00D44DCB" w:rsidRDefault="00000000">
      <w:pPr>
        <w:spacing w:after="80" w:line="360" w:lineRule="auto"/>
        <w:ind w:left="720" w:hanging="720"/>
        <w:jc w:val="both"/>
      </w:pPr>
      <w:r>
        <w:rPr>
          <w:rFonts w:ascii="Times New Roman" w:eastAsia="新細明體" w:hAnsi="Times New Roman" w:cs="Times New Roman"/>
        </w:rPr>
        <w:t xml:space="preserve">Bazarevsky, V., Grishchenko, I., Raveendran, K., Zhu, T., Zhang, F., &amp; Grundmann, M. (2020). </w:t>
      </w:r>
      <w:r>
        <w:rPr>
          <w:rFonts w:ascii="Times New Roman" w:eastAsia="新細明體" w:hAnsi="Times New Roman" w:cs="Times New Roman"/>
          <w:i/>
          <w:iCs/>
        </w:rPr>
        <w:t>BlazePose: On-device real-time body pose tracking</w:t>
      </w:r>
      <w:r>
        <w:rPr>
          <w:rFonts w:ascii="Times New Roman" w:eastAsia="新細明體" w:hAnsi="Times New Roman" w:cs="Times New Roman"/>
        </w:rPr>
        <w:t xml:space="preserve"> (arXiv:2006.10204). arXiv. https://doi.org/10.48550/arXiv.2006.10204</w:t>
      </w:r>
    </w:p>
    <w:p w14:paraId="5D228A98" w14:textId="77777777" w:rsidR="00D44DCB" w:rsidRDefault="00000000">
      <w:pPr>
        <w:spacing w:after="80" w:line="360" w:lineRule="auto"/>
        <w:ind w:left="720" w:hanging="720"/>
        <w:jc w:val="both"/>
      </w:pPr>
      <w:r>
        <w:rPr>
          <w:rFonts w:ascii="Times New Roman" w:eastAsia="新細明體" w:hAnsi="Times New Roman" w:cs="Times New Roman"/>
        </w:rPr>
        <w:t xml:space="preserve">Casiez, G., Roussel, N., &amp; Vogel, D. (2012). 1 € filter: A simple speed-based low-pass filter for noisy input in interactive systems. In </w:t>
      </w:r>
      <w:r>
        <w:rPr>
          <w:rFonts w:ascii="Times New Roman" w:eastAsia="新細明體" w:hAnsi="Times New Roman" w:cs="Times New Roman"/>
          <w:i/>
          <w:iCs/>
        </w:rPr>
        <w:t>Proceedings of the SIGCHI Conference on Human Factors in Computing Systems</w:t>
      </w:r>
      <w:r>
        <w:rPr>
          <w:rFonts w:ascii="Times New Roman" w:eastAsia="新細明體" w:hAnsi="Times New Roman" w:cs="Times New Roman"/>
        </w:rPr>
        <w:t xml:space="preserve"> (pp. </w:t>
        <w:lastRenderedPageBreak/>
        <w:t>2527–2530). Association for Computing Machinery. https://doi.org/10.1145/2207676.2208639</w:t>
      </w:r>
    </w:p>
    <w:p w14:paraId="5D228A99" w14:textId="77777777" w:rsidR="00D44DCB" w:rsidRDefault="00000000">
      <w:pPr>
        <w:spacing w:after="80" w:line="360" w:lineRule="auto"/>
        <w:ind w:left="720" w:hanging="720"/>
        <w:jc w:val="both"/>
      </w:pPr>
      <w:r>
        <w:rPr>
          <w:rFonts w:ascii="Times New Roman" w:eastAsia="新細明體" w:hAnsi="Times New Roman" w:cs="Times New Roman"/>
        </w:rPr>
        <w:t xml:space="preserve">Conroy, D. E., Yang, C.-H., &amp; Maher, J. P. (2014). Behavior change techniques in top-ranked mobile apps for physical activity. </w:t>
      </w:r>
      <w:r>
        <w:rPr>
          <w:rFonts w:ascii="Times New Roman" w:eastAsia="新細明體" w:hAnsi="Times New Roman" w:cs="Times New Roman"/>
          <w:i/>
          <w:iCs/>
        </w:rPr>
        <w:t>American Journal of Preventive Medicine, 46</w:t>
      </w:r>
      <w:r>
        <w:rPr>
          <w:rFonts w:ascii="Times New Roman" w:eastAsia="新細明體" w:hAnsi="Times New Roman" w:cs="Times New Roman"/>
        </w:rPr>
        <w:t>(6), 649–652. https://doi.org/10.1016/j.amepre.2014.01.010</w:t>
      </w:r>
    </w:p>
    <w:p w14:paraId="5D228A9A" w14:textId="77777777" w:rsidR="00D44DCB" w:rsidRDefault="00000000">
      <w:pPr>
        <w:spacing w:after="80" w:line="360" w:lineRule="auto"/>
        <w:ind w:left="720" w:hanging="720"/>
        <w:jc w:val="both"/>
      </w:pPr>
      <w:r>
        <w:rPr>
          <w:rFonts w:ascii="Times New Roman" w:eastAsia="新細明體" w:hAnsi="Times New Roman" w:cs="Times New Roman"/>
        </w:rPr>
        <w:t xml:space="preserve">Dedhia, U., Bhoir, P., Ranka, P., &amp; Kanani, P. (2023). Pose estimation and virtual gym assistant using MediaPipe and machine learning. In </w:t>
      </w:r>
      <w:r>
        <w:rPr>
          <w:rFonts w:ascii="Times New Roman" w:eastAsia="新細明體" w:hAnsi="Times New Roman" w:cs="Times New Roman"/>
          <w:i/>
          <w:iCs/>
        </w:rPr>
        <w:t>2023 International Conference on Network, Multimedia and Information Technology (NMITCON)</w:t>
      </w:r>
      <w:r>
        <w:rPr>
          <w:rFonts w:ascii="Times New Roman" w:eastAsia="新細明體" w:hAnsi="Times New Roman" w:cs="Times New Roman"/>
        </w:rPr>
        <w:t xml:space="preserve"> (pp. 1–7). IEEE. https://doi.org/10.1109/NMITCON58196.2023.10275938</w:t>
      </w:r>
    </w:p>
    <w:p w14:paraId="5D228A9B" w14:textId="77777777" w:rsidR="00D44DCB" w:rsidRDefault="00000000">
      <w:pPr>
        <w:spacing w:after="80" w:line="360" w:lineRule="auto"/>
        <w:ind w:left="720" w:hanging="720"/>
        <w:jc w:val="both"/>
      </w:pPr>
      <w:r>
        <w:rPr>
          <w:rFonts w:ascii="Times New Roman" w:eastAsia="新細明體" w:hAnsi="Times New Roman" w:cs="Times New Roman"/>
        </w:rPr>
        <w:t xml:space="preserve">Direito, A., Pfaeffli Dale, L., Shields, E., Dobson, R., Whittaker, R., &amp; Maddison, R. (2014). Do physical activity and dietary smartphone applications incorporate evidence-based behaviour change techniques? </w:t>
      </w:r>
      <w:r>
        <w:rPr>
          <w:rFonts w:ascii="Times New Roman" w:eastAsia="新細明體" w:hAnsi="Times New Roman" w:cs="Times New Roman"/>
          <w:i/>
          <w:iCs/>
        </w:rPr>
        <w:t>BMC Public Health, 14</w:t>
      </w:r>
      <w:r>
        <w:rPr>
          <w:rFonts w:ascii="Times New Roman" w:eastAsia="新細明體" w:hAnsi="Times New Roman" w:cs="Times New Roman"/>
        </w:rPr>
        <w:t>, Article 646. https://doi.org/10.1186/1471-2458-14-646</w:t>
      </w:r>
    </w:p>
    <w:p w14:paraId="5D228A9C" w14:textId="77777777" w:rsidR="00D44DCB" w:rsidRDefault="00000000">
      <w:pPr>
        <w:spacing w:after="80" w:line="360" w:lineRule="auto"/>
        <w:ind w:left="720" w:hanging="720"/>
        <w:jc w:val="both"/>
      </w:pPr>
      <w:r>
        <w:rPr>
          <w:rFonts w:ascii="Times New Roman" w:eastAsia="新細明體" w:hAnsi="Times New Roman" w:cs="Times New Roman"/>
        </w:rPr>
        <w:t xml:space="preserve">Escamilla, R. F. (2001). Knee biomechanics of the dynamic squat exercise. </w:t>
      </w:r>
      <w:r>
        <w:rPr>
          <w:rFonts w:ascii="Times New Roman" w:eastAsia="新細明體" w:hAnsi="Times New Roman" w:cs="Times New Roman"/>
          <w:i/>
          <w:iCs/>
        </w:rPr>
        <w:t>Medicine &amp; Science in Sports &amp; Exercise, 33</w:t>
      </w:r>
      <w:r>
        <w:rPr>
          <w:rFonts w:ascii="Times New Roman" w:eastAsia="新細明體" w:hAnsi="Times New Roman" w:cs="Times New Roman"/>
        </w:rPr>
        <w:t>(1), 127–141. https://doi.org/10.1097/00005768-200101000-00020</w:t>
      </w:r>
    </w:p>
    <w:p w14:paraId="5D228A9D" w14:textId="77777777" w:rsidR="00D44DCB" w:rsidRDefault="00000000">
      <w:pPr>
        <w:spacing w:after="80" w:line="360" w:lineRule="auto"/>
        <w:ind w:left="720" w:hanging="720"/>
        <w:jc w:val="both"/>
      </w:pPr>
      <w:r>
        <w:rPr>
          <w:rFonts w:ascii="Times New Roman" w:eastAsia="新細明體" w:hAnsi="Times New Roman" w:cs="Times New Roman"/>
        </w:rPr>
        <w:t xml:space="preserve">Hamari, J., Koivisto, J., &amp; Sarsa, H. (2014). Does gamification work? — A literature review of empirical studies on gamification. In </w:t>
      </w:r>
      <w:r>
        <w:rPr>
          <w:rFonts w:ascii="Times New Roman" w:eastAsia="新細明體" w:hAnsi="Times New Roman" w:cs="Times New Roman"/>
          <w:i/>
          <w:iCs/>
        </w:rPr>
        <w:t>2014 47th Hawaii International Conference on System Sciences</w:t>
      </w:r>
      <w:r>
        <w:rPr>
          <w:rFonts w:ascii="Times New Roman" w:eastAsia="新細明體" w:hAnsi="Times New Roman" w:cs="Times New Roman"/>
        </w:rPr>
        <w:t xml:space="preserve"> (pp. 3025–3034). IEEE. https://doi.org/10.1109/HICSS.2014.377</w:t>
      </w:r>
    </w:p>
    <w:p w14:paraId="5D228A9E" w14:textId="77777777" w:rsidR="00D44DCB" w:rsidRDefault="00000000">
      <w:pPr>
        <w:spacing w:after="80" w:line="360" w:lineRule="auto"/>
        <w:ind w:left="720" w:hanging="720"/>
        <w:jc w:val="both"/>
      </w:pPr>
      <w:r>
        <w:rPr>
          <w:rFonts w:ascii="Times New Roman" w:eastAsia="新細明體" w:hAnsi="Times New Roman" w:cs="Times New Roman"/>
        </w:rPr>
        <w:t xml:space="preserve">Jaiswal, A., Chauhan, G., &amp; Srivastava, N. (2023). Using learnable physics for real-time exercise form recommendations. In </w:t>
      </w:r>
      <w:r>
        <w:rPr>
          <w:rFonts w:ascii="Times New Roman" w:eastAsia="新細明體" w:hAnsi="Times New Roman" w:cs="Times New Roman"/>
          <w:i/>
          <w:iCs/>
        </w:rPr>
        <w:t>Proceedings of the 17th ACM Conference on Recommender Systems</w:t>
      </w:r>
      <w:r>
        <w:rPr>
          <w:rFonts w:ascii="Times New Roman" w:eastAsia="新細明體" w:hAnsi="Times New Roman" w:cs="Times New Roman"/>
        </w:rPr>
        <w:t xml:space="preserve"> (pp. 688–695). Association for Computing Machinery. https://doi.org/10.1145/3604915.3608816</w:t>
      </w:r>
    </w:p>
    <w:p w14:paraId="5D228A9F" w14:textId="77777777" w:rsidR="00D44DCB" w:rsidRDefault="00000000">
      <w:pPr>
        <w:spacing w:after="80" w:line="360" w:lineRule="auto"/>
        <w:ind w:left="720" w:hanging="720"/>
        <w:jc w:val="both"/>
      </w:pPr>
      <w:r>
        <w:rPr>
          <w:rFonts w:ascii="Times New Roman" w:eastAsia="新細明體" w:hAnsi="Times New Roman" w:cs="Times New Roman"/>
        </w:rPr>
        <w:t xml:space="preserve">Johnson, D., Deterding, S., Kuhn, K.-A., Staneva, A., Stoyanov, S., &amp; Hides, L. (2016). Gamification for health and wellbeing: A systematic review of the literature. </w:t>
      </w:r>
      <w:r>
        <w:rPr>
          <w:rFonts w:ascii="Times New Roman" w:eastAsia="新細明體" w:hAnsi="Times New Roman" w:cs="Times New Roman"/>
          <w:i/>
          <w:iCs/>
        </w:rPr>
        <w:t>Internet Interventions, 6</w:t>
      </w:r>
      <w:r>
        <w:rPr>
          <w:rFonts w:ascii="Times New Roman" w:eastAsia="新細明體" w:hAnsi="Times New Roman" w:cs="Times New Roman"/>
        </w:rPr>
        <w:t>, 89–106. https://doi.org/10.1016/j.invent.2016.10.002</w:t>
      </w:r>
    </w:p>
    <w:p w14:paraId="5D228AA0" w14:textId="77777777" w:rsidR="00D44DCB" w:rsidRDefault="00000000">
      <w:pPr>
        <w:spacing w:after="80" w:line="360" w:lineRule="auto"/>
        <w:ind w:left="720" w:hanging="720"/>
        <w:jc w:val="both"/>
      </w:pPr>
      <w:r>
        <w:rPr>
          <w:rFonts w:ascii="Times New Roman" w:eastAsia="新細明體" w:hAnsi="Times New Roman" w:cs="Times New Roman"/>
        </w:rPr>
        <w:t xml:space="preserve">Kercher, V. M., Kercher, K., Levy, P., Bennion, T., Alexander, C., Amaral, P. C., Batrakoulis, A., Chávez, L. F. J. G., Cortés-Almanzar, P., Haro, J. L., Zavalza, A. R. P., Rodríguez, L. E. A., Franco, S., Santos-Rocha, R., Ramalho, F., Simões, V., Vieira, I., Ramos, L., Veiga, O. L., ... Romero-Caballero, A. (2023). 2023 fitness trends from around the globe. </w:t>
      </w:r>
      <w:r>
        <w:rPr>
          <w:rFonts w:ascii="Times New Roman" w:eastAsia="新細明體" w:hAnsi="Times New Roman" w:cs="Times New Roman"/>
          <w:i/>
          <w:iCs/>
        </w:rPr>
        <w:t>ACSM's Health &amp; Fitness Journal, 27</w:t>
      </w:r>
      <w:r>
        <w:rPr>
          <w:rFonts w:ascii="Times New Roman" w:eastAsia="新細明體" w:hAnsi="Times New Roman" w:cs="Times New Roman"/>
        </w:rPr>
        <w:t>(1), 19–30. https://doi.org/10.1249/FIT.0000000000000836</w:t>
      </w:r>
    </w:p>
    <w:p w14:paraId="5D228AA1" w14:textId="77777777" w:rsidR="00D44DCB" w:rsidRDefault="00000000">
      <w:pPr>
        <w:spacing w:after="80" w:line="360" w:lineRule="auto"/>
        <w:ind w:left="720" w:hanging="720"/>
        <w:jc w:val="both"/>
      </w:pPr>
      <w:r>
        <w:rPr>
          <w:rFonts w:ascii="Times New Roman" w:eastAsia="新細明體" w:hAnsi="Times New Roman" w:cs="Times New Roman"/>
        </w:rPr>
        <w:t xml:space="preserve">Kerr, Z. Y., Collins, C. L., &amp; Comstock, R. D. (2010). Epidemiology of weight training-related injuries presenting to United States emergency departments, 1990 to 2007. </w:t>
      </w:r>
      <w:r>
        <w:rPr>
          <w:rFonts w:ascii="Times New Roman" w:eastAsia="新細明體" w:hAnsi="Times New Roman" w:cs="Times New Roman"/>
          <w:i/>
          <w:iCs/>
        </w:rPr>
        <w:t>The American Journal of Sports Medicine, 38</w:t>
      </w:r>
      <w:r>
        <w:rPr>
          <w:rFonts w:ascii="Times New Roman" w:eastAsia="新細明體" w:hAnsi="Times New Roman" w:cs="Times New Roman"/>
        </w:rPr>
        <w:t>(4), 765–771. https://doi.org/10.1177/0363546509351560</w:t>
      </w:r>
    </w:p>
    <w:p w14:paraId="5D228AA2" w14:textId="77777777" w:rsidR="00D44DCB" w:rsidRDefault="00000000">
      <w:pPr>
        <w:spacing w:after="80" w:line="360" w:lineRule="auto"/>
        <w:ind w:left="720" w:hanging="720"/>
        <w:jc w:val="both"/>
      </w:pPr>
      <w:r>
        <w:rPr>
          <w:rFonts w:ascii="Times New Roman" w:eastAsia="新細明體" w:hAnsi="Times New Roman" w:cs="Times New Roman"/>
        </w:rPr>
        <w:t xml:space="preserve">Kwon, Y., &amp; Kim, D. (2022). Real-time workout posture correction using OpenCV and MediaPipe. </w:t>
      </w:r>
      <w:r>
        <w:rPr>
          <w:rFonts w:ascii="Times New Roman" w:eastAsia="新細明體" w:hAnsi="Times New Roman" w:cs="Times New Roman"/>
          <w:i/>
          <w:iCs/>
        </w:rPr>
        <w:t>The Journal of Korean Institute of Information Technology, 20</w:t>
      </w:r>
      <w:r>
        <w:rPr>
          <w:rFonts w:ascii="Times New Roman" w:eastAsia="新細明體" w:hAnsi="Times New Roman" w:cs="Times New Roman"/>
        </w:rPr>
        <w:t>(1), 199–208. https://doi.org/10.14801/jkiit.2022.20.1.199</w:t>
      </w:r>
    </w:p>
    <w:p w14:paraId="5D228AA3" w14:textId="77777777" w:rsidR="00D44DCB" w:rsidRDefault="00000000">
      <w:pPr>
        <w:spacing w:after="80" w:line="360" w:lineRule="auto"/>
        <w:ind w:left="720" w:hanging="720"/>
        <w:jc w:val="both"/>
      </w:pPr>
      <w:r>
        <w:rPr>
          <w:rFonts w:ascii="Times New Roman" w:eastAsia="新細明體" w:hAnsi="Times New Roman" w:cs="Times New Roman"/>
        </w:rPr>
        <w:t xml:space="preserve">Lally, P., van Jaarsveld, C. H. M., Potts, H. W. W., &amp; Wardle, J. (2010). How are habits formed: Modelling habit formation in the real world. </w:t>
      </w:r>
      <w:r>
        <w:rPr>
          <w:rFonts w:ascii="Times New Roman" w:eastAsia="新細明體" w:hAnsi="Times New Roman" w:cs="Times New Roman"/>
          <w:i/>
          <w:iCs/>
        </w:rPr>
        <w:t>European Journal of Social Psychology, 40</w:t>
      </w:r>
      <w:r>
        <w:rPr>
          <w:rFonts w:ascii="Times New Roman" w:eastAsia="新細明體" w:hAnsi="Times New Roman" w:cs="Times New Roman"/>
        </w:rPr>
        <w:t xml:space="preserve">(6), 998–1009. </w:t>
        <w:lastRenderedPageBreak/>
        <w:t>https://doi.org/10.1002/ejsp.674</w:t>
      </w:r>
    </w:p>
    <w:p w14:paraId="5D228AA4" w14:textId="77777777" w:rsidR="00D44DCB" w:rsidRDefault="00000000">
      <w:pPr>
        <w:spacing w:after="80" w:line="360" w:lineRule="auto"/>
        <w:ind w:left="720" w:hanging="720"/>
        <w:jc w:val="both"/>
      </w:pPr>
      <w:r>
        <w:rPr>
          <w:rFonts w:ascii="Times New Roman" w:eastAsia="新細明體" w:hAnsi="Times New Roman" w:cs="Times New Roman"/>
        </w:rPr>
        <w:t xml:space="preserve">Locke, E. A., &amp; Latham, G. P. (2002). Building a practically useful theory of goal setting and task motivation: A 35-year odyssey. </w:t>
      </w:r>
      <w:r>
        <w:rPr>
          <w:rFonts w:ascii="Times New Roman" w:eastAsia="新細明體" w:hAnsi="Times New Roman" w:cs="Times New Roman"/>
          <w:i/>
          <w:iCs/>
        </w:rPr>
        <w:t>American Psychologist, 57</w:t>
      </w:r>
      <w:r>
        <w:rPr>
          <w:rFonts w:ascii="Times New Roman" w:eastAsia="新細明體" w:hAnsi="Times New Roman" w:cs="Times New Roman"/>
        </w:rPr>
        <w:t>(9), 705–717. https://doi.org/10.1037/0003-066X.57.9.705</w:t>
      </w:r>
    </w:p>
    <w:p w14:paraId="5D228AA5" w14:textId="77777777" w:rsidR="00D44DCB" w:rsidRDefault="00000000">
      <w:pPr>
        <w:spacing w:after="80" w:line="360" w:lineRule="auto"/>
        <w:ind w:left="720" w:hanging="720"/>
        <w:jc w:val="both"/>
      </w:pPr>
      <w:r>
        <w:rPr>
          <w:rFonts w:ascii="Times New Roman" w:eastAsia="新細明體" w:hAnsi="Times New Roman" w:cs="Times New Roman"/>
        </w:rPr>
        <w:t xml:space="preserve">Lugaresi, C., Tang, J., Nash, H., McClanahan, C., Uboweja, E., Hays, M., Zhang, F., Chang, C.-L., Yong, M. G., Lee, J., Chang, W.-T., Hua, W., Georg, M., &amp; Grundmann, M. (2019). </w:t>
      </w:r>
      <w:r>
        <w:rPr>
          <w:rFonts w:ascii="Times New Roman" w:eastAsia="新細明體" w:hAnsi="Times New Roman" w:cs="Times New Roman"/>
          <w:i/>
          <w:iCs/>
        </w:rPr>
        <w:t>MediaPipe: A framework for building perception pipelines</w:t>
      </w:r>
      <w:r>
        <w:rPr>
          <w:rFonts w:ascii="Times New Roman" w:eastAsia="新細明體" w:hAnsi="Times New Roman" w:cs="Times New Roman"/>
        </w:rPr>
        <w:t xml:space="preserve"> (arXiv:1906.08172). arXiv. https://doi.org/10.48550/arXiv.1906.08172</w:t>
      </w:r>
    </w:p>
    <w:p w14:paraId="5D228AA6" w14:textId="77777777" w:rsidR="00D44DCB" w:rsidRDefault="00000000">
      <w:pPr>
        <w:spacing w:after="80" w:line="360" w:lineRule="auto"/>
        <w:ind w:left="720" w:hanging="720"/>
        <w:jc w:val="both"/>
      </w:pPr>
      <w:r>
        <w:rPr>
          <w:rFonts w:ascii="Times New Roman" w:eastAsia="新細明體" w:hAnsi="Times New Roman" w:cs="Times New Roman"/>
        </w:rPr>
        <w:t xml:space="preserve">Michie, S., Abraham, C., Whittington, C., McAteer, J., &amp; Gupta, S. (2009). Effective techniques in healthy eating and physical activity interventions: A meta-regression. </w:t>
      </w:r>
      <w:r>
        <w:rPr>
          <w:rFonts w:ascii="Times New Roman" w:eastAsia="新細明體" w:hAnsi="Times New Roman" w:cs="Times New Roman"/>
          <w:i/>
          <w:iCs/>
        </w:rPr>
        <w:t>Health Psychology, 28</w:t>
      </w:r>
      <w:r>
        <w:rPr>
          <w:rFonts w:ascii="Times New Roman" w:eastAsia="新細明體" w:hAnsi="Times New Roman" w:cs="Times New Roman"/>
        </w:rPr>
        <w:t>(6), 690–701. https://doi.org/10.1037/a0016136</w:t>
      </w:r>
    </w:p>
    <w:p w14:paraId="5D228AA7" w14:textId="77777777" w:rsidR="00D44DCB" w:rsidRDefault="00000000">
      <w:pPr>
        <w:spacing w:after="80" w:line="360" w:lineRule="auto"/>
        <w:ind w:left="720" w:hanging="720"/>
        <w:jc w:val="both"/>
      </w:pPr>
      <w:r>
        <w:rPr>
          <w:rFonts w:ascii="Times New Roman" w:eastAsia="新細明體" w:hAnsi="Times New Roman" w:cs="Times New Roman"/>
        </w:rPr>
        <w:t xml:space="preserve">Myer, G. D., Kushner, A. M., Brent, J. L., Schoenfeld, B. J., Hugentobler, J., Lloyd, R. S., Vermeil, A., Chu, D. A., Harbin, J., &amp; McGill, S. M. (2014). The back squat: A proposed assessment of functional deficits and technical factors that limit performance. </w:t>
      </w:r>
      <w:r>
        <w:rPr>
          <w:rFonts w:ascii="Times New Roman" w:eastAsia="新細明體" w:hAnsi="Times New Roman" w:cs="Times New Roman"/>
          <w:i/>
          <w:iCs/>
        </w:rPr>
        <w:t>Strength and Conditioning Journal, 36</w:t>
      </w:r>
      <w:r>
        <w:rPr>
          <w:rFonts w:ascii="Times New Roman" w:eastAsia="新細明體" w:hAnsi="Times New Roman" w:cs="Times New Roman"/>
        </w:rPr>
        <w:t>(6), 4–27. https://doi.org/10.1519/SSC.0000000000000103</w:t>
      </w:r>
    </w:p>
    <w:p w14:paraId="5D228AA8" w14:textId="77777777" w:rsidR="00D44DCB" w:rsidRDefault="00000000">
      <w:pPr>
        <w:spacing w:after="80" w:line="360" w:lineRule="auto"/>
        <w:ind w:left="720" w:hanging="720"/>
        <w:jc w:val="both"/>
      </w:pPr>
      <w:r>
        <w:rPr>
          <w:rFonts w:ascii="Times New Roman" w:eastAsia="新細明體" w:hAnsi="Times New Roman" w:cs="Times New Roman"/>
        </w:rPr>
        <w:t xml:space="preserve">Ryan, R. M., &amp; Deci, E. L. (2000). Self-determination theory and the facilitation of intrinsic motivation, social development, and well-being. </w:t>
      </w:r>
      <w:r>
        <w:rPr>
          <w:rFonts w:ascii="Times New Roman" w:eastAsia="新細明體" w:hAnsi="Times New Roman" w:cs="Times New Roman"/>
          <w:i/>
          <w:iCs/>
        </w:rPr>
        <w:t>American Psychologist, 55</w:t>
      </w:r>
      <w:r>
        <w:rPr>
          <w:rFonts w:ascii="Times New Roman" w:eastAsia="新細明體" w:hAnsi="Times New Roman" w:cs="Times New Roman"/>
        </w:rPr>
        <w:t>(1), 68–78. https://doi.org/10.1037/0003-066X.55.1.68</w:t>
      </w:r>
    </w:p>
    <w:p w14:paraId="5D228AA9" w14:textId="77777777" w:rsidR="00D44DCB" w:rsidRDefault="00000000">
      <w:pPr>
        <w:spacing w:after="80" w:line="360" w:lineRule="auto"/>
        <w:ind w:left="720" w:hanging="720"/>
        <w:jc w:val="both"/>
      </w:pPr>
      <w:r>
        <w:rPr>
          <w:rFonts w:ascii="Times New Roman" w:eastAsia="新細明體" w:hAnsi="Times New Roman" w:cs="Times New Roman"/>
        </w:rPr>
        <w:t xml:space="preserve">Saeb, S., Körding, K., &amp; Mohr, D. C. (2015). Making activity recognition robust against deceptive behavior. </w:t>
      </w:r>
      <w:r>
        <w:rPr>
          <w:rFonts w:ascii="Times New Roman" w:eastAsia="新細明體" w:hAnsi="Times New Roman" w:cs="Times New Roman"/>
          <w:i/>
          <w:iCs/>
        </w:rPr>
        <w:t>PLOS ONE, 10</w:t>
      </w:r>
      <w:r>
        <w:rPr>
          <w:rFonts w:ascii="Times New Roman" w:eastAsia="新細明體" w:hAnsi="Times New Roman" w:cs="Times New Roman"/>
        </w:rPr>
        <w:t>(12), Article e0144795. https://doi.org/10.1371/journal.pone.0144795</w:t>
      </w:r>
    </w:p>
    <w:p w14:paraId="5D228AAA" w14:textId="77777777" w:rsidR="00D44DCB" w:rsidRDefault="00000000">
      <w:pPr>
        <w:spacing w:after="80" w:line="360" w:lineRule="auto"/>
        <w:ind w:left="720" w:hanging="720"/>
        <w:jc w:val="both"/>
      </w:pPr>
      <w:r>
        <w:rPr>
          <w:rFonts w:ascii="Times New Roman" w:eastAsia="新細明體" w:hAnsi="Times New Roman" w:cs="Times New Roman"/>
        </w:rPr>
        <w:t xml:space="preserve">Sardi, L., Idri, A., &amp; Fernández-Alemán, J. L. (2017). A systematic review of gamification in e-Health. </w:t>
      </w:r>
      <w:r>
        <w:rPr>
          <w:rFonts w:ascii="Times New Roman" w:eastAsia="新細明體" w:hAnsi="Times New Roman" w:cs="Times New Roman"/>
          <w:i/>
          <w:iCs/>
        </w:rPr>
        <w:t>Journal of Biomedical Informatics, 71</w:t>
      </w:r>
      <w:r>
        <w:rPr>
          <w:rFonts w:ascii="Times New Roman" w:eastAsia="新細明體" w:hAnsi="Times New Roman" w:cs="Times New Roman"/>
        </w:rPr>
        <w:t>, 31–48. https://doi.org/10.1016/j.jbi.2017.05.011</w:t>
      </w:r>
    </w:p>
    <w:p w14:paraId="5D228AAB" w14:textId="77777777" w:rsidR="00D44DCB" w:rsidRDefault="00000000">
      <w:pPr>
        <w:spacing w:after="80" w:line="360" w:lineRule="auto"/>
        <w:ind w:left="720" w:hanging="720"/>
        <w:jc w:val="both"/>
      </w:pPr>
      <w:r>
        <w:rPr>
          <w:rFonts w:ascii="Times New Roman" w:eastAsia="新細明體" w:hAnsi="Times New Roman" w:cs="Times New Roman"/>
        </w:rPr>
        <w:t xml:space="preserve">Schoenfeld, B. J. (2010). Squatting kinematics and kinetics and their application to exercise performance. </w:t>
      </w:r>
      <w:r>
        <w:rPr>
          <w:rFonts w:ascii="Times New Roman" w:eastAsia="新細明體" w:hAnsi="Times New Roman" w:cs="Times New Roman"/>
          <w:i/>
          <w:iCs/>
        </w:rPr>
        <w:t>Journal of Strength and Conditioning Research, 24</w:t>
      </w:r>
      <w:r>
        <w:rPr>
          <w:rFonts w:ascii="Times New Roman" w:eastAsia="新細明體" w:hAnsi="Times New Roman" w:cs="Times New Roman"/>
        </w:rPr>
        <w:t>(12), 3497–3506. https://doi.org/10.1519/JSC.0b013e3181bac2d7</w:t>
      </w:r>
    </w:p>
    <w:p w14:paraId="5D228AAC" w14:textId="77777777" w:rsidR="00D44DCB" w:rsidRDefault="00000000">
      <w:pPr>
        <w:spacing w:after="80" w:line="360" w:lineRule="auto"/>
        <w:ind w:left="720" w:hanging="720"/>
        <w:jc w:val="both"/>
      </w:pPr>
      <w:r>
        <w:rPr>
          <w:rFonts w:ascii="Times New Roman" w:eastAsia="新細明體" w:hAnsi="Times New Roman" w:cs="Times New Roman"/>
        </w:rPr>
        <w:t xml:space="preserve">Sperandei, S., Vieira, M. C., &amp; Reis, A. C. (2016). Adherence to physical activity in an unsupervised setting: Explanatory variables for high attrition rates among fitness center members. </w:t>
      </w:r>
      <w:r>
        <w:rPr>
          <w:rFonts w:ascii="Times New Roman" w:eastAsia="新細明體" w:hAnsi="Times New Roman" w:cs="Times New Roman"/>
          <w:i/>
          <w:iCs/>
        </w:rPr>
        <w:t>Journal of Science and Medicine in Sport, 19</w:t>
      </w:r>
      <w:r>
        <w:rPr>
          <w:rFonts w:ascii="Times New Roman" w:eastAsia="新細明體" w:hAnsi="Times New Roman" w:cs="Times New Roman"/>
        </w:rPr>
        <w:t>(11), 916–920. https://doi.org/10.1016/j.jsams.2015.12.522</w:t>
      </w:r>
    </w:p>
    <w:p w14:paraId="5D228AAD" w14:textId="77777777" w:rsidR="00D44DCB" w:rsidRDefault="00000000">
      <w:pPr>
        <w:spacing w:after="80" w:line="360" w:lineRule="auto"/>
        <w:ind w:left="720" w:hanging="720"/>
        <w:jc w:val="both"/>
      </w:pPr>
      <w:r>
        <w:rPr>
          <w:rFonts w:ascii="Times New Roman" w:eastAsia="新細明體" w:hAnsi="Times New Roman" w:cs="Times New Roman"/>
        </w:rPr>
        <w:t xml:space="preserve">Strain, T., Flaxman, S., Guthold, R., Semenova, E., Cowan, M., Riley, L. M., Bull, F. C., &amp; Stevens, G. A. (2024). National, regional, and global trends in insufficient physical activity among adults from 2000 to 2022: A pooled analysis of 507 population-based surveys with 5.7 million participants. </w:t>
      </w:r>
      <w:r>
        <w:rPr>
          <w:rFonts w:ascii="Times New Roman" w:eastAsia="新細明體" w:hAnsi="Times New Roman" w:cs="Times New Roman"/>
          <w:i/>
          <w:iCs/>
        </w:rPr>
        <w:t>The Lancet Global Health, 12</w:t>
      </w:r>
      <w:r>
        <w:rPr>
          <w:rFonts w:ascii="Times New Roman" w:eastAsia="新細明體" w:hAnsi="Times New Roman" w:cs="Times New Roman"/>
        </w:rPr>
        <w:t>(8), e1232–e1243. https://doi.org/10.1016/S2214-109X(24)00150-5</w:t>
      </w:r>
    </w:p>
    <w:p w14:paraId="5D228AAE" w14:textId="77777777" w:rsidR="00D44DCB" w:rsidRDefault="00000000">
      <w:pPr>
        <w:spacing w:after="80" w:line="360" w:lineRule="auto"/>
        <w:ind w:left="720" w:hanging="720"/>
        <w:jc w:val="both"/>
      </w:pPr>
      <w:r>
        <w:rPr>
          <w:rFonts w:ascii="Times New Roman" w:eastAsia="新細明體" w:hAnsi="Times New Roman" w:cs="Times New Roman"/>
        </w:rPr>
        <w:t xml:space="preserve">United Nations Department of Economic and Social Affairs. (n.d.). </w:t>
      </w:r>
      <w:r>
        <w:rPr>
          <w:rFonts w:ascii="Times New Roman" w:eastAsia="新細明體" w:hAnsi="Times New Roman" w:cs="Times New Roman"/>
          <w:i/>
          <w:iCs/>
        </w:rPr>
        <w:t>Goal 3: Ensure healthy lives and promote well-being for all at all ages</w:t>
      </w:r>
      <w:r>
        <w:rPr>
          <w:rFonts w:ascii="Times New Roman" w:eastAsia="新細明體" w:hAnsi="Times New Roman" w:cs="Times New Roman"/>
        </w:rPr>
        <w:t>. Retrieved August 19, 2026, from https://sdgs.un.org/goals/goal3</w:t>
      </w:r>
    </w:p>
    <w:p w14:paraId="5D228AAF" w14:textId="77777777" w:rsidR="00D44DCB" w:rsidRDefault="00000000">
      <w:pPr>
        <w:spacing w:after="80" w:line="360" w:lineRule="auto"/>
        <w:ind w:left="720" w:hanging="720"/>
        <w:jc w:val="both"/>
      </w:pPr>
      <w:r>
        <w:rPr>
          <w:rFonts w:ascii="Times New Roman" w:eastAsia="新細明體" w:hAnsi="Times New Roman" w:cs="Times New Roman"/>
        </w:rPr>
        <w:t xml:space="preserve">Vakanski, A., Jun, H.-P., Paul, D., &amp; Baker, R. (2018). A data set of human body movements for physical rehabilitation exercises. </w:t>
      </w:r>
      <w:r>
        <w:rPr>
          <w:rFonts w:ascii="Times New Roman" w:eastAsia="新細明體" w:hAnsi="Times New Roman" w:cs="Times New Roman"/>
          <w:i/>
          <w:iCs/>
        </w:rPr>
        <w:t>Data, 3</w:t>
      </w:r>
      <w:r>
        <w:rPr>
          <w:rFonts w:ascii="Times New Roman" w:eastAsia="新細明體" w:hAnsi="Times New Roman" w:cs="Times New Roman"/>
        </w:rPr>
        <w:t>(1), Article 2. https://doi.org/10.3390/data3010002</w:t>
      </w:r>
    </w:p>
    <w:p w14:paraId="5D228AB0" w14:textId="77777777" w:rsidR="00D44DCB" w:rsidRDefault="00000000">
      <w:pPr>
        <w:spacing w:after="80" w:line="360" w:lineRule="auto"/>
        <w:ind w:left="720" w:hanging="720"/>
        <w:jc w:val="both"/>
      </w:pPr>
      <w:r>
        <w:rPr>
          <w:rFonts w:ascii="Times New Roman" w:eastAsia="新細明體" w:hAnsi="Times New Roman" w:cs="Times New Roman"/>
        </w:rPr>
        <w:lastRenderedPageBreak/>
        <w:t xml:space="preserve">World Health Organization. (2020). </w:t>
      </w:r>
      <w:r>
        <w:rPr>
          <w:rFonts w:ascii="Times New Roman" w:eastAsia="新細明體" w:hAnsi="Times New Roman" w:cs="Times New Roman"/>
          <w:i/>
          <w:iCs/>
        </w:rPr>
        <w:t xml:space="preserve">WHO guidelines on physical activity and sedentary behaviour</w:t>
      </w:r>
      <w:r>
        <w:rPr>
          <w:rFonts w:ascii="Times New Roman" w:eastAsia="新細明體" w:hAnsi="Times New Roman" w:cs="Times New Roman"/>
        </w:rPr>
        <w:t>. https://www.who.int/publications/i/item/9789240015128</w:t>
      </w:r>
    </w:p>
    <w:p w14:paraId="5D228AB1" w14:textId="77777777" w:rsidR="00D44DCB" w:rsidRDefault="00D44DCB">
      <w:pPr>
        <w:pageBreakBefore/>
      </w:pPr>
    </w:p>
    <w:p w14:paraId="5D228AB2" w14:textId="77777777" w:rsidR="00D44DCB" w:rsidRDefault="00000000">
      <w:pPr>
        <w:spacing w:after="200" w:line="360" w:lineRule="auto"/>
        <w:jc w:val="center"/>
      </w:pPr>
      <w:r>
        <w:rPr>
          <w:rFonts w:ascii="標楷體" w:eastAsia="標楷體" w:hAnsi="標楷體" w:cs="標楷體"/>
          <w:b/>
          <w:bCs/>
          <w:sz w:val="32"/>
          <w:szCs w:val="32"/>
        </w:rPr>
        <w:t>六、預期結果、用途、影響及效益</w:t>
      </w:r>
    </w:p>
    <w:p w14:paraId="5D228AB3" w14:textId="77777777" w:rsidR="00D44DCB" w:rsidRDefault="00000000">
      <w:pPr>
        <w:spacing w:after="200" w:line="360" w:lineRule="auto"/>
        <w:jc w:val="center"/>
      </w:pPr>
      <w:r>
        <w:rPr>
          <w:rFonts w:ascii="Times New Roman" w:eastAsia="新細明體" w:hAnsi="Times New Roman" w:cs="Times New Roman"/>
          <w:sz w:val="26"/>
          <w:szCs w:val="26"/>
        </w:rPr>
        <w:t>整合版本｜納入網站遊戲未完成之規劃項目</w:t>
      </w:r>
    </w:p>
    <w:p w14:paraId="5D228AB4" w14:textId="77777777" w:rsidR="00D44DCB" w:rsidRDefault="00000000">
      <w:pPr>
        <w:spacing w:after="120" w:line="360" w:lineRule="auto"/>
        <w:ind w:firstLine="480"/>
        <w:jc w:val="both"/>
      </w:pPr>
      <w:r>
        <w:rPr>
          <w:rFonts w:ascii="Times New Roman" w:eastAsia="新細明體" w:hAnsi="Times New Roman" w:cs="Times New Roman"/>
          <w:sz w:val="24"/>
          <w:szCs w:val="24"/>
        </w:rPr>
        <w:t>本作品以網站遊戲與健身影像辨識系統的整合為核心，讓使用者在網站中進行健身流程、查看訓練結果與紀錄，並透過角色、島嶼、獎勵、互動及進度呈現增加參與感。本章同時納入現有系統資料與團隊提出的網站遊戲後續規劃，說明整合版本完成後的預期結果、用途、影響與效益。</w:t>
      </w:r>
    </w:p>
    <w:p w14:paraId="5D228AB5" w14:textId="77777777" w:rsidR="00D44DCB" w:rsidRDefault="00000000">
      <w:pPr>
        <w:spacing w:after="120" w:line="360" w:lineRule="auto"/>
      </w:pPr>
      <w:r>
        <w:rPr>
          <w:rFonts w:ascii="Times New Roman" w:eastAsia="新細明體" w:hAnsi="Times New Roman" w:cs="Times New Roman"/>
          <w:b/>
          <w:bCs/>
          <w:sz w:val="18"/>
          <w:szCs w:val="24"/>
        </w:rPr>
        <w:t>範圍與狀態說明｜網站遊戲與健身影像辨識目前仍處於開發及整合階段。附件所列人物、介面、提醒、懲罰、NPC、載入畫面與引導等內容均為尚未完成的規劃；碎片機制僅屬團隊表示約九成可能納入的高機率構想，詳細機制尚未定案。所有效果仍須待設計、實作與測試後確認。</w:t>
      </w:r>
    </w:p>
    <w:p w14:paraId="5D228AB6" w14:textId="77777777" w:rsidR="00D44DCB" w:rsidRDefault="00000000">
      <w:pPr>
        <w:pStyle w:val="1"/>
        <w:spacing w:before="360" w:after="200" w:line="360" w:lineRule="auto"/>
      </w:pPr>
      <w:r>
        <w:rPr>
          <w:rFonts w:ascii="標楷體" w:eastAsia="標楷體" w:hAnsi="標楷體" w:cs="標楷體"/>
          <w:b/>
          <w:bCs/>
          <w:sz w:val="28"/>
          <w:szCs w:val="32"/>
        </w:rPr>
        <w:t>（一）SDGs</w:t>
      </w:r>
    </w:p>
    <w:p w14:paraId="5D228AB7" w14:textId="77777777" w:rsidR="00D44DCB" w:rsidRDefault="00000000">
      <w:pPr>
        <w:spacing w:after="120" w:line="360" w:lineRule="auto"/>
        <w:ind w:firstLine="480"/>
        <w:jc w:val="both"/>
      </w:pPr>
      <w:r>
        <w:rPr>
          <w:rFonts w:ascii="Times New Roman" w:eastAsia="新細明體" w:hAnsi="Times New Roman" w:cs="Times New Roman"/>
          <w:sz w:val="24"/>
          <w:szCs w:val="24"/>
        </w:rPr>
        <w:t>本作品主要對應聯合國永續發展目標 SDG 3「良好健康與福祉」。作品規劃將網站健身流程、影像辨識整合方向、訓練結果與遊戲進度連結，期望以較具回饋感的方式鼓勵使用者增加運動參與，並累積與健康生活相關的使用歷程。此對應屬於作品的設計目標，不代表已產生公共健康、臨床或醫療成果。</w:t>
      </w:r>
    </w:p>
    <w:p w14:paraId="5D228AB8" w14:textId="77777777" w:rsidR="00D44DCB" w:rsidRDefault="00000000">
      <w:pPr>
        <w:spacing w:after="120" w:line="360" w:lineRule="auto"/>
        <w:ind w:firstLine="480"/>
        <w:jc w:val="both"/>
      </w:pPr>
      <w:r>
        <w:rPr>
          <w:rFonts w:ascii="Times New Roman" w:eastAsia="新細明體" w:hAnsi="Times New Roman" w:cs="Times New Roman"/>
          <w:sz w:val="24"/>
          <w:szCs w:val="24"/>
        </w:rPr>
        <w:t>遊戲端目前包含角色、島嶼、每日獎勵、金幣、經驗及進度等內容；後續規劃中的人物與介面優化、引導完善、提醒機制及 NPC 互動，預期使健身成果更容易被看見並增加參與感。付費解鎖、挑戰式通知與島嶼侵蝕屬參與機制，而非健康效益本身，其公平性、使用者自主性與心理感受仍須另行檢視。</w:t>
      </w:r>
    </w:p>
    <w:p w14:paraId="5D228AB9" w14:textId="77777777" w:rsidR="00D44DCB" w:rsidRDefault="00000000">
      <w:pPr>
        <w:spacing w:after="120" w:line="360" w:lineRule="auto"/>
        <w:jc w:val="both"/>
      </w:pPr>
      <w:r>
        <w:rPr>
          <w:rFonts w:ascii="Times New Roman" w:eastAsia="新細明體" w:hAnsi="Times New Roman" w:cs="Times New Roman"/>
          <w:b/>
          <w:bCs/>
          <w:sz w:val="18"/>
          <w:szCs w:val="24"/>
        </w:rPr>
        <w:t>資料依據：聯合國 SDG 3 說明與《世界衛生組織身體活動及久坐行為指南》（2020）；完整書目統一列於企劃書第十章。</w:t>
      </w:r>
    </w:p>
    <w:p w14:paraId="5D228ABA" w14:textId="77777777" w:rsidR="00D44DCB" w:rsidRDefault="00000000">
      <w:pPr>
        <w:pStyle w:val="1"/>
        <w:spacing w:before="360" w:after="200" w:line="360" w:lineRule="auto"/>
      </w:pPr>
      <w:r>
        <w:rPr>
          <w:rFonts w:ascii="標楷體" w:eastAsia="標楷體" w:hAnsi="標楷體" w:cs="標楷體"/>
          <w:b/>
          <w:bCs/>
          <w:sz w:val="28"/>
          <w:szCs w:val="32"/>
        </w:rPr>
        <w:t>（二）預期結果</w:t>
      </w:r>
    </w:p>
    <w:p w14:paraId="5D228ABB" w14:textId="77777777" w:rsidR="00D44DCB" w:rsidRDefault="00000000">
      <w:pPr>
        <w:pStyle w:val="2"/>
        <w:spacing w:before="240" w:after="160" w:line="360" w:lineRule="auto"/>
      </w:pPr>
      <w:r>
        <w:rPr>
          <w:rFonts w:ascii="標楷體" w:eastAsia="標楷體" w:hAnsi="標楷體" w:cs="標楷體"/>
          <w:b/>
          <w:bCs/>
        </w:rPr>
        <w:t>1. 網站遊戲與健身辨識整合</w:t>
      </w:r>
    </w:p>
    <w:p w14:paraId="5D228ABC" w14:textId="77777777" w:rsidR="00D44DCB" w:rsidRDefault="00000000">
      <w:pPr>
        <w:spacing w:after="120" w:line="360" w:lineRule="auto"/>
        <w:ind w:firstLine="480"/>
        <w:jc w:val="both"/>
      </w:pPr>
      <w:r>
        <w:rPr>
          <w:rFonts w:ascii="Times New Roman" w:eastAsia="新細明體" w:hAnsi="Times New Roman" w:cs="Times New Roman"/>
          <w:sz w:val="24"/>
          <w:szCs w:val="24"/>
        </w:rPr>
        <w:t>本作品預期形成網站遊戲與健身影像辨識相互配合的使用體驗。健身頁面的主要流程為「選擇項目 → 訓練畫面 → 結算畫面」，追蹤頁以統計卡片及運動走勢圖呈現訓練資料；遊戲端則以角色、任務、獎勵、商店、更衣室、住家佈置及島嶼建造承接</w:t>
        <w:lastRenderedPageBreak/>
        <w:t>健身流程所形成的結果與進度。實際辨識效能、結算內容與遊戲換算方式，仍以整合完成後的測試結果為準。</w:t>
      </w:r>
    </w:p>
    <w:p w14:paraId="5D228ABD" w14:textId="77777777" w:rsidR="00D44DCB" w:rsidRDefault="00000000">
      <w:pPr>
        <w:pStyle w:val="2"/>
        <w:spacing w:before="240" w:after="160" w:line="360" w:lineRule="auto"/>
      </w:pPr>
      <w:r>
        <w:rPr>
          <w:rFonts w:ascii="標楷體" w:eastAsia="標楷體" w:hAnsi="標楷體" w:cs="標楷體"/>
          <w:b/>
          <w:bCs/>
        </w:rPr>
        <w:t>2. 網站遊戲規劃項目</w:t>
      </w:r>
    </w:p>
    <w:p w14:paraId="5D228ABE" w14:textId="77777777" w:rsidR="00D44DCB" w:rsidRDefault="00000000">
      <w:pPr>
        <w:spacing w:after="120" w:line="360" w:lineRule="auto"/>
        <w:ind w:firstLine="480"/>
        <w:jc w:val="both"/>
        <w:rPr>
          <w:lang w:eastAsia="ja-JP"/>
        </w:rPr>
      </w:pPr>
      <w:r>
        <w:rPr>
          <w:rFonts w:ascii="Times New Roman" w:eastAsia="新細明體" w:hAnsi="Times New Roman" w:cs="Times New Roman"/>
          <w:sz w:val="24"/>
          <w:szCs w:val="24"/>
        </w:rPr>
        <w:t>下列內容均取自本次提供的網站遊戲附件與團隊補充之遊戲機制資料。</w:t>
      </w:r>
      <w:r>
        <w:rPr>
          <w:rFonts w:ascii="Times New Roman" w:eastAsia="新細明體" w:hAnsi="Times New Roman" w:cs="Times New Roman"/>
          <w:sz w:val="24"/>
          <w:szCs w:val="24"/>
          <w:lang w:eastAsia="ja-JP"/>
        </w:rPr>
        <w:t>表中將已明確提出的開發方向標示為「規劃中・未完成」，將規則或載體尚未決定的內容標示為「概念中・機制未定」，將目前尚未實作但已列入未來藍圖的項目標示為「未來藍圖・規劃中」；碎片機制依原始資料保留為高機率考慮項目，持續參與則列為尚待驗證的設計意圖，兩者皆不視為已達成成果。</w:t>
      </w:r>
    </w:p>
    <w:p w14:paraId="5D228ABF" w14:textId="77777777" w:rsidR="00D44DCB" w:rsidRDefault="00000000">
      <w:pPr>
        <w:spacing w:after="120" w:line="360" w:lineRule="auto"/>
        <w:jc w:val="center"/>
      </w:pPr>
      <w:r>
        <w:rPr>
          <w:rFonts w:ascii="Times New Roman" w:eastAsia="新細明體" w:hAnsi="Times New Roman" w:cs="Times New Roman"/>
          <w:b/>
          <w:bCs/>
          <w:sz w:val="24"/>
          <w:szCs w:val="24"/>
        </w:rPr>
        <w:t>表 6-1　網站遊戲規劃項目總覽（含未來藍圖）</w:t>
      </w:r>
    </w:p>
    <w:tbl>
      <w:tblPr>
        <w:tblW w:w="96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800"/>
        <w:gridCol w:w="1600"/>
        <w:gridCol w:w="3600"/>
        <w:gridCol w:w="1600"/>
        <w:gridCol w:w="2000"/>
      </w:tblGrid>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14:paraId="5D228AC0" w14:textId="77777777" w:rsidR="00D44DCB" w:rsidRDefault="00000000">
            <w:pPr>
              <w:spacing w:after="40"/>
            </w:pPr>
            <w:r>
              <w:rPr>
                <w:rFonts w:ascii="Times New Roman" w:eastAsia="新細明體" w:hAnsi="Times New Roman" w:cs="Times New Roman"/>
                <w:b/>
                <w:bCs/>
                <w:sz w:val="22"/>
                <w:szCs w:val="22"/>
              </w:rPr>
              <w:t>編號</w:t>
            </w:r>
          </w:p>
        </w:tc>
        <w:tc>
          <w:tcPr>
            <w:tcW w:w="1600" w:type="dxa"/>
            <w:shd w:val="clear" w:color="auto" w:fill="D9E2F3"/>
            <w:tcMar>
              <w:top w:w="40" w:type="dxa"/>
              <w:left w:w="80" w:type="dxa"/>
              <w:bottom w:w="40" w:type="dxa"/>
              <w:right w:w="80" w:type="dxa"/>
            </w:tcMar>
          </w:tcPr>
          <w:p w14:paraId="5D228AC1" w14:textId="77777777" w:rsidR="00D44DCB" w:rsidRDefault="00000000">
            <w:pPr>
              <w:spacing w:after="40"/>
            </w:pPr>
            <w:r>
              <w:rPr>
                <w:rFonts w:ascii="Times New Roman" w:eastAsia="新細明體" w:hAnsi="Times New Roman" w:cs="Times New Roman"/>
                <w:b/>
                <w:bCs/>
                <w:sz w:val="22"/>
                <w:szCs w:val="22"/>
              </w:rPr>
              <w:t>規劃項目</w:t>
            </w:r>
          </w:p>
        </w:tc>
        <w:tc>
          <w:tcPr>
            <w:tcW w:w="3600" w:type="dxa"/>
            <w:shd w:val="clear" w:color="auto" w:fill="D9E2F3"/>
            <w:tcMar>
              <w:top w:w="40" w:type="dxa"/>
              <w:left w:w="80" w:type="dxa"/>
              <w:bottom w:w="40" w:type="dxa"/>
              <w:right w:w="80" w:type="dxa"/>
            </w:tcMar>
          </w:tcPr>
          <w:p w14:paraId="5D228AC2" w14:textId="77777777" w:rsidR="00D44DCB" w:rsidRDefault="00000000">
            <w:pPr>
              <w:spacing w:after="40"/>
            </w:pPr>
            <w:r>
              <w:rPr>
                <w:rFonts w:ascii="Times New Roman" w:eastAsia="新細明體" w:hAnsi="Times New Roman" w:cs="Times New Roman"/>
                <w:b/>
                <w:bCs/>
                <w:sz w:val="22"/>
                <w:szCs w:val="22"/>
              </w:rPr>
              <w:t>內容與預期方向</w:t>
            </w:r>
          </w:p>
        </w:tc>
        <w:tc>
          <w:tcPr>
            <w:tcW w:w="1600" w:type="dxa"/>
            <w:shd w:val="clear" w:color="auto" w:fill="D9E2F3"/>
            <w:tcMar>
              <w:top w:w="40" w:type="dxa"/>
              <w:left w:w="80" w:type="dxa"/>
              <w:bottom w:w="40" w:type="dxa"/>
              <w:right w:w="80" w:type="dxa"/>
            </w:tcMar>
          </w:tcPr>
          <w:p w14:paraId="5D228AC3" w14:textId="77777777" w:rsidR="00D44DCB" w:rsidRDefault="00000000">
            <w:pPr>
              <w:spacing w:after="40"/>
            </w:pPr>
            <w:r>
              <w:rPr>
                <w:rFonts w:ascii="Times New Roman" w:eastAsia="新細明體" w:hAnsi="Times New Roman" w:cs="Times New Roman"/>
                <w:b/>
                <w:bCs/>
                <w:sz w:val="22"/>
                <w:szCs w:val="22"/>
              </w:rPr>
              <w:t>開發狀態</w:t>
            </w:r>
          </w:p>
        </w:tc>
        <w:tc>
          <w:tcPr>
            <w:tcW w:w="2000" w:type="dxa"/>
            <w:shd w:val="clear" w:color="auto" w:fill="D9E2F3"/>
            <w:tcMar>
              <w:top w:w="40" w:type="dxa"/>
              <w:left w:w="80" w:type="dxa"/>
              <w:bottom w:w="40" w:type="dxa"/>
              <w:right w:w="80" w:type="dxa"/>
            </w:tcMar>
          </w:tcPr>
          <w:p w14:paraId="5D228AC4" w14:textId="77777777" w:rsidR="00D44DCB" w:rsidRDefault="00000000">
            <w:pPr>
              <w:spacing w:after="40"/>
            </w:pPr>
            <w:r>
              <w:rPr>
                <w:rFonts w:ascii="Times New Roman" w:eastAsia="新細明體" w:hAnsi="Times New Roman" w:cs="Times New Roman"/>
                <w:b/>
                <w:bCs/>
                <w:sz w:val="22"/>
                <w:szCs w:val="22"/>
              </w:rPr>
              <w:t>尚待定義／審查</w:t>
            </w:r>
          </w:p>
        </w:tc>
      </w:tr>
      <w:tr w:rsidR="00D44DCB" w14:paraId="5D228ACB" w14:textId="77777777">
        <w:tblPrEx>
          <w:tblCellMar>
            <w:top w:w="0" w:type="dxa"/>
            <w:bottom w:w="0" w:type="dxa"/>
          </w:tblCellMar>
        </w:tblPrEx>
        <w:tc>
          <w:tcPr>
            <w:tcW w:w="800" w:type="dxa"/>
            <w:tcMar>
              <w:top w:w="40" w:type="dxa"/>
              <w:left w:w="80" w:type="dxa"/>
              <w:bottom w:w="40" w:type="dxa"/>
              <w:right w:w="80" w:type="dxa"/>
            </w:tcMar>
          </w:tcPr>
          <w:p w14:paraId="5D228AC6" w14:textId="77777777" w:rsidR="00D44DCB" w:rsidRDefault="00000000">
            <w:pPr>
              <w:spacing w:after="40"/>
            </w:pPr>
            <w:r>
              <w:rPr>
                <w:rFonts w:ascii="Times New Roman" w:eastAsia="新細明體" w:hAnsi="Times New Roman" w:cs="Times New Roman"/>
              </w:rPr>
              <w:t>F01</w:t>
            </w:r>
          </w:p>
        </w:tc>
        <w:tc>
          <w:tcPr>
            <w:tcW w:w="1600" w:type="dxa"/>
            <w:tcMar>
              <w:top w:w="40" w:type="dxa"/>
              <w:left w:w="80" w:type="dxa"/>
              <w:bottom w:w="40" w:type="dxa"/>
              <w:right w:w="80" w:type="dxa"/>
            </w:tcMar>
          </w:tcPr>
          <w:p w14:paraId="5D228AC7" w14:textId="77777777" w:rsidR="00D44DCB" w:rsidRDefault="00000000">
            <w:pPr>
              <w:spacing w:after="40"/>
            </w:pPr>
            <w:r>
              <w:rPr>
                <w:rFonts w:ascii="Times New Roman" w:eastAsia="新細明體" w:hAnsi="Times New Roman" w:cs="Times New Roman"/>
              </w:rPr>
              <w:t>人物模型</w:t>
            </w:r>
          </w:p>
        </w:tc>
        <w:tc>
          <w:tcPr>
            <w:tcW w:w="3600" w:type="dxa"/>
            <w:tcMar>
              <w:top w:w="40" w:type="dxa"/>
              <w:left w:w="80" w:type="dxa"/>
              <w:bottom w:w="40" w:type="dxa"/>
              <w:right w:w="80" w:type="dxa"/>
            </w:tcMar>
          </w:tcPr>
          <w:p w14:paraId="5D228AC8" w14:textId="77777777" w:rsidR="00D44DCB" w:rsidRDefault="00000000">
            <w:pPr>
              <w:spacing w:after="40"/>
            </w:pPr>
            <w:r>
              <w:rPr>
                <w:rFonts w:ascii="Times New Roman" w:eastAsia="新細明體" w:hAnsi="Times New Roman" w:cs="Times New Roman"/>
              </w:rPr>
              <w:t>規劃調整角色五官與身體構造的呈現，使人物外觀更清楚並具備較鮮明的角色特色。目前四維卡在建模嵌入遊戲的技術問題，若短期內無法解決將先擱置，優先處理其他項目。</w:t>
            </w:r>
          </w:p>
        </w:tc>
        <w:tc>
          <w:tcPr>
            <w:tcW w:w="1600" w:type="dxa"/>
            <w:tcMar>
              <w:top w:w="40" w:type="dxa"/>
              <w:left w:w="80" w:type="dxa"/>
              <w:bottom w:w="40" w:type="dxa"/>
              <w:right w:w="80" w:type="dxa"/>
            </w:tcMar>
          </w:tcPr>
          <w:p w14:paraId="5D228AC9" w14:textId="77777777" w:rsidR="00D44DCB" w:rsidRDefault="00000000">
            <w:pPr>
              <w:spacing w:after="40"/>
            </w:pPr>
            <w:r>
              <w:rPr>
                <w:rFonts w:ascii="Times New Roman" w:eastAsia="新細明體" w:hAnsi="Times New Roman" w:cs="Times New Roman"/>
              </w:rPr>
              <w:t>規劃中・未完成</w:t>
            </w:r>
          </w:p>
        </w:tc>
        <w:tc>
          <w:tcPr>
            <w:tcW w:w="2000" w:type="dxa"/>
            <w:tcMar>
              <w:top w:w="40" w:type="dxa"/>
              <w:left w:w="80" w:type="dxa"/>
              <w:bottom w:w="40" w:type="dxa"/>
              <w:right w:w="80" w:type="dxa"/>
            </w:tcMar>
          </w:tcPr>
          <w:p w14:paraId="5D228ACA" w14:textId="77777777" w:rsidR="00D44DCB" w:rsidRDefault="00000000">
            <w:pPr>
              <w:spacing w:after="40"/>
            </w:pPr>
            <w:r>
              <w:rPr>
                <w:rFonts w:ascii="Times New Roman" w:eastAsia="新細明體" w:hAnsi="Times New Roman" w:cs="Times New Roman"/>
              </w:rPr>
              <w:t>建模細節、驗收標準與技術瓶頸解決方案</w:t>
            </w:r>
          </w:p>
        </w:tc>
      </w:tr>
      <w:tr w:rsidR="00D44DCB" w14:paraId="5D228AD1" w14:textId="77777777">
        <w:tblPrEx>
          <w:tblCellMar>
            <w:top w:w="0" w:type="dxa"/>
            <w:bottom w:w="0" w:type="dxa"/>
          </w:tblCellMar>
        </w:tblPrEx>
        <w:tc>
          <w:tcPr>
            <w:tcW w:w="800" w:type="dxa"/>
            <w:tcMar>
              <w:top w:w="40" w:type="dxa"/>
              <w:left w:w="80" w:type="dxa"/>
              <w:bottom w:w="40" w:type="dxa"/>
              <w:right w:w="80" w:type="dxa"/>
            </w:tcMar>
          </w:tcPr>
          <w:p w14:paraId="5D228ACC" w14:textId="77777777" w:rsidR="00D44DCB" w:rsidRDefault="00000000">
            <w:pPr>
              <w:spacing w:after="40"/>
            </w:pPr>
            <w:r>
              <w:rPr>
                <w:rFonts w:ascii="Times New Roman" w:eastAsia="新細明體" w:hAnsi="Times New Roman" w:cs="Times New Roman"/>
              </w:rPr>
              <w:t>F02</w:t>
            </w:r>
          </w:p>
        </w:tc>
        <w:tc>
          <w:tcPr>
            <w:tcW w:w="1600" w:type="dxa"/>
            <w:tcMar>
              <w:top w:w="40" w:type="dxa"/>
              <w:left w:w="80" w:type="dxa"/>
              <w:bottom w:w="40" w:type="dxa"/>
              <w:right w:w="80" w:type="dxa"/>
            </w:tcMar>
          </w:tcPr>
          <w:p w14:paraId="5D228ACD" w14:textId="77777777" w:rsidR="00D44DCB" w:rsidRDefault="00000000">
            <w:pPr>
              <w:spacing w:after="40"/>
            </w:pPr>
            <w:r>
              <w:rPr>
                <w:rFonts w:ascii="Times New Roman" w:eastAsia="新細明體" w:hAnsi="Times New Roman" w:cs="Times New Roman"/>
              </w:rPr>
              <w:t>碎片機制</w:t>
            </w:r>
          </w:p>
        </w:tc>
        <w:tc>
          <w:tcPr>
            <w:tcW w:w="3600" w:type="dxa"/>
            <w:tcMar>
              <w:top w:w="40" w:type="dxa"/>
              <w:left w:w="80" w:type="dxa"/>
              <w:bottom w:w="40" w:type="dxa"/>
              <w:right w:w="80" w:type="dxa"/>
            </w:tcMar>
          </w:tcPr>
          <w:p w14:paraId="5D228ACE" w14:textId="77777777" w:rsidR="00D44DCB" w:rsidRDefault="00000000">
            <w:pPr>
              <w:spacing w:after="40"/>
            </w:pPr>
            <w:r>
              <w:rPr>
                <w:rFonts w:ascii="Times New Roman" w:eastAsia="新細明體" w:hAnsi="Times New Roman" w:cs="Times New Roman"/>
              </w:rPr>
              <w:t>附件表示此機制約有九成可能納入。碎片可於健身結算時獲得，用於集換特定物件；當使用者已擁有該物件時，碎片的轉化型態尚待確認。取得方式、用途、數量及與既有系統的關係均未決定。</w:t>
            </w:r>
          </w:p>
        </w:tc>
        <w:tc>
          <w:tcPr>
            <w:tcW w:w="1600" w:type="dxa"/>
            <w:tcMar>
              <w:top w:w="40" w:type="dxa"/>
              <w:left w:w="80" w:type="dxa"/>
              <w:bottom w:w="40" w:type="dxa"/>
              <w:right w:w="80" w:type="dxa"/>
            </w:tcMar>
          </w:tcPr>
          <w:p w14:paraId="5D228ACF" w14:textId="77777777" w:rsidR="00D44DCB" w:rsidRDefault="00000000">
            <w:pPr>
              <w:spacing w:after="40"/>
              <w:rPr>
                <w:lang w:eastAsia="ja-JP"/>
              </w:rPr>
            </w:pPr>
            <w:r>
              <w:rPr>
                <w:rFonts w:ascii="Times New Roman" w:eastAsia="新細明體" w:hAnsi="Times New Roman" w:cs="Times New Roman"/>
                <w:lang w:eastAsia="ja-JP"/>
              </w:rPr>
              <w:t>高機率考慮中・機制未定</w:t>
            </w:r>
          </w:p>
        </w:tc>
        <w:tc>
          <w:tcPr>
            <w:tcW w:w="2000" w:type="dxa"/>
            <w:tcMar>
              <w:top w:w="40" w:type="dxa"/>
              <w:left w:w="80" w:type="dxa"/>
              <w:bottom w:w="40" w:type="dxa"/>
              <w:right w:w="80" w:type="dxa"/>
            </w:tcMar>
          </w:tcPr>
          <w:p w14:paraId="5D228AD0" w14:textId="77777777" w:rsidR="00D44DCB" w:rsidRDefault="00000000">
            <w:pPr>
              <w:spacing w:after="40"/>
            </w:pPr>
            <w:r>
              <w:rPr>
                <w:rFonts w:ascii="Times New Roman" w:eastAsia="新細明體" w:hAnsi="Times New Roman" w:cs="Times New Roman"/>
              </w:rPr>
              <w:t>完整玩法、經濟規則與重複物件轉化方式</w:t>
            </w:r>
          </w:p>
        </w:tc>
      </w:tr>
      <w:tr w:rsidR="00D44DCB" w14:paraId="5D228AD7" w14:textId="77777777">
        <w:tblPrEx>
          <w:tblCellMar>
            <w:top w:w="0" w:type="dxa"/>
            <w:bottom w:w="0" w:type="dxa"/>
          </w:tblCellMar>
        </w:tblPrEx>
        <w:tc>
          <w:tcPr>
            <w:tcW w:w="800" w:type="dxa"/>
            <w:tcMar>
              <w:top w:w="40" w:type="dxa"/>
              <w:left w:w="80" w:type="dxa"/>
              <w:bottom w:w="40" w:type="dxa"/>
              <w:right w:w="80" w:type="dxa"/>
            </w:tcMar>
          </w:tcPr>
          <w:p w14:paraId="5D228AD2" w14:textId="77777777" w:rsidR="00D44DCB" w:rsidRDefault="00000000">
            <w:pPr>
              <w:spacing w:after="40"/>
            </w:pPr>
            <w:r>
              <w:rPr>
                <w:rFonts w:ascii="Times New Roman" w:eastAsia="新細明體" w:hAnsi="Times New Roman" w:cs="Times New Roman"/>
              </w:rPr>
              <w:t>F03</w:t>
            </w:r>
          </w:p>
        </w:tc>
        <w:tc>
          <w:tcPr>
            <w:tcW w:w="1600" w:type="dxa"/>
            <w:tcMar>
              <w:top w:w="40" w:type="dxa"/>
              <w:left w:w="80" w:type="dxa"/>
              <w:bottom w:w="40" w:type="dxa"/>
              <w:right w:w="80" w:type="dxa"/>
            </w:tcMar>
          </w:tcPr>
          <w:p w14:paraId="5D228AD3" w14:textId="77777777" w:rsidR="00D44DCB" w:rsidRDefault="00000000">
            <w:pPr>
              <w:spacing w:after="40"/>
            </w:pPr>
            <w:r>
              <w:rPr>
                <w:rFonts w:ascii="Times New Roman" w:eastAsia="新細明體" w:hAnsi="Times New Roman" w:cs="Times New Roman"/>
              </w:rPr>
              <w:t>髮型與穿搭協調</w:t>
            </w:r>
          </w:p>
        </w:tc>
        <w:tc>
          <w:tcPr>
            <w:tcW w:w="3600" w:type="dxa"/>
            <w:tcMar>
              <w:top w:w="40" w:type="dxa"/>
              <w:left w:w="80" w:type="dxa"/>
              <w:bottom w:w="40" w:type="dxa"/>
              <w:right w:w="80" w:type="dxa"/>
            </w:tcMar>
          </w:tcPr>
          <w:p w14:paraId="5D228AD4" w14:textId="77777777" w:rsidR="00D44DCB" w:rsidRDefault="00000000">
            <w:pPr>
              <w:spacing w:after="40"/>
            </w:pPr>
            <w:r>
              <w:rPr>
                <w:rFonts w:ascii="Times New Roman" w:eastAsia="新細明體" w:hAnsi="Times New Roman" w:cs="Times New Roman"/>
              </w:rPr>
              <w:t>規劃整合髮型風格、各類穿搭與裝飾的搭配關係，降低造型組合彼此不協調或不相容的視覺情形。</w:t>
            </w:r>
          </w:p>
        </w:tc>
        <w:tc>
          <w:tcPr>
            <w:tcW w:w="1600" w:type="dxa"/>
            <w:tcMar>
              <w:top w:w="40" w:type="dxa"/>
              <w:left w:w="80" w:type="dxa"/>
              <w:bottom w:w="40" w:type="dxa"/>
              <w:right w:w="80" w:type="dxa"/>
            </w:tcMar>
          </w:tcPr>
          <w:p w14:paraId="5D228AD5" w14:textId="77777777" w:rsidR="00D44DCB" w:rsidRDefault="00000000">
            <w:pPr>
              <w:spacing w:after="40"/>
            </w:pPr>
            <w:r>
              <w:rPr>
                <w:rFonts w:ascii="Times New Roman" w:eastAsia="新細明體" w:hAnsi="Times New Roman" w:cs="Times New Roman"/>
              </w:rPr>
              <w:t>規劃中・未完成</w:t>
            </w:r>
          </w:p>
        </w:tc>
        <w:tc>
          <w:tcPr>
            <w:tcW w:w="2000" w:type="dxa"/>
            <w:tcMar>
              <w:top w:w="40" w:type="dxa"/>
              <w:left w:w="80" w:type="dxa"/>
              <w:bottom w:w="40" w:type="dxa"/>
              <w:right w:w="80" w:type="dxa"/>
            </w:tcMar>
          </w:tcPr>
          <w:p w14:paraId="5D228AD6" w14:textId="77777777" w:rsidR="00D44DCB" w:rsidRDefault="00000000">
            <w:pPr>
              <w:spacing w:after="40"/>
            </w:pPr>
            <w:r>
              <w:rPr>
                <w:rFonts w:ascii="Times New Roman" w:eastAsia="新細明體" w:hAnsi="Times New Roman" w:cs="Times New Roman"/>
              </w:rPr>
              <w:t>搭配規則與素材調整範圍</w:t>
            </w:r>
          </w:p>
        </w:tc>
      </w:tr>
      <w:tr w:rsidR="00D44DCB" w14:paraId="5D228ADD" w14:textId="77777777">
        <w:tblPrEx>
          <w:tblCellMar>
            <w:top w:w="0" w:type="dxa"/>
            <w:bottom w:w="0" w:type="dxa"/>
          </w:tblCellMar>
        </w:tblPrEx>
        <w:tc>
          <w:tcPr>
            <w:tcW w:w="800" w:type="dxa"/>
            <w:tcMar>
              <w:top w:w="40" w:type="dxa"/>
              <w:left w:w="80" w:type="dxa"/>
              <w:bottom w:w="40" w:type="dxa"/>
              <w:right w:w="80" w:type="dxa"/>
            </w:tcMar>
          </w:tcPr>
          <w:p w14:paraId="5D228AD8" w14:textId="77777777" w:rsidR="00D44DCB" w:rsidRDefault="00000000">
            <w:pPr>
              <w:spacing w:after="40"/>
            </w:pPr>
            <w:r>
              <w:rPr>
                <w:rFonts w:ascii="Times New Roman" w:eastAsia="新細明體" w:hAnsi="Times New Roman" w:cs="Times New Roman"/>
              </w:rPr>
              <w:t>F04</w:t>
            </w:r>
          </w:p>
        </w:tc>
        <w:tc>
          <w:tcPr>
            <w:tcW w:w="1600" w:type="dxa"/>
            <w:tcMar>
              <w:top w:w="40" w:type="dxa"/>
              <w:left w:w="80" w:type="dxa"/>
              <w:bottom w:w="40" w:type="dxa"/>
              <w:right w:w="80" w:type="dxa"/>
            </w:tcMar>
          </w:tcPr>
          <w:p w14:paraId="5D228AD9" w14:textId="77777777" w:rsidR="00D44DCB" w:rsidRDefault="00000000">
            <w:pPr>
              <w:spacing w:after="40"/>
            </w:pPr>
            <w:r>
              <w:rPr>
                <w:rFonts w:ascii="Times New Roman" w:eastAsia="新細明體" w:hAnsi="Times New Roman" w:cs="Times New Roman"/>
              </w:rPr>
              <w:t>畫質與特效</w:t>
            </w:r>
          </w:p>
        </w:tc>
        <w:tc>
          <w:tcPr>
            <w:tcW w:w="3600" w:type="dxa"/>
            <w:tcMar>
              <w:top w:w="40" w:type="dxa"/>
              <w:left w:w="80" w:type="dxa"/>
              <w:bottom w:w="40" w:type="dxa"/>
              <w:right w:w="80" w:type="dxa"/>
            </w:tcMar>
          </w:tcPr>
          <w:p w14:paraId="5D228ADA" w14:textId="77777777" w:rsidR="00D44DCB" w:rsidRDefault="00000000">
            <w:pPr>
              <w:spacing w:after="40"/>
            </w:pPr>
            <w:r>
              <w:rPr>
                <w:rFonts w:ascii="Times New Roman" w:eastAsia="新細明體" w:hAnsi="Times New Roman" w:cs="Times New Roman"/>
              </w:rPr>
              <w:t>規劃升級整體畫質與特效品質，使場景、角色及互動畫面具有較一致的質感。</w:t>
            </w:r>
          </w:p>
        </w:tc>
        <w:tc>
          <w:tcPr>
            <w:tcW w:w="1600" w:type="dxa"/>
            <w:tcMar>
              <w:top w:w="40" w:type="dxa"/>
              <w:left w:w="80" w:type="dxa"/>
              <w:bottom w:w="40" w:type="dxa"/>
              <w:right w:w="80" w:type="dxa"/>
            </w:tcMar>
          </w:tcPr>
          <w:p w14:paraId="5D228ADB" w14:textId="77777777" w:rsidR="00D44DCB" w:rsidRDefault="00000000">
            <w:pPr>
              <w:spacing w:after="40"/>
            </w:pPr>
            <w:r>
              <w:rPr>
                <w:rFonts w:ascii="Times New Roman" w:eastAsia="新細明體" w:hAnsi="Times New Roman" w:cs="Times New Roman"/>
              </w:rPr>
              <w:t>規劃中・未完成</w:t>
            </w:r>
          </w:p>
        </w:tc>
        <w:tc>
          <w:tcPr>
            <w:tcW w:w="2000" w:type="dxa"/>
            <w:tcMar>
              <w:top w:w="40" w:type="dxa"/>
              <w:left w:w="80" w:type="dxa"/>
              <w:bottom w:w="40" w:type="dxa"/>
              <w:right w:w="80" w:type="dxa"/>
            </w:tcMar>
          </w:tcPr>
          <w:p w14:paraId="5D228ADC" w14:textId="77777777" w:rsidR="00D44DCB" w:rsidRDefault="00000000">
            <w:pPr>
              <w:spacing w:after="40"/>
            </w:pPr>
            <w:r>
              <w:rPr>
                <w:rFonts w:ascii="Times New Roman" w:eastAsia="新細明體" w:hAnsi="Times New Roman" w:cs="Times New Roman"/>
              </w:rPr>
              <w:t>品質基準、效能與裝置負載</w:t>
            </w:r>
          </w:p>
        </w:tc>
      </w:tr>
      <w:tr w:rsidR="00D44DCB" w14:paraId="5D228AE3" w14:textId="77777777">
        <w:tblPrEx>
          <w:tblCellMar>
            <w:top w:w="0" w:type="dxa"/>
            <w:bottom w:w="0" w:type="dxa"/>
          </w:tblCellMar>
        </w:tblPrEx>
        <w:tc>
          <w:tcPr>
            <w:tcW w:w="800" w:type="dxa"/>
            <w:tcMar>
              <w:top w:w="40" w:type="dxa"/>
              <w:left w:w="80" w:type="dxa"/>
              <w:bottom w:w="40" w:type="dxa"/>
              <w:right w:w="80" w:type="dxa"/>
            </w:tcMar>
          </w:tcPr>
          <w:p w14:paraId="5D228ADE" w14:textId="77777777" w:rsidR="00D44DCB" w:rsidRDefault="00000000">
            <w:pPr>
              <w:spacing w:after="40"/>
            </w:pPr>
            <w:r>
              <w:rPr>
                <w:rFonts w:ascii="Times New Roman" w:eastAsia="新細明體" w:hAnsi="Times New Roman" w:cs="Times New Roman"/>
              </w:rPr>
              <w:t>F05</w:t>
            </w:r>
          </w:p>
        </w:tc>
        <w:tc>
          <w:tcPr>
            <w:tcW w:w="1600" w:type="dxa"/>
            <w:tcMar>
              <w:top w:w="40" w:type="dxa"/>
              <w:left w:w="80" w:type="dxa"/>
              <w:bottom w:w="40" w:type="dxa"/>
              <w:right w:w="80" w:type="dxa"/>
            </w:tcMar>
          </w:tcPr>
          <w:p w14:paraId="5D228ADF" w14:textId="77777777" w:rsidR="00D44DCB" w:rsidRDefault="00000000">
            <w:pPr>
              <w:spacing w:after="40"/>
            </w:pPr>
            <w:r>
              <w:rPr>
                <w:rFonts w:ascii="Times New Roman" w:eastAsia="新細明體" w:hAnsi="Times New Roman" w:cs="Times New Roman"/>
              </w:rPr>
              <w:t>UI 視覺優化</w:t>
            </w:r>
          </w:p>
        </w:tc>
        <w:tc>
          <w:tcPr>
            <w:tcW w:w="3600" w:type="dxa"/>
            <w:tcMar>
              <w:top w:w="40" w:type="dxa"/>
              <w:left w:w="80" w:type="dxa"/>
              <w:bottom w:w="40" w:type="dxa"/>
              <w:right w:w="80" w:type="dxa"/>
            </w:tcMar>
          </w:tcPr>
          <w:p w14:paraId="5D228AE0" w14:textId="77777777" w:rsidR="00D44DCB" w:rsidRDefault="00000000">
            <w:pPr>
              <w:spacing w:after="40"/>
            </w:pPr>
            <w:r>
              <w:rPr>
                <w:rFonts w:ascii="Times New Roman" w:eastAsia="新細明體" w:hAnsi="Times New Roman" w:cs="Times New Roman"/>
              </w:rPr>
              <w:t>規劃全面優化遊戲 UI 的風格與質感；《光·遇》與《動物森友會》僅作美術氛圍與品質參考，不代表複製其素材、介面或玩法。</w:t>
            </w:r>
          </w:p>
        </w:tc>
        <w:tc>
          <w:tcPr>
            <w:tcW w:w="1600" w:type="dxa"/>
            <w:tcMar>
              <w:top w:w="40" w:type="dxa"/>
              <w:left w:w="80" w:type="dxa"/>
              <w:bottom w:w="40" w:type="dxa"/>
              <w:right w:w="80" w:type="dxa"/>
            </w:tcMar>
          </w:tcPr>
          <w:p w14:paraId="5D228AE1" w14:textId="77777777" w:rsidR="00D44DCB" w:rsidRDefault="00000000">
            <w:pPr>
              <w:spacing w:after="40"/>
            </w:pPr>
            <w:r>
              <w:rPr>
                <w:rFonts w:ascii="Times New Roman" w:eastAsia="新細明體" w:hAnsi="Times New Roman" w:cs="Times New Roman"/>
              </w:rPr>
              <w:t>規劃中・未完成</w:t>
            </w:r>
          </w:p>
        </w:tc>
        <w:tc>
          <w:tcPr>
            <w:tcW w:w="2000" w:type="dxa"/>
            <w:tcMar>
              <w:top w:w="40" w:type="dxa"/>
              <w:left w:w="80" w:type="dxa"/>
              <w:bottom w:w="40" w:type="dxa"/>
              <w:right w:w="80" w:type="dxa"/>
            </w:tcMar>
          </w:tcPr>
          <w:p w14:paraId="5D228AE2" w14:textId="77777777" w:rsidR="00D44DCB" w:rsidRDefault="00000000">
            <w:pPr>
              <w:spacing w:after="40"/>
            </w:pPr>
            <w:r>
              <w:rPr>
                <w:rFonts w:ascii="Times New Roman" w:eastAsia="新細明體" w:hAnsi="Times New Roman" w:cs="Times New Roman"/>
              </w:rPr>
              <w:t>視覺規範、元件範圍與一致性</w:t>
            </w:r>
          </w:p>
        </w:tc>
      </w:tr>
      <w:tr w:rsidR="00D44DCB" w14:paraId="5D228AE9" w14:textId="77777777">
        <w:tblPrEx>
          <w:tblCellMar>
            <w:top w:w="0" w:type="dxa"/>
            <w:bottom w:w="0" w:type="dxa"/>
          </w:tblCellMar>
        </w:tblPrEx>
        <w:tc>
          <w:tcPr>
            <w:tcW w:w="800" w:type="dxa"/>
            <w:tcMar>
              <w:top w:w="40" w:type="dxa"/>
              <w:left w:w="80" w:type="dxa"/>
              <w:bottom w:w="40" w:type="dxa"/>
              <w:right w:w="80" w:type="dxa"/>
            </w:tcMar>
          </w:tcPr>
          <w:p w14:paraId="5D228AE4" w14:textId="77777777" w:rsidR="00D44DCB" w:rsidRDefault="00000000">
            <w:pPr>
              <w:spacing w:after="40"/>
            </w:pPr>
            <w:r>
              <w:rPr>
                <w:rFonts w:ascii="Times New Roman" w:eastAsia="新細明體" w:hAnsi="Times New Roman" w:cs="Times New Roman"/>
              </w:rPr>
              <w:t>F06</w:t>
            </w:r>
          </w:p>
        </w:tc>
        <w:tc>
          <w:tcPr>
            <w:tcW w:w="1600" w:type="dxa"/>
            <w:tcMar>
              <w:top w:w="40" w:type="dxa"/>
              <w:left w:w="80" w:type="dxa"/>
              <w:bottom w:w="40" w:type="dxa"/>
              <w:right w:w="80" w:type="dxa"/>
            </w:tcMar>
          </w:tcPr>
          <w:p w14:paraId="5D228AE5" w14:textId="77777777" w:rsidR="00D44DCB" w:rsidRDefault="00000000">
            <w:pPr>
              <w:spacing w:after="40"/>
            </w:pPr>
            <w:r>
              <w:rPr>
                <w:rFonts w:ascii="Times New Roman" w:eastAsia="新細明體" w:hAnsi="Times New Roman" w:cs="Times New Roman"/>
              </w:rPr>
              <w:t>登入中斷解鎖</w:t>
            </w:r>
          </w:p>
        </w:tc>
        <w:tc>
          <w:tcPr>
            <w:tcW w:w="3600" w:type="dxa"/>
            <w:tcMar>
              <w:top w:w="40" w:type="dxa"/>
              <w:left w:w="80" w:type="dxa"/>
              <w:bottom w:w="40" w:type="dxa"/>
              <w:right w:w="80" w:type="dxa"/>
            </w:tcMar>
          </w:tcPr>
          <w:p w14:paraId="5D228AE6" w14:textId="77777777" w:rsidR="00D44DCB" w:rsidRDefault="00000000">
            <w:pPr>
              <w:spacing w:after="40"/>
            </w:pPr>
            <w:r>
              <w:rPr>
                <w:rFonts w:ascii="Times New Roman" w:eastAsia="新細明體" w:hAnsi="Times New Roman" w:cs="Times New Roman"/>
              </w:rPr>
              <w:t>規劃在每日登入中斷後，以來源所述的「花錢解鎖」方式恢復領取大獎的資格。</w:t>
            </w:r>
          </w:p>
        </w:tc>
        <w:tc>
          <w:tcPr>
            <w:tcW w:w="1600" w:type="dxa"/>
            <w:tcMar>
              <w:top w:w="40" w:type="dxa"/>
              <w:left w:w="80" w:type="dxa"/>
              <w:bottom w:w="40" w:type="dxa"/>
              <w:right w:w="80" w:type="dxa"/>
            </w:tcMar>
          </w:tcPr>
          <w:p w14:paraId="5D228AE7" w14:textId="77777777" w:rsidR="00D44DCB" w:rsidRDefault="00000000">
            <w:pPr>
              <w:spacing w:after="40"/>
            </w:pPr>
            <w:r>
              <w:rPr>
                <w:rFonts w:ascii="Times New Roman" w:eastAsia="新細明體" w:hAnsi="Times New Roman" w:cs="Times New Roman"/>
              </w:rPr>
              <w:t>概念中・機制未定</w:t>
            </w:r>
          </w:p>
        </w:tc>
        <w:tc>
          <w:tcPr>
            <w:tcW w:w="2000" w:type="dxa"/>
            <w:tcMar>
              <w:top w:w="40" w:type="dxa"/>
              <w:left w:w="80" w:type="dxa"/>
              <w:bottom w:w="40" w:type="dxa"/>
              <w:right w:w="80" w:type="dxa"/>
            </w:tcMar>
          </w:tcPr>
          <w:p w14:paraId="5D228AE8" w14:textId="77777777" w:rsidR="00D44DCB" w:rsidRDefault="00000000">
            <w:pPr>
              <w:spacing w:after="40"/>
            </w:pPr>
            <w:r>
              <w:rPr>
                <w:rFonts w:ascii="Times New Roman" w:eastAsia="新細明體" w:hAnsi="Times New Roman" w:cs="Times New Roman"/>
              </w:rPr>
              <w:t>具體付費方式、價格、條件、公平性與付費壓力</w:t>
            </w:r>
          </w:p>
        </w:tc>
      </w:tr>
      <w:tr w:rsidR="00D44DCB" w14:paraId="5D228AEF" w14:textId="77777777">
        <w:tblPrEx>
          <w:tblCellMar>
            <w:top w:w="0" w:type="dxa"/>
            <w:bottom w:w="0" w:type="dxa"/>
          </w:tblCellMar>
        </w:tblPrEx>
        <w:tc>
          <w:tcPr>
            <w:tcW w:w="800" w:type="dxa"/>
            <w:tcMar>
              <w:top w:w="40" w:type="dxa"/>
              <w:left w:w="80" w:type="dxa"/>
              <w:bottom w:w="40" w:type="dxa"/>
              <w:right w:w="80" w:type="dxa"/>
            </w:tcMar>
          </w:tcPr>
          <w:p w14:paraId="5D228AEA" w14:textId="77777777" w:rsidR="00D44DCB" w:rsidRDefault="00000000">
            <w:pPr>
              <w:spacing w:after="40"/>
            </w:pPr>
            <w:r>
              <w:rPr>
                <w:rFonts w:ascii="Times New Roman" w:eastAsia="新細明體" w:hAnsi="Times New Roman" w:cs="Times New Roman"/>
              </w:rPr>
              <w:t>F07</w:t>
            </w:r>
          </w:p>
        </w:tc>
        <w:tc>
          <w:tcPr>
            <w:tcW w:w="1600" w:type="dxa"/>
            <w:tcMar>
              <w:top w:w="40" w:type="dxa"/>
              <w:left w:w="80" w:type="dxa"/>
              <w:bottom w:w="40" w:type="dxa"/>
              <w:right w:w="80" w:type="dxa"/>
            </w:tcMar>
          </w:tcPr>
          <w:p w14:paraId="5D228AEB" w14:textId="77777777" w:rsidR="00D44DCB" w:rsidRDefault="00000000">
            <w:pPr>
              <w:spacing w:after="40"/>
            </w:pPr>
            <w:r>
              <w:rPr>
                <w:rFonts w:ascii="Times New Roman" w:eastAsia="新細明體" w:hAnsi="Times New Roman" w:cs="Times New Roman"/>
              </w:rPr>
              <w:t>手機端大型訊息框</w:t>
            </w:r>
          </w:p>
        </w:tc>
        <w:tc>
          <w:tcPr>
            <w:tcW w:w="3600" w:type="dxa"/>
            <w:tcMar>
              <w:top w:w="40" w:type="dxa"/>
              <w:left w:w="80" w:type="dxa"/>
              <w:bottom w:w="40" w:type="dxa"/>
              <w:right w:w="80" w:type="dxa"/>
            </w:tcMar>
          </w:tcPr>
          <w:p w14:paraId="5D228AEC" w14:textId="77777777" w:rsidR="00D44DCB" w:rsidRDefault="00000000">
            <w:pPr>
              <w:spacing w:after="40"/>
            </w:pPr>
            <w:r>
              <w:rPr>
                <w:rFonts w:ascii="Times New Roman" w:eastAsia="新細明體" w:hAnsi="Times New Roman" w:cs="Times New Roman"/>
              </w:rPr>
              <w:t>規劃加入手機／APP 大型訊息框，作為醒目的手機端提醒介面。</w:t>
            </w:r>
          </w:p>
        </w:tc>
        <w:tc>
          <w:tcPr>
            <w:tcW w:w="1600" w:type="dxa"/>
            <w:tcMar>
              <w:top w:w="40" w:type="dxa"/>
              <w:left w:w="80" w:type="dxa"/>
              <w:bottom w:w="40" w:type="dxa"/>
              <w:right w:w="80" w:type="dxa"/>
            </w:tcMar>
          </w:tcPr>
          <w:p w14:paraId="5D228AED" w14:textId="77777777" w:rsidR="00D44DCB" w:rsidRDefault="00000000">
            <w:pPr>
              <w:spacing w:after="40"/>
            </w:pPr>
            <w:r>
              <w:rPr>
                <w:rFonts w:ascii="Times New Roman" w:eastAsia="新細明體" w:hAnsi="Times New Roman" w:cs="Times New Roman"/>
              </w:rPr>
              <w:t>概念中・機制未定</w:t>
            </w:r>
          </w:p>
        </w:tc>
        <w:tc>
          <w:tcPr>
            <w:tcW w:w="2000" w:type="dxa"/>
            <w:tcMar>
              <w:top w:w="40" w:type="dxa"/>
              <w:left w:w="80" w:type="dxa"/>
              <w:bottom w:w="40" w:type="dxa"/>
              <w:right w:w="80" w:type="dxa"/>
            </w:tcMar>
          </w:tcPr>
          <w:p w14:paraId="5D228AEE" w14:textId="77777777" w:rsidR="00D44DCB" w:rsidRDefault="00000000">
            <w:pPr>
              <w:spacing w:after="40"/>
            </w:pPr>
            <w:r>
              <w:rPr>
                <w:rFonts w:ascii="Times New Roman" w:eastAsia="新細明體" w:hAnsi="Times New Roman" w:cs="Times New Roman"/>
              </w:rPr>
              <w:t>呈現載體與顯示時機</w:t>
            </w:r>
          </w:p>
        </w:tc>
      </w:tr>
      <w:tr w:rsidR="00D44DCB" w14:paraId="5D228AF5" w14:textId="77777777">
        <w:tblPrEx>
          <w:tblCellMar>
            <w:top w:w="0" w:type="dxa"/>
            <w:bottom w:w="0" w:type="dxa"/>
          </w:tblCellMar>
        </w:tblPrEx>
        <w:tc>
          <w:tcPr>
            <w:tcW w:w="800" w:type="dxa"/>
            <w:tcMar>
              <w:top w:w="40" w:type="dxa"/>
              <w:left w:w="80" w:type="dxa"/>
              <w:bottom w:w="40" w:type="dxa"/>
              <w:right w:w="80" w:type="dxa"/>
            </w:tcMar>
          </w:tcPr>
          <w:p w14:paraId="5D228AF0" w14:textId="77777777" w:rsidR="00D44DCB" w:rsidRDefault="00000000">
            <w:pPr>
              <w:spacing w:after="40"/>
            </w:pPr>
            <w:r>
              <w:rPr>
                <w:rFonts w:ascii="Times New Roman" w:eastAsia="新細明體" w:hAnsi="Times New Roman" w:cs="Times New Roman"/>
              </w:rPr>
              <w:t>F08</w:t>
            </w:r>
          </w:p>
        </w:tc>
        <w:tc>
          <w:tcPr>
            <w:tcW w:w="1600" w:type="dxa"/>
            <w:tcMar>
              <w:top w:w="40" w:type="dxa"/>
              <w:left w:w="80" w:type="dxa"/>
              <w:bottom w:w="40" w:type="dxa"/>
              <w:right w:w="80" w:type="dxa"/>
            </w:tcMar>
          </w:tcPr>
          <w:p w14:paraId="5D228AF1" w14:textId="77777777" w:rsidR="00D44DCB" w:rsidRDefault="00000000">
            <w:pPr>
              <w:spacing w:after="40"/>
            </w:pPr>
            <w:r>
              <w:rPr>
                <w:rFonts w:ascii="Times New Roman" w:eastAsia="新細明體" w:hAnsi="Times New Roman" w:cs="Times New Roman"/>
              </w:rPr>
              <w:t>藤蔓侵蝕事件</w:t>
            </w:r>
          </w:p>
        </w:tc>
        <w:tc>
          <w:tcPr>
            <w:tcW w:w="3600" w:type="dxa"/>
            <w:tcMar>
              <w:top w:w="40" w:type="dxa"/>
              <w:left w:w="80" w:type="dxa"/>
              <w:bottom w:w="40" w:type="dxa"/>
              <w:right w:w="80" w:type="dxa"/>
            </w:tcMar>
          </w:tcPr>
          <w:p w14:paraId="5D228AF2" w14:textId="77777777" w:rsidR="00D44DCB" w:rsidRDefault="00000000">
            <w:pPr>
              <w:spacing w:after="40"/>
            </w:pPr>
            <w:r>
              <w:rPr>
                <w:rFonts w:ascii="Times New Roman" w:eastAsia="新細明體" w:hAnsi="Times New Roman" w:cs="Times New Roman"/>
              </w:rPr>
              <w:t>規劃以藤蔓撐開或破壞地板、房屋、房屋內部及島嶼的視覺／遊戲事件，呈現中斷參與後的負向回饋。</w:t>
            </w:r>
          </w:p>
        </w:tc>
        <w:tc>
          <w:tcPr>
            <w:tcW w:w="1600" w:type="dxa"/>
            <w:tcMar>
              <w:top w:w="40" w:type="dxa"/>
              <w:left w:w="80" w:type="dxa"/>
              <w:bottom w:w="40" w:type="dxa"/>
              <w:right w:w="80" w:type="dxa"/>
            </w:tcMar>
          </w:tcPr>
          <w:p w14:paraId="5D228AF3" w14:textId="77777777" w:rsidR="00D44DCB" w:rsidRDefault="00000000">
            <w:pPr>
              <w:spacing w:after="40"/>
            </w:pPr>
            <w:r>
              <w:rPr>
                <w:rFonts w:ascii="Times New Roman" w:eastAsia="新細明體" w:hAnsi="Times New Roman" w:cs="Times New Roman"/>
              </w:rPr>
              <w:t>概念中・機制未定</w:t>
            </w:r>
          </w:p>
        </w:tc>
        <w:tc>
          <w:tcPr>
            <w:tcW w:w="2000" w:type="dxa"/>
            <w:tcMar>
              <w:top w:w="40" w:type="dxa"/>
              <w:left w:w="80" w:type="dxa"/>
              <w:bottom w:w="40" w:type="dxa"/>
              <w:right w:w="80" w:type="dxa"/>
            </w:tcMar>
          </w:tcPr>
          <w:p w14:paraId="5D228AF4" w14:textId="77777777" w:rsidR="00D44DCB" w:rsidRDefault="00000000">
            <w:pPr>
              <w:spacing w:after="40"/>
            </w:pPr>
            <w:r>
              <w:rPr>
                <w:rFonts w:ascii="Times New Roman" w:eastAsia="新細明體" w:hAnsi="Times New Roman" w:cs="Times New Roman"/>
              </w:rPr>
              <w:t>觸發、程度、可逆性、復原與資產影響</w:t>
            </w:r>
          </w:p>
        </w:tc>
      </w:tr>
      <w:tr w:rsidR="00D44DCB" w14:paraId="5D228AFB" w14:textId="77777777">
        <w:tblPrEx>
          <w:tblCellMar>
            <w:top w:w="0" w:type="dxa"/>
            <w:bottom w:w="0" w:type="dxa"/>
          </w:tblCellMar>
        </w:tblPrEx>
        <w:tc>
          <w:tcPr>
            <w:tcW w:w="800" w:type="dxa"/>
            <w:tcMar>
              <w:top w:w="40" w:type="dxa"/>
              <w:left w:w="80" w:type="dxa"/>
              <w:bottom w:w="40" w:type="dxa"/>
              <w:right w:w="80" w:type="dxa"/>
            </w:tcMar>
          </w:tcPr>
          <w:p w14:paraId="5D228AF6" w14:textId="77777777" w:rsidR="00D44DCB" w:rsidRDefault="00000000">
            <w:pPr>
              <w:spacing w:after="40"/>
            </w:pPr>
            <w:r>
              <w:rPr>
                <w:rFonts w:ascii="Times New Roman" w:eastAsia="新細明體" w:hAnsi="Times New Roman" w:cs="Times New Roman"/>
              </w:rPr>
              <w:lastRenderedPageBreak/>
              <w:t>F09</w:t>
            </w:r>
          </w:p>
        </w:tc>
        <w:tc>
          <w:tcPr>
            <w:tcW w:w="1600" w:type="dxa"/>
            <w:tcMar>
              <w:top w:w="40" w:type="dxa"/>
              <w:left w:w="80" w:type="dxa"/>
              <w:bottom w:w="40" w:type="dxa"/>
              <w:right w:w="80" w:type="dxa"/>
            </w:tcMar>
          </w:tcPr>
          <w:p w14:paraId="5D228AF7" w14:textId="77777777" w:rsidR="00D44DCB" w:rsidRDefault="00000000">
            <w:pPr>
              <w:spacing w:after="40"/>
            </w:pPr>
            <w:r>
              <w:rPr>
                <w:rFonts w:ascii="Times New Roman" w:eastAsia="新細明體" w:hAnsi="Times New Roman" w:cs="Times New Roman"/>
              </w:rPr>
              <w:t>顏色變化提醒</w:t>
            </w:r>
          </w:p>
        </w:tc>
        <w:tc>
          <w:tcPr>
            <w:tcW w:w="3600" w:type="dxa"/>
            <w:tcMar>
              <w:top w:w="40" w:type="dxa"/>
              <w:left w:w="80" w:type="dxa"/>
              <w:bottom w:w="40" w:type="dxa"/>
              <w:right w:w="80" w:type="dxa"/>
            </w:tcMar>
          </w:tcPr>
          <w:p w14:paraId="5D228AF8" w14:textId="77777777" w:rsidR="00D44DCB" w:rsidRDefault="00000000">
            <w:pPr>
              <w:spacing w:after="40"/>
            </w:pPr>
            <w:r>
              <w:rPr>
                <w:rFonts w:ascii="Times New Roman" w:eastAsia="新細明體" w:hAnsi="Times New Roman" w:cs="Times New Roman"/>
              </w:rPr>
              <w:t>手機端大型訊息框規劃以明顯顏色變化提醒使用者。</w:t>
            </w:r>
          </w:p>
        </w:tc>
        <w:tc>
          <w:tcPr>
            <w:tcW w:w="1600" w:type="dxa"/>
            <w:tcMar>
              <w:top w:w="40" w:type="dxa"/>
              <w:left w:w="80" w:type="dxa"/>
              <w:bottom w:w="40" w:type="dxa"/>
              <w:right w:w="80" w:type="dxa"/>
            </w:tcMar>
          </w:tcPr>
          <w:p w14:paraId="5D228AF9" w14:textId="77777777" w:rsidR="00D44DCB" w:rsidRDefault="00000000">
            <w:pPr>
              <w:spacing w:after="40"/>
            </w:pPr>
            <w:r>
              <w:rPr>
                <w:rFonts w:ascii="Times New Roman" w:eastAsia="新細明體" w:hAnsi="Times New Roman" w:cs="Times New Roman"/>
              </w:rPr>
              <w:t>概念中・機制未定</w:t>
            </w:r>
          </w:p>
        </w:tc>
        <w:tc>
          <w:tcPr>
            <w:tcW w:w="2000" w:type="dxa"/>
            <w:tcMar>
              <w:top w:w="40" w:type="dxa"/>
              <w:left w:w="80" w:type="dxa"/>
              <w:bottom w:w="40" w:type="dxa"/>
              <w:right w:w="80" w:type="dxa"/>
            </w:tcMar>
          </w:tcPr>
          <w:p w14:paraId="5D228AFA" w14:textId="77777777" w:rsidR="00D44DCB" w:rsidRDefault="00000000">
            <w:pPr>
              <w:spacing w:after="40"/>
            </w:pPr>
            <w:r>
              <w:rPr>
                <w:rFonts w:ascii="Times New Roman" w:eastAsia="新細明體" w:hAnsi="Times New Roman" w:cs="Times New Roman"/>
              </w:rPr>
              <w:t>色彩規則、提示層級與可讀性</w:t>
            </w:r>
          </w:p>
        </w:tc>
      </w:tr>
      <w:tr w:rsidR="00D44DCB" w14:paraId="5D228B01" w14:textId="77777777">
        <w:tblPrEx>
          <w:tblCellMar>
            <w:top w:w="0" w:type="dxa"/>
            <w:bottom w:w="0" w:type="dxa"/>
          </w:tblCellMar>
        </w:tblPrEx>
        <w:tc>
          <w:tcPr>
            <w:tcW w:w="800" w:type="dxa"/>
            <w:tcMar>
              <w:top w:w="40" w:type="dxa"/>
              <w:left w:w="80" w:type="dxa"/>
              <w:bottom w:w="40" w:type="dxa"/>
              <w:right w:w="80" w:type="dxa"/>
            </w:tcMar>
          </w:tcPr>
          <w:p w14:paraId="5D228AFC" w14:textId="77777777" w:rsidR="00D44DCB" w:rsidRDefault="00000000">
            <w:pPr>
              <w:spacing w:after="40"/>
            </w:pPr>
            <w:r>
              <w:rPr>
                <w:rFonts w:ascii="Times New Roman" w:eastAsia="新細明體" w:hAnsi="Times New Roman" w:cs="Times New Roman"/>
              </w:rPr>
              <w:t>F10</w:t>
            </w:r>
          </w:p>
        </w:tc>
        <w:tc>
          <w:tcPr>
            <w:tcW w:w="1600" w:type="dxa"/>
            <w:tcMar>
              <w:top w:w="40" w:type="dxa"/>
              <w:left w:w="80" w:type="dxa"/>
              <w:bottom w:w="40" w:type="dxa"/>
              <w:right w:w="80" w:type="dxa"/>
            </w:tcMar>
          </w:tcPr>
          <w:p w14:paraId="5D228AFD" w14:textId="77777777" w:rsidR="00D44DCB" w:rsidRDefault="00000000">
            <w:pPr>
              <w:spacing w:after="40"/>
            </w:pPr>
            <w:r>
              <w:rPr>
                <w:rFonts w:ascii="Times New Roman" w:eastAsia="新細明體" w:hAnsi="Times New Roman" w:cs="Times New Roman"/>
              </w:rPr>
              <w:t>每日挑戰式通知</w:t>
            </w:r>
          </w:p>
        </w:tc>
        <w:tc>
          <w:tcPr>
            <w:tcW w:w="3600" w:type="dxa"/>
            <w:tcMar>
              <w:top w:w="40" w:type="dxa"/>
              <w:left w:w="80" w:type="dxa"/>
              <w:bottom w:w="40" w:type="dxa"/>
              <w:right w:w="80" w:type="dxa"/>
            </w:tcMar>
          </w:tcPr>
          <w:p w14:paraId="5D228AFE" w14:textId="77777777" w:rsidR="00D44DCB" w:rsidRDefault="00000000">
            <w:pPr>
              <w:spacing w:after="40"/>
            </w:pPr>
            <w:r>
              <w:rPr>
                <w:rFonts w:ascii="Times New Roman" w:eastAsia="新細明體" w:hAnsi="Times New Roman" w:cs="Times New Roman"/>
              </w:rPr>
              <w:t>規劃每日發送帶有挑戰語氣的激勵式通知（來源原稱「激將法」），用於刺激使用者重新參與。</w:t>
            </w:r>
          </w:p>
        </w:tc>
        <w:tc>
          <w:tcPr>
            <w:tcW w:w="1600" w:type="dxa"/>
            <w:tcMar>
              <w:top w:w="40" w:type="dxa"/>
              <w:left w:w="80" w:type="dxa"/>
              <w:bottom w:w="40" w:type="dxa"/>
              <w:right w:w="80" w:type="dxa"/>
            </w:tcMar>
          </w:tcPr>
          <w:p w14:paraId="5D228AFF" w14:textId="77777777" w:rsidR="00D44DCB" w:rsidRDefault="00000000">
            <w:pPr>
              <w:spacing w:after="40"/>
            </w:pPr>
            <w:r>
              <w:rPr>
                <w:rFonts w:ascii="Times New Roman" w:eastAsia="新細明體" w:hAnsi="Times New Roman" w:cs="Times New Roman"/>
              </w:rPr>
              <w:t>概念中・機制未定</w:t>
            </w:r>
          </w:p>
        </w:tc>
        <w:tc>
          <w:tcPr>
            <w:tcW w:w="2000" w:type="dxa"/>
            <w:tcMar>
              <w:top w:w="40" w:type="dxa"/>
              <w:left w:w="80" w:type="dxa"/>
              <w:bottom w:w="40" w:type="dxa"/>
              <w:right w:w="80" w:type="dxa"/>
            </w:tcMar>
          </w:tcPr>
          <w:p w14:paraId="5D228B00" w14:textId="77777777" w:rsidR="00D44DCB" w:rsidRDefault="00000000">
            <w:pPr>
              <w:spacing w:after="40"/>
            </w:pPr>
            <w:r>
              <w:rPr>
                <w:rFonts w:ascii="Times New Roman" w:eastAsia="新細明體" w:hAnsi="Times New Roman" w:cs="Times New Roman"/>
              </w:rPr>
              <w:t>頻率、文案、同意、關閉方式與心理壓力</w:t>
            </w:r>
          </w:p>
        </w:tc>
      </w:tr>
      <w:tr w:rsidR="00D44DCB" w14:paraId="5D228B07" w14:textId="77777777">
        <w:tblPrEx>
          <w:tblCellMar>
            <w:top w:w="0" w:type="dxa"/>
            <w:bottom w:w="0" w:type="dxa"/>
          </w:tblCellMar>
        </w:tblPrEx>
        <w:tc>
          <w:tcPr>
            <w:tcW w:w="800" w:type="dxa"/>
            <w:tcMar>
              <w:top w:w="40" w:type="dxa"/>
              <w:left w:w="80" w:type="dxa"/>
              <w:bottom w:w="40" w:type="dxa"/>
              <w:right w:w="80" w:type="dxa"/>
            </w:tcMar>
          </w:tcPr>
          <w:p w14:paraId="5D228B02" w14:textId="77777777" w:rsidR="00D44DCB" w:rsidRDefault="00000000">
            <w:pPr>
              <w:spacing w:after="40"/>
            </w:pPr>
            <w:r>
              <w:rPr>
                <w:rFonts w:ascii="Times New Roman" w:eastAsia="新細明體" w:hAnsi="Times New Roman" w:cs="Times New Roman"/>
              </w:rPr>
              <w:t>F11</w:t>
            </w:r>
          </w:p>
        </w:tc>
        <w:tc>
          <w:tcPr>
            <w:tcW w:w="1600" w:type="dxa"/>
            <w:tcMar>
              <w:top w:w="40" w:type="dxa"/>
              <w:left w:w="80" w:type="dxa"/>
              <w:bottom w:w="40" w:type="dxa"/>
              <w:right w:w="80" w:type="dxa"/>
            </w:tcMar>
          </w:tcPr>
          <w:p w14:paraId="5D228B03" w14:textId="77777777" w:rsidR="00D44DCB" w:rsidRDefault="00000000">
            <w:pPr>
              <w:spacing w:after="40"/>
            </w:pPr>
            <w:r>
              <w:rPr>
                <w:rFonts w:ascii="Times New Roman" w:eastAsia="新細明體" w:hAnsi="Times New Roman" w:cs="Times New Roman"/>
              </w:rPr>
              <w:t>寵物與 NPC 互動</w:t>
            </w:r>
          </w:p>
        </w:tc>
        <w:tc>
          <w:tcPr>
            <w:tcW w:w="3600" w:type="dxa"/>
            <w:tcMar>
              <w:top w:w="40" w:type="dxa"/>
              <w:left w:w="80" w:type="dxa"/>
              <w:bottom w:w="40" w:type="dxa"/>
              <w:right w:w="80" w:type="dxa"/>
            </w:tcMar>
          </w:tcPr>
          <w:p w14:paraId="5D228B04" w14:textId="77777777" w:rsidR="00D44DCB" w:rsidRDefault="00000000">
            <w:pPr>
              <w:spacing w:after="40"/>
            </w:pPr>
            <w:r>
              <w:rPr>
                <w:rFonts w:ascii="Times New Roman" w:eastAsia="新細明體" w:hAnsi="Times New Roman" w:cs="Times New Roman"/>
              </w:rPr>
              <w:t>規劃增加寵物或 NPC 與玩家之間的互動，並為不同角色建立各自特色。</w:t>
            </w:r>
          </w:p>
        </w:tc>
        <w:tc>
          <w:tcPr>
            <w:tcW w:w="1600" w:type="dxa"/>
            <w:tcMar>
              <w:top w:w="40" w:type="dxa"/>
              <w:left w:w="80" w:type="dxa"/>
              <w:bottom w:w="40" w:type="dxa"/>
              <w:right w:w="80" w:type="dxa"/>
            </w:tcMar>
          </w:tcPr>
          <w:p w14:paraId="5D228B05" w14:textId="77777777" w:rsidR="00D44DCB" w:rsidRDefault="00000000">
            <w:pPr>
              <w:spacing w:after="40"/>
            </w:pPr>
            <w:r>
              <w:rPr>
                <w:rFonts w:ascii="Times New Roman" w:eastAsia="新細明體" w:hAnsi="Times New Roman" w:cs="Times New Roman"/>
              </w:rPr>
              <w:t>規劃中・未完成</w:t>
            </w:r>
          </w:p>
        </w:tc>
        <w:tc>
          <w:tcPr>
            <w:tcW w:w="2000" w:type="dxa"/>
            <w:tcMar>
              <w:top w:w="40" w:type="dxa"/>
              <w:left w:w="80" w:type="dxa"/>
              <w:bottom w:w="40" w:type="dxa"/>
              <w:right w:w="80" w:type="dxa"/>
            </w:tcMar>
          </w:tcPr>
          <w:p w14:paraId="5D228B06" w14:textId="77777777" w:rsidR="00D44DCB" w:rsidRDefault="00000000">
            <w:pPr>
              <w:spacing w:after="40"/>
            </w:pPr>
            <w:r>
              <w:rPr>
                <w:rFonts w:ascii="Times New Roman" w:eastAsia="新細明體" w:hAnsi="Times New Roman" w:cs="Times New Roman"/>
              </w:rPr>
              <w:t>角色數量、互動流程與觸發方式</w:t>
            </w:r>
          </w:p>
        </w:tc>
      </w:tr>
      <w:tr w:rsidR="00D44DCB" w14:paraId="5D228B0D" w14:textId="77777777">
        <w:tblPrEx>
          <w:tblCellMar>
            <w:top w:w="0" w:type="dxa"/>
            <w:bottom w:w="0" w:type="dxa"/>
          </w:tblCellMar>
        </w:tblPrEx>
        <w:tc>
          <w:tcPr>
            <w:tcW w:w="800" w:type="dxa"/>
            <w:tcMar>
              <w:top w:w="40" w:type="dxa"/>
              <w:left w:w="80" w:type="dxa"/>
              <w:bottom w:w="40" w:type="dxa"/>
              <w:right w:w="80" w:type="dxa"/>
            </w:tcMar>
          </w:tcPr>
          <w:p w14:paraId="5D228B08" w14:textId="77777777" w:rsidR="00D44DCB" w:rsidRDefault="00000000">
            <w:pPr>
              <w:spacing w:after="40"/>
            </w:pPr>
            <w:r>
              <w:rPr>
                <w:rFonts w:ascii="Times New Roman" w:eastAsia="新細明體" w:hAnsi="Times New Roman" w:cs="Times New Roman"/>
              </w:rPr>
              <w:t>F12</w:t>
            </w:r>
          </w:p>
        </w:tc>
        <w:tc>
          <w:tcPr>
            <w:tcW w:w="1600" w:type="dxa"/>
            <w:tcMar>
              <w:top w:w="40" w:type="dxa"/>
              <w:left w:w="80" w:type="dxa"/>
              <w:bottom w:w="40" w:type="dxa"/>
              <w:right w:w="80" w:type="dxa"/>
            </w:tcMar>
          </w:tcPr>
          <w:p w14:paraId="5D228B09" w14:textId="77777777" w:rsidR="00D44DCB" w:rsidRDefault="00000000">
            <w:pPr>
              <w:spacing w:after="40"/>
            </w:pPr>
            <w:r>
              <w:rPr>
                <w:rFonts w:ascii="Times New Roman" w:eastAsia="新細明體" w:hAnsi="Times New Roman" w:cs="Times New Roman"/>
              </w:rPr>
              <w:t>動物 NPC 與職務</w:t>
            </w:r>
          </w:p>
        </w:tc>
        <w:tc>
          <w:tcPr>
            <w:tcW w:w="3600" w:type="dxa"/>
            <w:tcMar>
              <w:top w:w="40" w:type="dxa"/>
              <w:left w:w="80" w:type="dxa"/>
              <w:bottom w:w="40" w:type="dxa"/>
              <w:right w:w="80" w:type="dxa"/>
            </w:tcMar>
          </w:tcPr>
          <w:p w14:paraId="5D228B0A" w14:textId="77777777" w:rsidR="00D44DCB" w:rsidRDefault="00000000">
            <w:pPr>
              <w:spacing w:after="40"/>
            </w:pPr>
            <w:r>
              <w:rPr>
                <w:rFonts w:ascii="Times New Roman" w:eastAsia="新細明體" w:hAnsi="Times New Roman" w:cs="Times New Roman"/>
              </w:rPr>
              <w:t>NPC 規劃多以動物外觀呈現，採人類化行為與園丁、管家等職務設定；不同 NPC 將對島嶼產生各自的正向作用。</w:t>
            </w:r>
          </w:p>
        </w:tc>
        <w:tc>
          <w:tcPr>
            <w:tcW w:w="1600" w:type="dxa"/>
            <w:tcMar>
              <w:top w:w="40" w:type="dxa"/>
              <w:left w:w="80" w:type="dxa"/>
              <w:bottom w:w="40" w:type="dxa"/>
              <w:right w:w="80" w:type="dxa"/>
            </w:tcMar>
          </w:tcPr>
          <w:p w14:paraId="5D228B0B" w14:textId="77777777" w:rsidR="00D44DCB" w:rsidRDefault="00000000">
            <w:pPr>
              <w:spacing w:after="40"/>
            </w:pPr>
            <w:r>
              <w:rPr>
                <w:rFonts w:ascii="Times New Roman" w:eastAsia="新細明體" w:hAnsi="Times New Roman" w:cs="Times New Roman"/>
              </w:rPr>
              <w:t>規劃中・未完成</w:t>
            </w:r>
          </w:p>
        </w:tc>
        <w:tc>
          <w:tcPr>
            <w:tcW w:w="2000" w:type="dxa"/>
            <w:tcMar>
              <w:top w:w="40" w:type="dxa"/>
              <w:left w:w="80" w:type="dxa"/>
              <w:bottom w:w="40" w:type="dxa"/>
              <w:right w:w="80" w:type="dxa"/>
            </w:tcMar>
          </w:tcPr>
          <w:p w14:paraId="5D228B0C" w14:textId="77777777" w:rsidR="00D44DCB" w:rsidRDefault="00000000">
            <w:pPr>
              <w:spacing w:after="40"/>
            </w:pPr>
            <w:r>
              <w:rPr>
                <w:rFonts w:ascii="Times New Roman" w:eastAsia="新細明體" w:hAnsi="Times New Roman" w:cs="Times New Roman"/>
              </w:rPr>
              <w:t>職務內容、正向作用、數值與規則</w:t>
            </w:r>
          </w:p>
        </w:tc>
      </w:tr>
      <w:tr w:rsidR="00D44DCB" w14:paraId="5D228B13" w14:textId="77777777">
        <w:tblPrEx>
          <w:tblCellMar>
            <w:top w:w="0" w:type="dxa"/>
            <w:bottom w:w="0" w:type="dxa"/>
          </w:tblCellMar>
        </w:tblPrEx>
        <w:tc>
          <w:tcPr>
            <w:tcW w:w="800" w:type="dxa"/>
            <w:tcMar>
              <w:top w:w="40" w:type="dxa"/>
              <w:left w:w="80" w:type="dxa"/>
              <w:bottom w:w="40" w:type="dxa"/>
              <w:right w:w="80" w:type="dxa"/>
            </w:tcMar>
          </w:tcPr>
          <w:p w14:paraId="5D228B0E" w14:textId="77777777" w:rsidR="00D44DCB" w:rsidRDefault="00000000">
            <w:pPr>
              <w:spacing w:after="40"/>
            </w:pPr>
            <w:r>
              <w:rPr>
                <w:rFonts w:ascii="Times New Roman" w:eastAsia="新細明體" w:hAnsi="Times New Roman" w:cs="Times New Roman"/>
              </w:rPr>
              <w:t>F13</w:t>
            </w:r>
          </w:p>
        </w:tc>
        <w:tc>
          <w:tcPr>
            <w:tcW w:w="1600" w:type="dxa"/>
            <w:tcMar>
              <w:top w:w="40" w:type="dxa"/>
              <w:left w:w="80" w:type="dxa"/>
              <w:bottom w:w="40" w:type="dxa"/>
              <w:right w:w="80" w:type="dxa"/>
            </w:tcMar>
          </w:tcPr>
          <w:p w14:paraId="5D228B0F" w14:textId="77777777" w:rsidR="00D44DCB" w:rsidRDefault="00000000">
            <w:pPr>
              <w:spacing w:after="40"/>
            </w:pPr>
            <w:r>
              <w:rPr>
                <w:rFonts w:ascii="Times New Roman" w:eastAsia="新細明體" w:hAnsi="Times New Roman" w:cs="Times New Roman"/>
              </w:rPr>
              <w:t>載入畫面</w:t>
            </w:r>
          </w:p>
        </w:tc>
        <w:tc>
          <w:tcPr>
            <w:tcW w:w="3600" w:type="dxa"/>
            <w:tcMar>
              <w:top w:w="40" w:type="dxa"/>
              <w:left w:w="80" w:type="dxa"/>
              <w:bottom w:w="40" w:type="dxa"/>
              <w:right w:w="80" w:type="dxa"/>
            </w:tcMar>
          </w:tcPr>
          <w:p w14:paraId="5D228B10" w14:textId="77777777" w:rsidR="00D44DCB" w:rsidRDefault="00000000">
            <w:pPr>
              <w:spacing w:after="40"/>
            </w:pPr>
            <w:r>
              <w:rPr>
                <w:rFonts w:ascii="Times New Roman" w:eastAsia="新細明體" w:hAnsi="Times New Roman" w:cs="Times New Roman"/>
              </w:rPr>
              <w:t>規劃重新設計載入畫面，使其具備更明確的美感，並延續整體遊戲的視覺風格。</w:t>
            </w:r>
          </w:p>
        </w:tc>
        <w:tc>
          <w:tcPr>
            <w:tcW w:w="1600" w:type="dxa"/>
            <w:tcMar>
              <w:top w:w="40" w:type="dxa"/>
              <w:left w:w="80" w:type="dxa"/>
              <w:bottom w:w="40" w:type="dxa"/>
              <w:right w:w="80" w:type="dxa"/>
            </w:tcMar>
          </w:tcPr>
          <w:p w14:paraId="5D228B11" w14:textId="77777777" w:rsidR="00D44DCB" w:rsidRDefault="00000000">
            <w:pPr>
              <w:spacing w:after="40"/>
            </w:pPr>
            <w:r>
              <w:rPr>
                <w:rFonts w:ascii="Times New Roman" w:eastAsia="新細明體" w:hAnsi="Times New Roman" w:cs="Times New Roman"/>
              </w:rPr>
              <w:t>規劃中・未完成</w:t>
            </w:r>
          </w:p>
        </w:tc>
        <w:tc>
          <w:tcPr>
            <w:tcW w:w="2000" w:type="dxa"/>
            <w:tcMar>
              <w:top w:w="40" w:type="dxa"/>
              <w:left w:w="80" w:type="dxa"/>
              <w:bottom w:w="40" w:type="dxa"/>
              <w:right w:w="80" w:type="dxa"/>
            </w:tcMar>
          </w:tcPr>
          <w:p w14:paraId="5D228B12" w14:textId="77777777" w:rsidR="00D44DCB" w:rsidRDefault="00000000">
            <w:pPr>
              <w:spacing w:after="40"/>
            </w:pPr>
            <w:r>
              <w:rPr>
                <w:rFonts w:ascii="Times New Roman" w:eastAsia="新細明體" w:hAnsi="Times New Roman" w:cs="Times New Roman"/>
              </w:rPr>
              <w:t>版面、動畫與載入資訊</w:t>
            </w:r>
          </w:p>
        </w:tc>
      </w:tr>
      <w:tr w:rsidR="00D44DCB" w14:paraId="5D228B19" w14:textId="77777777">
        <w:tblPrEx>
          <w:tblCellMar>
            <w:top w:w="0" w:type="dxa"/>
            <w:bottom w:w="0" w:type="dxa"/>
          </w:tblCellMar>
        </w:tblPrEx>
        <w:tc>
          <w:tcPr>
            <w:tcW w:w="800" w:type="dxa"/>
            <w:tcMar>
              <w:top w:w="40" w:type="dxa"/>
              <w:left w:w="80" w:type="dxa"/>
              <w:bottom w:w="40" w:type="dxa"/>
              <w:right w:w="80" w:type="dxa"/>
            </w:tcMar>
          </w:tcPr>
          <w:p w14:paraId="5D228B14" w14:textId="77777777" w:rsidR="00D44DCB" w:rsidRDefault="00000000">
            <w:pPr>
              <w:spacing w:after="40"/>
            </w:pPr>
            <w:r>
              <w:rPr>
                <w:rFonts w:ascii="Times New Roman" w:eastAsia="新細明體" w:hAnsi="Times New Roman" w:cs="Times New Roman"/>
              </w:rPr>
              <w:t>F14</w:t>
            </w:r>
          </w:p>
        </w:tc>
        <w:tc>
          <w:tcPr>
            <w:tcW w:w="1600" w:type="dxa"/>
            <w:tcMar>
              <w:top w:w="40" w:type="dxa"/>
              <w:left w:w="80" w:type="dxa"/>
              <w:bottom w:w="40" w:type="dxa"/>
              <w:right w:w="80" w:type="dxa"/>
            </w:tcMar>
          </w:tcPr>
          <w:p w14:paraId="5D228B15" w14:textId="77777777" w:rsidR="00D44DCB" w:rsidRDefault="00000000">
            <w:pPr>
              <w:spacing w:after="40"/>
            </w:pPr>
            <w:r>
              <w:rPr>
                <w:rFonts w:ascii="Times New Roman" w:eastAsia="新細明體" w:hAnsi="Times New Roman" w:cs="Times New Roman"/>
              </w:rPr>
              <w:t>新手引導</w:t>
            </w:r>
          </w:p>
        </w:tc>
        <w:tc>
          <w:tcPr>
            <w:tcW w:w="3600" w:type="dxa"/>
            <w:tcMar>
              <w:top w:w="40" w:type="dxa"/>
              <w:left w:w="80" w:type="dxa"/>
              <w:bottom w:w="40" w:type="dxa"/>
              <w:right w:w="80" w:type="dxa"/>
            </w:tcMar>
          </w:tcPr>
          <w:p w14:paraId="5D228B16" w14:textId="77777777" w:rsidR="00D44DCB" w:rsidRDefault="00000000">
            <w:pPr>
              <w:spacing w:after="40"/>
            </w:pPr>
            <w:r>
              <w:rPr>
                <w:rFonts w:ascii="Times New Roman" w:eastAsia="新細明體" w:hAnsi="Times New Roman" w:cs="Times New Roman"/>
              </w:rPr>
              <w:t>規劃進一步完善新手引導，使首次進入遊戲的使用者更容易理解主要介面、操作順序與核心功能。</w:t>
            </w:r>
          </w:p>
        </w:tc>
        <w:tc>
          <w:tcPr>
            <w:tcW w:w="1600" w:type="dxa"/>
            <w:tcMar>
              <w:top w:w="40" w:type="dxa"/>
              <w:left w:w="80" w:type="dxa"/>
              <w:bottom w:w="40" w:type="dxa"/>
              <w:right w:w="80" w:type="dxa"/>
            </w:tcMar>
          </w:tcPr>
          <w:p w14:paraId="5D228B17" w14:textId="77777777" w:rsidR="00D44DCB" w:rsidRDefault="00000000">
            <w:pPr>
              <w:spacing w:after="40"/>
            </w:pPr>
            <w:r>
              <w:rPr>
                <w:rFonts w:ascii="Times New Roman" w:eastAsia="新細明體" w:hAnsi="Times New Roman" w:cs="Times New Roman"/>
              </w:rPr>
              <w:t>規劃中・未完成</w:t>
            </w:r>
          </w:p>
        </w:tc>
        <w:tc>
          <w:tcPr>
            <w:tcW w:w="2000" w:type="dxa"/>
            <w:tcMar>
              <w:top w:w="40" w:type="dxa"/>
              <w:left w:w="80" w:type="dxa"/>
              <w:bottom w:w="40" w:type="dxa"/>
              <w:right w:w="80" w:type="dxa"/>
            </w:tcMar>
          </w:tcPr>
          <w:p w14:paraId="5D228B18" w14:textId="77777777" w:rsidR="00D44DCB" w:rsidRDefault="00000000">
            <w:pPr>
              <w:spacing w:after="40"/>
            </w:pPr>
            <w:r>
              <w:rPr>
                <w:rFonts w:ascii="Times New Roman" w:eastAsia="新細明體" w:hAnsi="Times New Roman" w:cs="Times New Roman"/>
              </w:rPr>
              <w:t>引導步驟、觸發與完成條件</w:t>
            </w:r>
          </w:p>
        </w:tc>
      </w:tr>
      <w:tr w:rsidR="00D44DCB" w14:paraId="5D228B1F" w14:textId="77777777">
        <w:tblPrEx>
          <w:tblCellMar>
            <w:top w:w="0" w:type="dxa"/>
            <w:bottom w:w="0" w:type="dxa"/>
          </w:tblCellMar>
        </w:tblPrEx>
        <w:tc>
          <w:tcPr>
            <w:tcW w:w="800" w:type="dxa"/>
            <w:tcMar>
              <w:top w:w="40" w:type="dxa"/>
              <w:left w:w="80" w:type="dxa"/>
              <w:bottom w:w="40" w:type="dxa"/>
              <w:right w:w="80" w:type="dxa"/>
            </w:tcMar>
          </w:tcPr>
          <w:p w14:paraId="5D228B1A" w14:textId="77777777" w:rsidR="00D44DCB" w:rsidRDefault="00000000">
            <w:pPr>
              <w:spacing w:after="40"/>
            </w:pPr>
            <w:r>
              <w:rPr>
                <w:rFonts w:ascii="Times New Roman" w:eastAsia="新細明體" w:hAnsi="Times New Roman" w:cs="Times New Roman"/>
              </w:rPr>
              <w:t>F15</w:t>
            </w:r>
          </w:p>
        </w:tc>
        <w:tc>
          <w:tcPr>
            <w:tcW w:w="1600" w:type="dxa"/>
            <w:tcMar>
              <w:top w:w="40" w:type="dxa"/>
              <w:left w:w="80" w:type="dxa"/>
              <w:bottom w:w="40" w:type="dxa"/>
              <w:right w:w="80" w:type="dxa"/>
            </w:tcMar>
          </w:tcPr>
          <w:p w14:paraId="5D228B1B" w14:textId="77777777" w:rsidR="00D44DCB" w:rsidRDefault="00000000">
            <w:pPr>
              <w:spacing w:after="40"/>
            </w:pPr>
            <w:r>
              <w:rPr>
                <w:rFonts w:ascii="Times New Roman" w:eastAsia="新細明體" w:hAnsi="Times New Roman" w:cs="Times New Roman"/>
              </w:rPr>
              <w:t>持續參與意圖</w:t>
            </w:r>
          </w:p>
        </w:tc>
        <w:tc>
          <w:tcPr>
            <w:tcW w:w="3600" w:type="dxa"/>
            <w:tcMar>
              <w:top w:w="40" w:type="dxa"/>
              <w:left w:w="80" w:type="dxa"/>
              <w:bottom w:w="40" w:type="dxa"/>
              <w:right w:w="80" w:type="dxa"/>
            </w:tcMar>
          </w:tcPr>
          <w:p w14:paraId="5D228B1C" w14:textId="77777777" w:rsidR="00D44DCB" w:rsidRDefault="00000000">
            <w:pPr>
              <w:spacing w:after="40"/>
            </w:pPr>
            <w:r>
              <w:rPr>
                <w:rFonts w:ascii="Times New Roman" w:eastAsia="新細明體" w:hAnsi="Times New Roman" w:cs="Times New Roman"/>
              </w:rPr>
              <w:t>上述提醒、後果與互動規劃旨在增加使用者留存與持續參與感，但目前尚無實際測試結果。</w:t>
            </w:r>
          </w:p>
        </w:tc>
        <w:tc>
          <w:tcPr>
            <w:tcW w:w="1600" w:type="dxa"/>
            <w:tcMar>
              <w:top w:w="40" w:type="dxa"/>
              <w:left w:w="80" w:type="dxa"/>
              <w:bottom w:w="40" w:type="dxa"/>
              <w:right w:w="80" w:type="dxa"/>
            </w:tcMar>
          </w:tcPr>
          <w:p w14:paraId="5D228B1D" w14:textId="77777777" w:rsidR="00D44DCB" w:rsidRDefault="00000000">
            <w:pPr>
              <w:spacing w:after="40"/>
            </w:pPr>
            <w:r>
              <w:rPr>
                <w:rFonts w:ascii="Times New Roman" w:eastAsia="新細明體" w:hAnsi="Times New Roman" w:cs="Times New Roman"/>
              </w:rPr>
              <w:t>設計意圖・尚待驗證</w:t>
            </w:r>
          </w:p>
        </w:tc>
        <w:tc>
          <w:tcPr>
            <w:tcW w:w="2000" w:type="dxa"/>
            <w:tcMar>
              <w:top w:w="40" w:type="dxa"/>
              <w:left w:w="80" w:type="dxa"/>
              <w:bottom w:w="40" w:type="dxa"/>
              <w:right w:w="80" w:type="dxa"/>
            </w:tcMar>
          </w:tcPr>
          <w:p w14:paraId="5D228B1E" w14:textId="77777777" w:rsidR="00D44DCB" w:rsidRDefault="00000000">
            <w:pPr>
              <w:spacing w:after="40"/>
            </w:pPr>
            <w:r>
              <w:rPr>
                <w:rFonts w:ascii="Times New Roman" w:eastAsia="新細明體" w:hAnsi="Times New Roman" w:cs="Times New Roman"/>
              </w:rPr>
              <w:t>接受度、回訪行為與實際使用結果</w:t>
            </w:r>
          </w:p>
        </w:tc>
      </w:tr>
      <w:tr w:rsidR="00D44DCB" w14:paraId="5D228B25" w14:textId="77777777">
        <w:tblPrEx>
          <w:tblCellMar>
            <w:top w:w="0" w:type="dxa"/>
            <w:bottom w:w="0" w:type="dxa"/>
          </w:tblCellMar>
        </w:tblPrEx>
        <w:tc>
          <w:tcPr>
            <w:tcW w:w="800" w:type="dxa"/>
            <w:tcMar>
              <w:top w:w="40" w:type="dxa"/>
              <w:left w:w="80" w:type="dxa"/>
              <w:bottom w:w="40" w:type="dxa"/>
              <w:right w:w="80" w:type="dxa"/>
            </w:tcMar>
          </w:tcPr>
          <w:p w14:paraId="5D228B20" w14:textId="77777777" w:rsidR="00D44DCB" w:rsidRDefault="00000000">
            <w:pPr>
              <w:spacing w:after="40"/>
            </w:pPr>
            <w:r>
              <w:rPr>
                <w:rFonts w:ascii="Times New Roman" w:eastAsia="新細明體" w:hAnsi="Times New Roman" w:cs="Times New Roman"/>
              </w:rPr>
              <w:t>F16</w:t>
            </w:r>
          </w:p>
        </w:tc>
        <w:tc>
          <w:tcPr>
            <w:tcW w:w="1600" w:type="dxa"/>
            <w:tcMar>
              <w:top w:w="40" w:type="dxa"/>
              <w:left w:w="80" w:type="dxa"/>
              <w:bottom w:w="40" w:type="dxa"/>
              <w:right w:w="80" w:type="dxa"/>
            </w:tcMar>
          </w:tcPr>
          <w:p w14:paraId="5D228B21" w14:textId="77777777" w:rsidR="00D44DCB" w:rsidRDefault="00000000">
            <w:pPr>
              <w:spacing w:after="40"/>
            </w:pPr>
            <w:r>
              <w:rPr>
                <w:rFonts w:ascii="Times New Roman" w:eastAsia="新細明體" w:hAnsi="Times New Roman" w:cs="Times New Roman"/>
              </w:rPr>
              <w:t>飾品稀有度系統</w:t>
            </w:r>
          </w:p>
        </w:tc>
        <w:tc>
          <w:tcPr>
            <w:tcW w:w="3600" w:type="dxa"/>
            <w:tcMar>
              <w:top w:w="40" w:type="dxa"/>
              <w:left w:w="80" w:type="dxa"/>
              <w:bottom w:w="40" w:type="dxa"/>
              <w:right w:w="80" w:type="dxa"/>
            </w:tcMar>
          </w:tcPr>
          <w:p w14:paraId="5D228B22" w14:textId="77777777" w:rsidR="00D44DCB" w:rsidRDefault="00000000">
            <w:pPr>
              <w:spacing w:after="40"/>
            </w:pPr>
            <w:r>
              <w:rPr>
                <w:rFonts w:ascii="Times New Roman" w:eastAsia="新細明體" w:hAnsi="Times New Roman" w:cs="Times New Roman"/>
              </w:rPr>
              <w:t xml:space="preserve">商品分為「普通、稀有、史詩、神話」四種等級，商店內各等級占比分別為 60%、25%、12%、3%；越稀有的商品獲得時特效、動畫與音效越華麗。頂級商品（如神話級鳳凰）約需累積 5,000–6,000 金幣；稀有度較高者改以經驗值而非金幣購買。輪盤抽獎命中率：碎片 48%、抽獎券 15%、功能卡 20%、普通 8%、稀有 5%、史詩 3%、神話 1%。</w:t>
            </w:r>
          </w:p>
        </w:tc>
        <w:tc>
          <w:tcPr>
            <w:tcW w:w="1600" w:type="dxa"/>
            <w:tcMar>
              <w:top w:w="40" w:type="dxa"/>
              <w:left w:w="80" w:type="dxa"/>
              <w:bottom w:w="40" w:type="dxa"/>
              <w:right w:w="80" w:type="dxa"/>
            </w:tcMar>
          </w:tcPr>
          <w:p w14:paraId="5D228B23" w14:textId="77777777" w:rsidR="00D44DCB" w:rsidRDefault="00000000">
            <w:pPr>
              <w:spacing w:after="40"/>
            </w:pPr>
            <w:r>
              <w:rPr>
                <w:rFonts w:ascii="Times New Roman" w:eastAsia="新細明體" w:hAnsi="Times New Roman" w:cs="Times New Roman"/>
              </w:rPr>
              <w:t>未來藍圖・規劃中</w:t>
            </w:r>
          </w:p>
        </w:tc>
        <w:tc>
          <w:tcPr>
            <w:tcW w:w="2000" w:type="dxa"/>
            <w:tcMar>
              <w:top w:w="40" w:type="dxa"/>
              <w:left w:w="80" w:type="dxa"/>
              <w:bottom w:w="40" w:type="dxa"/>
              <w:right w:w="80" w:type="dxa"/>
            </w:tcMar>
          </w:tcPr>
          <w:p w14:paraId="5D228B24" w14:textId="77777777" w:rsidR="00D44DCB" w:rsidRDefault="00000000">
            <w:pPr>
              <w:spacing w:after="40"/>
            </w:pPr>
            <w:r>
              <w:rPr>
                <w:rFonts w:ascii="Times New Roman" w:eastAsia="新細明體" w:hAnsi="Times New Roman" w:cs="Times New Roman"/>
              </w:rPr>
              <w:t xml:space="preserve">各等級定價、經驗值兌換比例、機率平衡與經濟調控</w:t>
            </w:r>
          </w:p>
        </w:tc>
      </w:tr>
      <w:tr w:rsidR="00D44DCB" w14:paraId="5D228B2B" w14:textId="77777777">
        <w:tblPrEx>
          <w:tblCellMar>
            <w:top w:w="0" w:type="dxa"/>
            <w:bottom w:w="0" w:type="dxa"/>
          </w:tblCellMar>
        </w:tblPrEx>
        <w:tc>
          <w:tcPr>
            <w:tcW w:w="800" w:type="dxa"/>
            <w:tcMar>
              <w:top w:w="40" w:type="dxa"/>
              <w:left w:w="80" w:type="dxa"/>
              <w:bottom w:w="40" w:type="dxa"/>
              <w:right w:w="80" w:type="dxa"/>
            </w:tcMar>
          </w:tcPr>
          <w:p w14:paraId="5D228B26" w14:textId="77777777" w:rsidR="00D44DCB" w:rsidRDefault="00000000">
            <w:pPr>
              <w:spacing w:after="40"/>
            </w:pPr>
            <w:r>
              <w:rPr>
                <w:rFonts w:ascii="Times New Roman" w:eastAsia="新細明體" w:hAnsi="Times New Roman" w:cs="Times New Roman"/>
              </w:rPr>
              <w:t>F17</w:t>
            </w:r>
          </w:p>
        </w:tc>
        <w:tc>
          <w:tcPr>
            <w:tcW w:w="1600" w:type="dxa"/>
            <w:tcMar>
              <w:top w:w="40" w:type="dxa"/>
              <w:left w:w="80" w:type="dxa"/>
              <w:bottom w:w="40" w:type="dxa"/>
              <w:right w:w="80" w:type="dxa"/>
            </w:tcMar>
          </w:tcPr>
          <w:p w14:paraId="5D228B27" w14:textId="77777777" w:rsidR="00D44DCB" w:rsidRDefault="00000000">
            <w:pPr>
              <w:spacing w:after="40"/>
            </w:pPr>
            <w:r>
              <w:rPr>
                <w:rFonts w:ascii="Times New Roman" w:eastAsia="新細明體" w:hAnsi="Times New Roman" w:cs="Times New Roman"/>
              </w:rPr>
              <w:t>飾品與角色全面優化</w:t>
            </w:r>
          </w:p>
        </w:tc>
        <w:tc>
          <w:tcPr>
            <w:tcW w:w="3600" w:type="dxa"/>
            <w:tcMar>
              <w:top w:w="40" w:type="dxa"/>
              <w:left w:w="80" w:type="dxa"/>
              <w:bottom w:w="40" w:type="dxa"/>
              <w:right w:w="80" w:type="dxa"/>
            </w:tcMar>
          </w:tcPr>
          <w:p w14:paraId="5D228B28" w14:textId="77777777" w:rsidR="00D44DCB" w:rsidRDefault="00000000">
            <w:pPr>
              <w:spacing w:after="40"/>
            </w:pPr>
            <w:r>
              <w:rPr>
                <w:rFonts w:ascii="Times New Roman" w:eastAsia="新細明體" w:hAnsi="Times New Roman" w:cs="Times New Roman"/>
              </w:rPr>
              <w:t>全面優化人物飾品性能與整體畫風，調整過去吸引力不足的飾品以提升使用者購買意願。</w:t>
            </w:r>
          </w:p>
        </w:tc>
        <w:tc>
          <w:tcPr>
            <w:tcW w:w="1600" w:type="dxa"/>
            <w:tcMar>
              <w:top w:w="40" w:type="dxa"/>
              <w:left w:w="80" w:type="dxa"/>
              <w:bottom w:w="40" w:type="dxa"/>
              <w:right w:w="80" w:type="dxa"/>
            </w:tcMar>
          </w:tcPr>
          <w:p w14:paraId="5D228B29" w14:textId="77777777" w:rsidR="00D44DCB" w:rsidRDefault="00000000">
            <w:pPr>
              <w:spacing w:after="40"/>
            </w:pPr>
            <w:r>
              <w:rPr>
                <w:rFonts w:ascii="Times New Roman" w:eastAsia="新細明體" w:hAnsi="Times New Roman" w:cs="Times New Roman"/>
              </w:rPr>
              <w:t>未來藍圖・規劃中</w:t>
            </w:r>
          </w:p>
        </w:tc>
        <w:tc>
          <w:tcPr>
            <w:tcW w:w="2000" w:type="dxa"/>
            <w:tcMar>
              <w:top w:w="40" w:type="dxa"/>
              <w:left w:w="80" w:type="dxa"/>
              <w:bottom w:w="40" w:type="dxa"/>
              <w:right w:w="80" w:type="dxa"/>
            </w:tcMar>
          </w:tcPr>
          <w:p w14:paraId="5D228B2A" w14:textId="77777777" w:rsidR="00D44DCB" w:rsidRDefault="00000000">
            <w:pPr>
              <w:spacing w:after="40"/>
            </w:pPr>
            <w:r>
              <w:rPr>
                <w:rFonts w:ascii="Times New Roman" w:eastAsia="新細明體" w:hAnsi="Times New Roman" w:cs="Times New Roman"/>
              </w:rPr>
              <w:t>優化範圍、新舊飾品替換規則</w:t>
            </w:r>
          </w:p>
        </w:tc>
      </w:tr>
      <w:tr w:rsidR="00D44DCB" w14:paraId="5D228B31" w14:textId="77777777">
        <w:tblPrEx>
          <w:tblCellMar>
            <w:top w:w="0" w:type="dxa"/>
            <w:bottom w:w="0" w:type="dxa"/>
          </w:tblCellMar>
        </w:tblPrEx>
        <w:tc>
          <w:tcPr>
            <w:tcW w:w="800" w:type="dxa"/>
            <w:tcMar>
              <w:top w:w="40" w:type="dxa"/>
              <w:left w:w="80" w:type="dxa"/>
              <w:bottom w:w="40" w:type="dxa"/>
              <w:right w:w="80" w:type="dxa"/>
            </w:tcMar>
          </w:tcPr>
          <w:p w14:paraId="5D228B2C" w14:textId="77777777" w:rsidR="00D44DCB" w:rsidRDefault="00000000">
            <w:pPr>
              <w:spacing w:after="40"/>
            </w:pPr>
            <w:r>
              <w:rPr>
                <w:rFonts w:ascii="Times New Roman" w:eastAsia="新細明體" w:hAnsi="Times New Roman" w:cs="Times New Roman"/>
              </w:rPr>
              <w:t>F18</w:t>
            </w:r>
          </w:p>
        </w:tc>
        <w:tc>
          <w:tcPr>
            <w:tcW w:w="1600" w:type="dxa"/>
            <w:tcMar>
              <w:top w:w="40" w:type="dxa"/>
              <w:left w:w="80" w:type="dxa"/>
              <w:bottom w:w="40" w:type="dxa"/>
              <w:right w:w="80" w:type="dxa"/>
            </w:tcMar>
          </w:tcPr>
          <w:p w14:paraId="5D228B2D" w14:textId="77777777" w:rsidR="00D44DCB" w:rsidRDefault="00000000">
            <w:pPr>
              <w:spacing w:after="40"/>
            </w:pPr>
            <w:r>
              <w:rPr>
                <w:rFonts w:ascii="Times New Roman" w:eastAsia="新細明體" w:hAnsi="Times New Roman" w:cs="Times New Roman"/>
              </w:rPr>
              <w:t>新手即時回饋</w:t>
            </w:r>
          </w:p>
        </w:tc>
        <w:tc>
          <w:tcPr>
            <w:tcW w:w="3600" w:type="dxa"/>
            <w:tcMar>
              <w:top w:w="40" w:type="dxa"/>
              <w:left w:w="80" w:type="dxa"/>
              <w:bottom w:w="40" w:type="dxa"/>
              <w:right w:w="80" w:type="dxa"/>
            </w:tcMar>
          </w:tcPr>
          <w:p w14:paraId="5D228B2E" w14:textId="77777777" w:rsidR="00D44DCB" w:rsidRDefault="00000000">
            <w:pPr>
              <w:spacing w:after="40"/>
            </w:pPr>
            <w:r>
              <w:rPr>
                <w:rFonts w:ascii="Times New Roman" w:eastAsia="新細明體" w:hAnsi="Times New Roman" w:cs="Times New Roman"/>
              </w:rPr>
              <w:t>玩家首次完成健身即獲得十餘枚金幣，確保新手有即時成就回饋，避免初始門檻過高導致放棄。</w:t>
            </w:r>
          </w:p>
        </w:tc>
        <w:tc>
          <w:tcPr>
            <w:tcW w:w="1600" w:type="dxa"/>
            <w:tcMar>
              <w:top w:w="40" w:type="dxa"/>
              <w:left w:w="80" w:type="dxa"/>
              <w:bottom w:w="40" w:type="dxa"/>
              <w:right w:w="80" w:type="dxa"/>
            </w:tcMar>
          </w:tcPr>
          <w:p w14:paraId="5D228B2F" w14:textId="77777777" w:rsidR="00D44DCB" w:rsidRDefault="00000000">
            <w:pPr>
              <w:spacing w:after="40"/>
            </w:pPr>
            <w:r>
              <w:rPr>
                <w:rFonts w:ascii="Times New Roman" w:eastAsia="新細明體" w:hAnsi="Times New Roman" w:cs="Times New Roman"/>
              </w:rPr>
              <w:t>未來藍圖・規劃中</w:t>
            </w:r>
          </w:p>
        </w:tc>
        <w:tc>
          <w:tcPr>
            <w:tcW w:w="2000" w:type="dxa"/>
            <w:tcMar>
              <w:top w:w="40" w:type="dxa"/>
              <w:left w:w="80" w:type="dxa"/>
              <w:bottom w:w="40" w:type="dxa"/>
              <w:right w:w="80" w:type="dxa"/>
            </w:tcMar>
          </w:tcPr>
          <w:p w14:paraId="5D228B30" w14:textId="77777777" w:rsidR="00D44DCB" w:rsidRDefault="00000000">
            <w:pPr>
              <w:spacing w:after="40"/>
            </w:pPr>
            <w:r>
              <w:rPr>
                <w:rFonts w:ascii="Times New Roman" w:eastAsia="新細明體" w:hAnsi="Times New Roman" w:cs="Times New Roman"/>
              </w:rPr>
              <w:t>回饋數量與後續遞減曲線</w:t>
            </w:r>
          </w:p>
        </w:tc>
      </w:tr>
      <w:tr w:rsidR="00D44DCB" w14:paraId="5D228B37" w14:textId="77777777">
        <w:tblPrEx>
          <w:tblCellMar>
            <w:top w:w="0" w:type="dxa"/>
            <w:bottom w:w="0" w:type="dxa"/>
          </w:tblCellMar>
        </w:tblPrEx>
        <w:tc>
          <w:tcPr>
            <w:tcW w:w="800" w:type="dxa"/>
            <w:tcMar>
              <w:top w:w="40" w:type="dxa"/>
              <w:left w:w="80" w:type="dxa"/>
              <w:bottom w:w="40" w:type="dxa"/>
              <w:right w:w="80" w:type="dxa"/>
            </w:tcMar>
          </w:tcPr>
          <w:p w14:paraId="5D228B32" w14:textId="77777777" w:rsidR="00D44DCB" w:rsidRDefault="00000000">
            <w:pPr>
              <w:spacing w:after="40"/>
            </w:pPr>
            <w:r>
              <w:rPr>
                <w:rFonts w:ascii="Times New Roman" w:eastAsia="新細明體" w:hAnsi="Times New Roman" w:cs="Times New Roman"/>
              </w:rPr>
              <w:t>F19</w:t>
            </w:r>
          </w:p>
        </w:tc>
        <w:tc>
          <w:tcPr>
            <w:tcW w:w="1600" w:type="dxa"/>
            <w:tcMar>
              <w:top w:w="40" w:type="dxa"/>
              <w:left w:w="80" w:type="dxa"/>
              <w:bottom w:w="40" w:type="dxa"/>
              <w:right w:w="80" w:type="dxa"/>
            </w:tcMar>
          </w:tcPr>
          <w:p w14:paraId="5D228B33" w14:textId="77777777" w:rsidR="00D44DCB" w:rsidRDefault="00000000">
            <w:pPr>
              <w:spacing w:after="40"/>
            </w:pPr>
            <w:r>
              <w:rPr>
                <w:rFonts w:ascii="Times New Roman" w:eastAsia="新細明體" w:hAnsi="Times New Roman" w:cs="Times New Roman"/>
              </w:rPr>
              <w:t>每日簽到與活動限定</w:t>
            </w:r>
          </w:p>
        </w:tc>
        <w:tc>
          <w:tcPr>
            <w:tcW w:w="3600" w:type="dxa"/>
            <w:tcMar>
              <w:top w:w="40" w:type="dxa"/>
              <w:left w:w="80" w:type="dxa"/>
              <w:bottom w:w="40" w:type="dxa"/>
              <w:right w:w="80" w:type="dxa"/>
            </w:tcMar>
          </w:tcPr>
          <w:p w14:paraId="5D228B34" w14:textId="77777777" w:rsidR="00D44DCB" w:rsidRDefault="00000000">
            <w:pPr>
              <w:spacing w:after="40"/>
            </w:pPr>
            <w:r>
              <w:rPr>
                <w:rFonts w:ascii="Times New Roman" w:eastAsia="新細明體" w:hAnsi="Times New Roman" w:cs="Times New Roman"/>
              </w:rPr>
              <w:t>每日簽到獎勵涵蓋特定節日（如聖誕節、萬聖節、共生節）限定極品，過期即絕版，最高可獲得頂級寵物或造型。漏簽七天內可透過付費、完成特定運動任務或連續簽到至下週對應天數補簽；超過七天不予補發。</w:t>
            </w:r>
          </w:p>
        </w:tc>
        <w:tc>
          <w:tcPr>
            <w:tcW w:w="1600" w:type="dxa"/>
            <w:tcMar>
              <w:top w:w="40" w:type="dxa"/>
              <w:left w:w="80" w:type="dxa"/>
              <w:bottom w:w="40" w:type="dxa"/>
              <w:right w:w="80" w:type="dxa"/>
            </w:tcMar>
          </w:tcPr>
          <w:p w14:paraId="5D228B35" w14:textId="77777777" w:rsidR="00D44DCB" w:rsidRDefault="00000000">
            <w:pPr>
              <w:spacing w:after="40"/>
            </w:pPr>
            <w:r>
              <w:rPr>
                <w:rFonts w:ascii="Times New Roman" w:eastAsia="新細明體" w:hAnsi="Times New Roman" w:cs="Times New Roman"/>
              </w:rPr>
              <w:t>未來藍圖・規劃中</w:t>
            </w:r>
          </w:p>
        </w:tc>
        <w:tc>
          <w:tcPr>
            <w:tcW w:w="2000" w:type="dxa"/>
            <w:tcMar>
              <w:top w:w="40" w:type="dxa"/>
              <w:left w:w="80" w:type="dxa"/>
              <w:bottom w:w="40" w:type="dxa"/>
              <w:right w:w="80" w:type="dxa"/>
            </w:tcMar>
          </w:tcPr>
          <w:p w14:paraId="5D228B36" w14:textId="77777777" w:rsidR="00D44DCB" w:rsidRDefault="00000000">
            <w:pPr>
              <w:spacing w:after="40"/>
            </w:pPr>
            <w:r>
              <w:rPr>
                <w:rFonts w:ascii="Times New Roman" w:eastAsia="新細明體" w:hAnsi="Times New Roman" w:cs="Times New Roman"/>
              </w:rPr>
              <w:t>節日排程、補簽費用與絕版品復刻政策</w:t>
            </w:r>
          </w:p>
        </w:tc>
      </w:tr>
      <w:tr w:rsidR="00D44DCB" w14:paraId="5D228B3D" w14:textId="77777777">
        <w:tblPrEx>
          <w:tblCellMar>
            <w:top w:w="0" w:type="dxa"/>
            <w:bottom w:w="0" w:type="dxa"/>
          </w:tblCellMar>
        </w:tblPrEx>
        <w:tc>
          <w:tcPr>
            <w:tcW w:w="800" w:type="dxa"/>
            <w:tcMar>
              <w:top w:w="40" w:type="dxa"/>
              <w:left w:w="80" w:type="dxa"/>
              <w:bottom w:w="40" w:type="dxa"/>
              <w:right w:w="80" w:type="dxa"/>
            </w:tcMar>
          </w:tcPr>
          <w:p w14:paraId="5D228B38" w14:textId="77777777" w:rsidR="00D44DCB" w:rsidRDefault="00000000">
            <w:pPr>
              <w:spacing w:after="40"/>
            </w:pPr>
            <w:r>
              <w:rPr>
                <w:rFonts w:ascii="Times New Roman" w:eastAsia="新細明體" w:hAnsi="Times New Roman" w:cs="Times New Roman"/>
              </w:rPr>
              <w:t>F20</w:t>
            </w:r>
          </w:p>
        </w:tc>
        <w:tc>
          <w:tcPr>
            <w:tcW w:w="1600" w:type="dxa"/>
            <w:tcMar>
              <w:top w:w="40" w:type="dxa"/>
              <w:left w:w="80" w:type="dxa"/>
              <w:bottom w:w="40" w:type="dxa"/>
              <w:right w:w="80" w:type="dxa"/>
            </w:tcMar>
          </w:tcPr>
          <w:p w14:paraId="5D228B39" w14:textId="77777777" w:rsidR="00D44DCB" w:rsidRDefault="00000000">
            <w:pPr>
              <w:spacing w:after="40"/>
            </w:pPr>
            <w:r>
              <w:rPr>
                <w:rFonts w:ascii="Times New Roman" w:eastAsia="新細明體" w:hAnsi="Times New Roman" w:cs="Times New Roman"/>
              </w:rPr>
              <w:t>幸運輪盤與抽獎券</w:t>
            </w:r>
          </w:p>
        </w:tc>
        <w:tc>
          <w:tcPr>
            <w:tcW w:w="3600" w:type="dxa"/>
            <w:tcMar>
              <w:top w:w="40" w:type="dxa"/>
              <w:left w:w="80" w:type="dxa"/>
              <w:bottom w:w="40" w:type="dxa"/>
              <w:right w:w="80" w:type="dxa"/>
            </w:tcMar>
          </w:tcPr>
          <w:p w14:paraId="5D228B3A" w14:textId="77777777" w:rsidR="00D44DCB" w:rsidRDefault="00000000">
            <w:pPr>
              <w:spacing w:after="40"/>
            </w:pPr>
            <w:r>
              <w:rPr>
                <w:rFonts w:ascii="Times New Roman" w:eastAsia="新細明體" w:hAnsi="Times New Roman" w:cs="Times New Roman"/>
              </w:rPr>
              <w:t xml:space="preserve">第七天簽到大獎採輪盤抽獎形式。抽獎券來源為簽到累積、每日與每週任務及健身目標達成，無法以金幣直接購買，藉此引導玩家實際運動而非僅上線簽到。連續登入與未登入的使用者在抽獎券與輪盤體驗上形成強烈對比：系統以一週七天為單位，畫面中加入連續登入進度條，讓使用者清楚看到再累積幾天即可使輪盤加入更高稀有度獎品；符合條件的使用者，其抽獎券與輪盤介面皆會升級為對應稀有度的顏色與樣式（如金色邊框、發光特效），形成與未達標使用者之間的視覺差異，強化每日登入的動力。</w:t>
            </w:r>
          </w:p>
        </w:tc>
        <w:tc>
          <w:tcPr>
            <w:tcW w:w="1600" w:type="dxa"/>
            <w:tcMar>
              <w:top w:w="40" w:type="dxa"/>
              <w:left w:w="80" w:type="dxa"/>
              <w:bottom w:w="40" w:type="dxa"/>
              <w:right w:w="80" w:type="dxa"/>
            </w:tcMar>
          </w:tcPr>
          <w:p w14:paraId="5D228B3B" w14:textId="77777777" w:rsidR="00D44DCB" w:rsidRDefault="00000000">
            <w:pPr>
              <w:spacing w:after="40"/>
            </w:pPr>
            <w:r>
              <w:rPr>
                <w:rFonts w:ascii="Times New Roman" w:eastAsia="新細明體" w:hAnsi="Times New Roman" w:cs="Times New Roman"/>
              </w:rPr>
              <w:t>未來藍圖・規劃中</w:t>
            </w:r>
          </w:p>
        </w:tc>
        <w:tc>
          <w:tcPr>
            <w:tcW w:w="2000" w:type="dxa"/>
            <w:tcMar>
              <w:top w:w="40" w:type="dxa"/>
              <w:left w:w="80" w:type="dxa"/>
              <w:bottom w:w="40" w:type="dxa"/>
              <w:right w:w="80" w:type="dxa"/>
            </w:tcMar>
          </w:tcPr>
          <w:p w14:paraId="5D228B3C" w14:textId="77777777" w:rsidR="00D44DCB" w:rsidRDefault="00000000">
            <w:pPr>
              <w:spacing w:after="40"/>
            </w:pPr>
            <w:r>
              <w:rPr>
                <w:rFonts w:ascii="Times New Roman" w:eastAsia="新細明體" w:hAnsi="Times New Roman" w:cs="Times New Roman"/>
              </w:rPr>
              <w:t xml:space="preserve">獎池內容、機率公示、抽獎券產出速率、登入進度條設計與視覺升級規則</w:t>
            </w:r>
          </w:p>
        </w:tc>
      </w:tr>
      <w:tr w:rsidR="00D44DCB" w14:paraId="5D228B43" w14:textId="77777777">
        <w:tblPrEx>
          <w:tblCellMar>
            <w:top w:w="0" w:type="dxa"/>
            <w:bottom w:w="0" w:type="dxa"/>
          </w:tblCellMar>
        </w:tblPrEx>
        <w:tc>
          <w:tcPr>
            <w:tcW w:w="800" w:type="dxa"/>
            <w:tcMar>
              <w:top w:w="40" w:type="dxa"/>
              <w:left w:w="80" w:type="dxa"/>
              <w:bottom w:w="40" w:type="dxa"/>
              <w:right w:w="80" w:type="dxa"/>
            </w:tcMar>
          </w:tcPr>
          <w:p w14:paraId="5D228B3E" w14:textId="77777777" w:rsidR="00D44DCB" w:rsidRDefault="00000000">
            <w:pPr>
              <w:spacing w:after="40"/>
            </w:pPr>
            <w:r>
              <w:rPr>
                <w:rFonts w:ascii="Times New Roman" w:eastAsia="新細明體" w:hAnsi="Times New Roman" w:cs="Times New Roman"/>
              </w:rPr>
              <w:t>F21</w:t>
            </w:r>
          </w:p>
        </w:tc>
        <w:tc>
          <w:tcPr>
            <w:tcW w:w="1600" w:type="dxa"/>
            <w:tcMar>
              <w:top w:w="40" w:type="dxa"/>
              <w:left w:w="80" w:type="dxa"/>
              <w:bottom w:w="40" w:type="dxa"/>
              <w:right w:w="80" w:type="dxa"/>
            </w:tcMar>
          </w:tcPr>
          <w:p w14:paraId="5D228B3F" w14:textId="77777777" w:rsidR="00D44DCB" w:rsidRDefault="00000000">
            <w:pPr>
              <w:spacing w:after="40"/>
            </w:pPr>
            <w:r>
              <w:rPr>
                <w:rFonts w:ascii="Times New Roman" w:eastAsia="新細明體" w:hAnsi="Times New Roman" w:cs="Times New Roman"/>
              </w:rPr>
              <w:t>金幣與經驗值對接機制</w:t>
            </w:r>
          </w:p>
        </w:tc>
        <w:tc>
          <w:tcPr>
            <w:tcW w:w="3600" w:type="dxa"/>
            <w:tcMar>
              <w:top w:w="40" w:type="dxa"/>
              <w:left w:w="80" w:type="dxa"/>
              <w:bottom w:w="40" w:type="dxa"/>
              <w:right w:w="80" w:type="dxa"/>
            </w:tcMar>
          </w:tcPr>
          <w:p w14:paraId="5D228B40" w14:textId="77777777" w:rsidR="00D44DCB" w:rsidRDefault="00000000">
            <w:pPr>
              <w:spacing w:after="40"/>
            </w:pPr>
            <w:r>
              <w:rPr>
                <w:rFonts w:ascii="Times New Roman" w:eastAsia="新細明體" w:hAnsi="Times New Roman" w:cs="Times New Roman"/>
              </w:rPr>
              <w:t>金幣唯一獲取來源為健身結算，遊戲端不設其他金幣產出管道（如餵寵物不可獲得金幣），確保兩端數據一致。經驗值兩端皆為只增不減並即時同步連動，</w:t>
              <w:lastRenderedPageBreak/>
              <w:t>不產生扣除時的同步異常。</w:t>
            </w:r>
          </w:p>
        </w:tc>
        <w:tc>
          <w:tcPr>
            <w:tcW w:w="1600" w:type="dxa"/>
            <w:tcMar>
              <w:top w:w="40" w:type="dxa"/>
              <w:left w:w="80" w:type="dxa"/>
              <w:bottom w:w="40" w:type="dxa"/>
              <w:right w:w="80" w:type="dxa"/>
            </w:tcMar>
          </w:tcPr>
          <w:p w14:paraId="5D228B41" w14:textId="77777777" w:rsidR="00D44DCB" w:rsidRDefault="00000000">
            <w:pPr>
              <w:spacing w:after="40"/>
            </w:pPr>
            <w:r>
              <w:rPr>
                <w:rFonts w:ascii="Times New Roman" w:eastAsia="新細明體" w:hAnsi="Times New Roman" w:cs="Times New Roman"/>
              </w:rPr>
              <w:lastRenderedPageBreak/>
              <w:t>未來藍圖・規劃中</w:t>
            </w:r>
          </w:p>
        </w:tc>
        <w:tc>
          <w:tcPr>
            <w:tcW w:w="2000" w:type="dxa"/>
            <w:tcMar>
              <w:top w:w="40" w:type="dxa"/>
              <w:left w:w="80" w:type="dxa"/>
              <w:bottom w:w="40" w:type="dxa"/>
              <w:right w:w="80" w:type="dxa"/>
            </w:tcMar>
          </w:tcPr>
          <w:p w14:paraId="5D228B42" w14:textId="77777777" w:rsidR="00D44DCB" w:rsidRDefault="00000000">
            <w:pPr>
              <w:spacing w:after="40"/>
            </w:pPr>
            <w:r>
              <w:rPr>
                <w:rFonts w:ascii="Times New Roman" w:eastAsia="新細明體" w:hAnsi="Times New Roman" w:cs="Times New Roman"/>
              </w:rPr>
              <w:t>兩端同步驗證方式與異常處理</w:t>
            </w:r>
          </w:p>
        </w:tc>
      </w:tr>
      <w:tr w:rsidR="00D44DCB" w14:paraId="5D228B49" w14:textId="77777777">
        <w:tblPrEx>
          <w:tblCellMar>
            <w:top w:w="0" w:type="dxa"/>
            <w:bottom w:w="0" w:type="dxa"/>
          </w:tblCellMar>
        </w:tblPrEx>
        <w:tc>
          <w:tcPr>
            <w:tcW w:w="800" w:type="dxa"/>
            <w:tcMar>
              <w:top w:w="40" w:type="dxa"/>
              <w:left w:w="80" w:type="dxa"/>
              <w:bottom w:w="40" w:type="dxa"/>
              <w:right w:w="80" w:type="dxa"/>
            </w:tcMar>
          </w:tcPr>
          <w:p w14:paraId="5D228B44" w14:textId="77777777" w:rsidR="00D44DCB" w:rsidRDefault="00000000">
            <w:pPr>
              <w:spacing w:after="40"/>
            </w:pPr>
            <w:r>
              <w:rPr>
                <w:rFonts w:ascii="Times New Roman" w:eastAsia="新細明體" w:hAnsi="Times New Roman" w:cs="Times New Roman"/>
              </w:rPr>
              <w:t>F22</w:t>
            </w:r>
          </w:p>
        </w:tc>
        <w:tc>
          <w:tcPr>
            <w:tcW w:w="1600" w:type="dxa"/>
            <w:tcMar>
              <w:top w:w="40" w:type="dxa"/>
              <w:left w:w="80" w:type="dxa"/>
              <w:bottom w:w="40" w:type="dxa"/>
              <w:right w:w="80" w:type="dxa"/>
            </w:tcMar>
          </w:tcPr>
          <w:p w14:paraId="5D228B45" w14:textId="77777777" w:rsidR="00D44DCB" w:rsidRDefault="00000000">
            <w:pPr>
              <w:spacing w:after="40"/>
            </w:pPr>
            <w:r>
              <w:rPr>
                <w:rFonts w:ascii="Times New Roman" w:eastAsia="新細明體" w:hAnsi="Times New Roman" w:cs="Times New Roman"/>
              </w:rPr>
              <w:t>結算畫面資訊呈現</w:t>
            </w:r>
          </w:p>
        </w:tc>
        <w:tc>
          <w:tcPr>
            <w:tcW w:w="3600" w:type="dxa"/>
            <w:tcMar>
              <w:top w:w="40" w:type="dxa"/>
              <w:left w:w="80" w:type="dxa"/>
              <w:bottom w:w="40" w:type="dxa"/>
              <w:right w:w="80" w:type="dxa"/>
            </w:tcMar>
          </w:tcPr>
          <w:p w14:paraId="5D228B46" w14:textId="77777777" w:rsidR="00D44DCB" w:rsidRDefault="00000000">
            <w:pPr>
              <w:spacing w:after="40"/>
            </w:pPr>
            <w:r>
              <w:rPr>
                <w:rFonts w:ascii="Times New Roman" w:eastAsia="新細明體" w:hAnsi="Times New Roman" w:cs="Times New Roman"/>
              </w:rPr>
              <w:t>健身結束後結算畫面顯示金幣、經驗值、碎片與抽獎券。金幣與經驗值常駐健身端與遊戲端；碎片與抽獎券僅在結算畫面及遊戲端提示中顯示，主畫面不做同步。</w:t>
            </w:r>
          </w:p>
        </w:tc>
        <w:tc>
          <w:tcPr>
            <w:tcW w:w="1600" w:type="dxa"/>
            <w:tcMar>
              <w:top w:w="40" w:type="dxa"/>
              <w:left w:w="80" w:type="dxa"/>
              <w:bottom w:w="40" w:type="dxa"/>
              <w:right w:w="80" w:type="dxa"/>
            </w:tcMar>
          </w:tcPr>
          <w:p w14:paraId="5D228B47" w14:textId="77777777" w:rsidR="00D44DCB" w:rsidRDefault="00000000">
            <w:pPr>
              <w:spacing w:after="40"/>
            </w:pPr>
            <w:r>
              <w:rPr>
                <w:rFonts w:ascii="Times New Roman" w:eastAsia="新細明體" w:hAnsi="Times New Roman" w:cs="Times New Roman"/>
              </w:rPr>
              <w:t>未來藍圖・規劃中</w:t>
            </w:r>
          </w:p>
        </w:tc>
        <w:tc>
          <w:tcPr>
            <w:tcW w:w="2000" w:type="dxa"/>
            <w:tcMar>
              <w:top w:w="40" w:type="dxa"/>
              <w:left w:w="80" w:type="dxa"/>
              <w:bottom w:w="40" w:type="dxa"/>
              <w:right w:w="80" w:type="dxa"/>
            </w:tcMar>
          </w:tcPr>
          <w:p w14:paraId="5D228B48" w14:textId="77777777" w:rsidR="00D44DCB" w:rsidRDefault="00000000">
            <w:pPr>
              <w:spacing w:after="40"/>
            </w:pPr>
            <w:r>
              <w:rPr>
                <w:rFonts w:ascii="Times New Roman" w:eastAsia="新細明體" w:hAnsi="Times New Roman" w:cs="Times New Roman"/>
              </w:rPr>
              <w:t>介面配置、動畫與呈現順序</w:t>
            </w:r>
          </w:p>
        </w:tc>
      </w:tr>
      <w:tr w:rsidR="00D44DCB" w14:paraId="25EDF9F7" w14:textId="77777777">
        <w:tblPrEx>
          <w:tblCellMar>
            <w:top w:w="0" w:type="dxa"/>
            <w:bottom w:w="0" w:type="dxa"/>
          </w:tblCellMar>
        </w:tblPrEx>
        <w:tc>
          <w:tcPr>
            <w:tcW w:w="800" w:type="dxa"/>
            <w:tcMar>
              <w:top w:w="40" w:type="dxa"/>
              <w:left w:w="80" w:type="dxa"/>
              <w:bottom w:w="40" w:type="dxa"/>
              <w:right w:w="80" w:type="dxa"/>
            </w:tcMar>
          </w:tcPr>
          <w:p w14:paraId="50AADB9A" w14:textId="77777777" w:rsidR="00D44DCB" w:rsidRDefault="00000000">
            <w:pPr>
              <w:spacing w:after="40"/>
            </w:pPr>
            <w:r>
              <w:rPr>
                <w:rFonts w:ascii="Times New Roman" w:eastAsia="新細明體" w:hAnsi="Times New Roman" w:cs="Times New Roman"/>
              </w:rPr>
              <w:t xml:space="preserve">F23</w:t>
            </w:r>
          </w:p>
        </w:tc>
        <w:tc>
          <w:tcPr>
            <w:tcW w:w="1600" w:type="dxa"/>
            <w:tcMar>
              <w:top w:w="40" w:type="dxa"/>
              <w:left w:w="80" w:type="dxa"/>
              <w:bottom w:w="40" w:type="dxa"/>
              <w:right w:w="80" w:type="dxa"/>
            </w:tcMar>
          </w:tcPr>
          <w:p w14:paraId="6A29F51B" w14:textId="77777777" w:rsidR="00D44DCB" w:rsidRDefault="00000000">
            <w:pPr>
              <w:spacing w:after="40"/>
            </w:pPr>
            <w:r>
              <w:rPr>
                <w:rFonts w:ascii="Times New Roman" w:eastAsia="新細明體" w:hAnsi="Times New Roman" w:cs="Times New Roman"/>
              </w:rPr>
              <w:t xml:space="preserve">功能卡系統</w:t>
            </w:r>
          </w:p>
        </w:tc>
        <w:tc>
          <w:tcPr>
            <w:tcW w:w="3600" w:type="dxa"/>
            <w:tcMar>
              <w:top w:w="40" w:type="dxa"/>
              <w:left w:w="80" w:type="dxa"/>
              <w:bottom w:w="40" w:type="dxa"/>
              <w:right w:w="80" w:type="dxa"/>
            </w:tcMar>
          </w:tcPr>
          <w:p w14:paraId="396F41D5" w14:textId="77777777" w:rsidR="00D44DCB" w:rsidRDefault="00000000">
            <w:pPr>
              <w:spacing w:after="40"/>
            </w:pPr>
            <w:r>
              <w:rPr>
                <w:rFonts w:ascii="Times New Roman" w:eastAsia="新細明體" w:hAnsi="Times New Roman" w:cs="Times New Roman"/>
              </w:rPr>
              <w:t xml:space="preserve">加入功能卡機制，目前首張功能卡為「雙倍金幣卡」，使用後下次健身結算金幣翻倍；未來將引進更多種類功能卡。功能卡採隨機上線制，每隔數週於限時商店中返場販售。獲取管道包含限時商店直接購買（以金幣購入，定價較高）與輪盤抽獎（命中率較低，約 20%）。此機制旨在為進階玩家提供策略性消費選項，同時避免功能卡常駐造成經濟膨脹。</w:t>
            </w:r>
          </w:p>
        </w:tc>
        <w:tc>
          <w:tcPr>
            <w:tcW w:w="1600" w:type="dxa"/>
            <w:tcMar>
              <w:top w:w="40" w:type="dxa"/>
              <w:left w:w="80" w:type="dxa"/>
              <w:bottom w:w="40" w:type="dxa"/>
              <w:right w:w="80" w:type="dxa"/>
            </w:tcMar>
          </w:tcPr>
          <w:p w14:paraId="73BAB09C" w14:textId="77777777" w:rsidR="00D44DCB" w:rsidRDefault="00000000">
            <w:pPr>
              <w:spacing w:after="40"/>
            </w:pPr>
            <w:r>
              <w:rPr>
                <w:rFonts w:ascii="Times New Roman" w:eastAsia="新細明體" w:hAnsi="Times New Roman" w:cs="Times New Roman"/>
              </w:rPr>
              <w:t xml:space="preserve">未來藍圖・規劃中</w:t>
            </w:r>
          </w:p>
        </w:tc>
        <w:tc>
          <w:tcPr>
            <w:tcW w:w="2000" w:type="dxa"/>
            <w:tcMar>
              <w:top w:w="40" w:type="dxa"/>
              <w:left w:w="80" w:type="dxa"/>
              <w:bottom w:w="40" w:type="dxa"/>
              <w:right w:w="80" w:type="dxa"/>
            </w:tcMar>
          </w:tcPr>
          <w:p w14:paraId="4ABDD4A4" w14:textId="77777777" w:rsidR="00D44DCB" w:rsidRDefault="00000000">
            <w:pPr>
              <w:spacing w:after="40"/>
            </w:pPr>
            <w:r>
              <w:rPr>
                <w:rFonts w:ascii="Times New Roman" w:eastAsia="新細明體" w:hAnsi="Times New Roman" w:cs="Times New Roman"/>
              </w:rPr>
              <w:t xml:space="preserve">功能卡種類擴充計畫、定價策略、返場週期與經濟影響評估</w:t>
            </w:r>
          </w:p>
        </w:tc>
      </w:tr>
      <w:tr w:rsidR="00D44DCB" w14:paraId="1F27178F" w14:textId="77777777">
        <w:tblPrEx>
          <w:tblCellMar>
            <w:top w:w="0" w:type="dxa"/>
            <w:bottom w:w="0" w:type="dxa"/>
          </w:tblCellMar>
        </w:tblPrEx>
        <w:tc>
          <w:tcPr>
            <w:tcW w:w="800" w:type="dxa"/>
            <w:tcMar>
              <w:top w:w="40" w:type="dxa"/>
              <w:left w:w="80" w:type="dxa"/>
              <w:bottom w:w="40" w:type="dxa"/>
              <w:right w:w="80" w:type="dxa"/>
            </w:tcMar>
          </w:tcPr>
          <w:p w14:paraId="1E294EC4" w14:textId="77777777" w:rsidR="00D44DCB" w:rsidRDefault="00000000">
            <w:pPr>
              <w:spacing w:after="40"/>
            </w:pPr>
            <w:r>
              <w:rPr>
                <w:rFonts w:ascii="Times New Roman" w:eastAsia="新細明體" w:hAnsi="Times New Roman" w:cs="Times New Roman"/>
              </w:rPr>
              <w:t xml:space="preserve">F24</w:t>
            </w:r>
          </w:p>
        </w:tc>
        <w:tc>
          <w:tcPr>
            <w:tcW w:w="1600" w:type="dxa"/>
            <w:tcMar>
              <w:top w:w="40" w:type="dxa"/>
              <w:left w:w="80" w:type="dxa"/>
              <w:bottom w:w="40" w:type="dxa"/>
              <w:right w:w="80" w:type="dxa"/>
            </w:tcMar>
          </w:tcPr>
          <w:p w14:paraId="576C9239" w14:textId="77777777" w:rsidR="00D44DCB" w:rsidRDefault="00000000">
            <w:pPr>
              <w:spacing w:after="40"/>
            </w:pPr>
            <w:r>
              <w:rPr>
                <w:rFonts w:ascii="Times New Roman" w:eastAsia="新細明體" w:hAnsi="Times New Roman" w:cs="Times New Roman"/>
              </w:rPr>
              <w:t xml:space="preserve">寵物生命跡象與照護</w:t>
            </w:r>
          </w:p>
        </w:tc>
        <w:tc>
          <w:tcPr>
            <w:tcW w:w="3600" w:type="dxa"/>
            <w:tcMar>
              <w:top w:w="40" w:type="dxa"/>
              <w:left w:w="80" w:type="dxa"/>
              <w:bottom w:w="40" w:type="dxa"/>
              <w:right w:w="80" w:type="dxa"/>
            </w:tcMar>
          </w:tcPr>
          <w:p w14:paraId="216D4675" w14:textId="77777777" w:rsidR="00D44DCB" w:rsidRDefault="00000000">
            <w:pPr>
              <w:spacing w:after="40"/>
            </w:pPr>
            <w:r>
              <w:rPr>
                <w:rFonts w:ascii="Times New Roman" w:eastAsia="新細明體" w:hAnsi="Times New Roman" w:cs="Times New Roman"/>
              </w:rPr>
              <w:t xml:space="preserve">為寵物系統加入生命跡象機制：寵物具備活動力與營養值兩項狀態指標。若使用者長期未登入或未餵食，寵物活動力將逐步下降，最終躲在窩裡不出來互動。商店中加入狗飼料（如西沙品牌等品項），餵食可提升寵物生命力與營養值，增加互動活性。同時加入戶外狗窩作為島嶼裝飾與寵物活動空間。當使用者連續多天未登入時，島嶼地面將出現寵物排泄物，天數越多堆積越多，此懲罰機制可與園丁、管家等 NPC 職務結合——NPC 可協助清理，但需消耗資源或達成特定條件。</w:t>
            </w:r>
          </w:p>
        </w:tc>
        <w:tc>
          <w:tcPr>
            <w:tcW w:w="1600" w:type="dxa"/>
            <w:tcMar>
              <w:top w:w="40" w:type="dxa"/>
              <w:left w:w="80" w:type="dxa"/>
              <w:bottom w:w="40" w:type="dxa"/>
              <w:right w:w="80" w:type="dxa"/>
            </w:tcMar>
          </w:tcPr>
          <w:p w14:paraId="23F4F341" w14:textId="77777777" w:rsidR="00D44DCB" w:rsidRDefault="00000000">
            <w:pPr>
              <w:spacing w:after="40"/>
            </w:pPr>
            <w:r>
              <w:rPr>
                <w:rFonts w:ascii="Times New Roman" w:eastAsia="新細明體" w:hAnsi="Times New Roman" w:cs="Times New Roman"/>
              </w:rPr>
              <w:t xml:space="preserve">未來藍圖・規劃中</w:t>
            </w:r>
          </w:p>
        </w:tc>
        <w:tc>
          <w:tcPr>
            <w:tcW w:w="2000" w:type="dxa"/>
            <w:tcMar>
              <w:top w:w="40" w:type="dxa"/>
              <w:left w:w="80" w:type="dxa"/>
              <w:bottom w:w="40" w:type="dxa"/>
              <w:right w:w="80" w:type="dxa"/>
            </w:tcMar>
          </w:tcPr>
          <w:p w14:paraId="3FC0119E" w14:textId="77777777" w:rsidR="00D44DCB" w:rsidRDefault="00000000">
            <w:pPr>
              <w:spacing w:after="40"/>
            </w:pPr>
            <w:r>
              <w:rPr>
                <w:rFonts w:ascii="Times New Roman" w:eastAsia="新細明體" w:hAnsi="Times New Roman" w:cs="Times New Roman"/>
              </w:rPr>
              <w:t xml:space="preserve">活動力與營養值數值設計、飼料定價、排泄物觸發天數與 NPC 清理成本</w:t>
            </w:r>
          </w:p>
        </w:tc>
      </w:tr>
      <w:tr w:rsidR="00D44DCB" w14:paraId="0D15A60A" w14:textId="77777777">
        <w:tblPrEx>
          <w:tblCellMar>
            <w:top w:w="0" w:type="dxa"/>
            <w:bottom w:w="0" w:type="dxa"/>
          </w:tblCellMar>
        </w:tblPrEx>
        <w:tc>
          <w:tcPr>
            <w:tcW w:w="800" w:type="dxa"/>
            <w:tcMar>
              <w:top w:w="40" w:type="dxa"/>
              <w:left w:w="80" w:type="dxa"/>
              <w:bottom w:w="40" w:type="dxa"/>
              <w:right w:w="80" w:type="dxa"/>
            </w:tcMar>
          </w:tcPr>
          <w:p w14:paraId="78B20A41" w14:textId="77777777" w:rsidR="00D44DCB" w:rsidRDefault="00000000">
            <w:pPr>
              <w:spacing w:after="40"/>
            </w:pPr>
            <w:r>
              <w:rPr>
                <w:rFonts w:ascii="Times New Roman" w:eastAsia="新細明體" w:hAnsi="Times New Roman" w:cs="Times New Roman"/>
              </w:rPr>
              <w:t xml:space="preserve">F25</w:t>
            </w:r>
          </w:p>
        </w:tc>
        <w:tc>
          <w:tcPr>
            <w:tcW w:w="1600" w:type="dxa"/>
            <w:tcMar>
              <w:top w:w="40" w:type="dxa"/>
              <w:left w:w="80" w:type="dxa"/>
              <w:bottom w:w="40" w:type="dxa"/>
              <w:right w:w="80" w:type="dxa"/>
            </w:tcMar>
          </w:tcPr>
          <w:p w14:paraId="69F1802D" w14:textId="77777777" w:rsidR="00D44DCB" w:rsidRDefault="00000000">
            <w:pPr>
              <w:spacing w:after="40"/>
            </w:pPr>
            <w:r>
              <w:rPr>
                <w:rFonts w:ascii="Times New Roman" w:eastAsia="新細明體" w:hAnsi="Times New Roman" w:cs="Times New Roman"/>
              </w:rPr>
              <w:t xml:space="preserve">商店新增商品：圍欄</w:t>
            </w:r>
          </w:p>
        </w:tc>
        <w:tc>
          <w:tcPr>
            <w:tcW w:w="3600" w:type="dxa"/>
            <w:tcMar>
              <w:top w:w="40" w:type="dxa"/>
              <w:left w:w="80" w:type="dxa"/>
              <w:bottom w:w="40" w:type="dxa"/>
              <w:right w:w="80" w:type="dxa"/>
            </w:tcMar>
          </w:tcPr>
          <w:p w14:paraId="25BBC206" w14:textId="77777777" w:rsidR="00D44DCB" w:rsidRDefault="00000000">
            <w:pPr>
              <w:spacing w:after="40"/>
            </w:pPr>
            <w:r>
              <w:rPr>
                <w:rFonts w:ascii="Times New Roman" w:eastAsia="新細明體" w:hAnsi="Times New Roman" w:cs="Times New Roman"/>
              </w:rPr>
              <w:t xml:space="preserve">商店中加入「圍欄」類別商品，供使用者購買後放置於島嶼上，用於劃分區域、裝飾庭院或圍護寵物活動範圍。圍欄可搭配不同風格（如木質、金屬、花園式），並對應不同稀有度等級。</w:t>
            </w:r>
          </w:p>
        </w:tc>
        <w:tc>
          <w:tcPr>
            <w:tcW w:w="1600" w:type="dxa"/>
            <w:tcMar>
              <w:top w:w="40" w:type="dxa"/>
              <w:left w:w="80" w:type="dxa"/>
              <w:bottom w:w="40" w:type="dxa"/>
              <w:right w:w="80" w:type="dxa"/>
            </w:tcMar>
          </w:tcPr>
          <w:p w14:paraId="5B59B887" w14:textId="77777777" w:rsidR="00D44DCB" w:rsidRDefault="00000000">
            <w:pPr>
              <w:spacing w:after="40"/>
            </w:pPr>
            <w:r>
              <w:rPr>
                <w:rFonts w:ascii="Times New Roman" w:eastAsia="新細明體" w:hAnsi="Times New Roman" w:cs="Times New Roman"/>
              </w:rPr>
              <w:t xml:space="preserve">未來藍圖・規劃中</w:t>
            </w:r>
          </w:p>
        </w:tc>
        <w:tc>
          <w:tcPr>
            <w:tcW w:w="2000" w:type="dxa"/>
            <w:tcMar>
              <w:top w:w="40" w:type="dxa"/>
              <w:left w:w="80" w:type="dxa"/>
              <w:bottom w:w="40" w:type="dxa"/>
              <w:right w:w="80" w:type="dxa"/>
            </w:tcMar>
          </w:tcPr>
          <w:p w14:paraId="6857BBB8" w14:textId="77777777" w:rsidR="00D44DCB" w:rsidRDefault="00000000">
            <w:pPr>
              <w:spacing w:after="40"/>
            </w:pPr>
            <w:r>
              <w:rPr>
                <w:rFonts w:ascii="Times New Roman" w:eastAsia="新細明體" w:hAnsi="Times New Roman" w:cs="Times New Roman"/>
              </w:rPr>
              <w:t xml:space="preserve">圍欄種類、定價與島嶼放置規則</w:t>
            </w:r>
          </w:p>
        </w:tc>
      </w:tr>
    </w:tbl>
    <w:p w14:paraId="5D228B4A" w14:textId="77777777" w:rsidR="00D44DCB" w:rsidRDefault="00D44DCB"/>
    <w:p w14:paraId="5D228B4B" w14:textId="77777777" w:rsidR="00D44DCB" w:rsidRDefault="00000000">
      <w:pPr>
        <w:pStyle w:val="2"/>
        <w:spacing w:before="240" w:after="160" w:line="360" w:lineRule="auto"/>
      </w:pPr>
      <w:r>
        <w:rPr>
          <w:rFonts w:ascii="標楷體" w:eastAsia="標楷體" w:hAnsi="標楷體" w:cs="標楷體"/>
          <w:b/>
          <w:bCs/>
        </w:rPr>
        <w:t>3. 規劃完成後的成果樣貌</w:t>
      </w:r>
    </w:p>
    <w:p w14:paraId="5D228B4C" w14:textId="77777777" w:rsidR="00D44DCB" w:rsidRDefault="00000000">
      <w:pPr>
        <w:spacing w:after="120" w:line="360" w:lineRule="auto"/>
        <w:jc w:val="both"/>
      </w:pPr>
      <w:r>
        <w:rPr>
          <w:rFonts w:ascii="Times New Roman" w:eastAsia="新細明體" w:hAnsi="Times New Roman" w:cs="Times New Roman"/>
          <w:b/>
          <w:bCs/>
          <w:sz w:val="24"/>
          <w:szCs w:val="24"/>
        </w:rPr>
        <w:t>角色與造型｜</w:t>
      </w:r>
      <w:r>
        <w:rPr>
          <w:rFonts w:ascii="Times New Roman" w:eastAsia="新細明體" w:hAnsi="Times New Roman" w:cs="Times New Roman"/>
          <w:sz w:val="24"/>
          <w:szCs w:val="24"/>
        </w:rPr>
        <w:t>人物模型調整完成後，預期角色的五官與身體構造能更清楚呈現，並以較鮮明的外觀特色建立辨識度。髮型、服裝類型與裝飾的整合，則著重於不同造型組合的協調性，避免搭配後產生割裂或不相容的視覺感受。</w:t>
      </w:r>
    </w:p>
    <w:p w14:paraId="5D228B4D" w14:textId="77777777" w:rsidR="00D44DCB" w:rsidRDefault="00000000">
      <w:pPr>
        <w:spacing w:after="120" w:line="360" w:lineRule="auto"/>
        <w:jc w:val="both"/>
      </w:pPr>
      <w:r>
        <w:rPr>
          <w:rFonts w:ascii="Times New Roman" w:eastAsia="新細明體" w:hAnsi="Times New Roman" w:cs="Times New Roman"/>
          <w:b/>
          <w:bCs/>
          <w:sz w:val="24"/>
          <w:szCs w:val="24"/>
        </w:rPr>
        <w:t>畫面與介面｜</w:t>
      </w:r>
      <w:r>
        <w:rPr>
          <w:rFonts w:ascii="Times New Roman" w:eastAsia="新細明體" w:hAnsi="Times New Roman" w:cs="Times New Roman"/>
          <w:sz w:val="24"/>
          <w:szCs w:val="24"/>
        </w:rPr>
        <w:t>畫質、特效、UI 與載入畫面規劃共同建立一致的遊戲風格。視覺升級的目標是讓場景、角色、操作元件與載入過程具有連續的設計語言；《光·遇》與《動物森友會》只作氣氛與品質參考，不作素材、介面或玩法的直接仿製。</w:t>
      </w:r>
    </w:p>
    <w:p w14:paraId="5D228B4E" w14:textId="77777777" w:rsidR="00D44DCB" w:rsidRDefault="00000000">
      <w:pPr>
        <w:spacing w:after="120" w:line="360" w:lineRule="auto"/>
        <w:jc w:val="both"/>
      </w:pPr>
      <w:r>
        <w:rPr>
          <w:rFonts w:ascii="Times New Roman" w:eastAsia="新細明體" w:hAnsi="Times New Roman" w:cs="Times New Roman"/>
          <w:b/>
          <w:bCs/>
          <w:sz w:val="24"/>
          <w:szCs w:val="24"/>
        </w:rPr>
        <w:t>提醒與遊戲後果｜</w:t>
      </w:r>
      <w:r>
        <w:rPr>
          <w:rFonts w:ascii="Times New Roman" w:eastAsia="新細明體" w:hAnsi="Times New Roman" w:cs="Times New Roman"/>
          <w:sz w:val="24"/>
          <w:szCs w:val="24"/>
        </w:rPr>
        <w:t>大型訊息框、顏色變化及每日挑戰式通知，規劃形成較明顯的回訪提醒；登入中斷後的解鎖機制與藤蔓侵蝕事件，則規劃讓中斷參與在遊戲世界中產生可見後果。因具體付費方式、通知頻率、破壞程度與復原方式均未定，本版不進一步推定其規則。</w:t>
      </w:r>
    </w:p>
    <w:p w14:paraId="5D228B4F" w14:textId="77777777" w:rsidR="00D44DCB" w:rsidRDefault="00000000">
      <w:pPr>
        <w:spacing w:after="120" w:line="360" w:lineRule="auto"/>
        <w:jc w:val="both"/>
      </w:pPr>
      <w:r>
        <w:rPr>
          <w:rFonts w:ascii="Times New Roman" w:eastAsia="新細明體" w:hAnsi="Times New Roman" w:cs="Times New Roman"/>
          <w:b/>
          <w:bCs/>
          <w:sz w:val="24"/>
          <w:szCs w:val="24"/>
        </w:rPr>
        <w:t>島嶼角色互動｜</w:t>
      </w:r>
      <w:r>
        <w:rPr>
          <w:rFonts w:ascii="Times New Roman" w:eastAsia="新細明體" w:hAnsi="Times New Roman" w:cs="Times New Roman"/>
          <w:sz w:val="24"/>
          <w:szCs w:val="24"/>
        </w:rPr>
        <w:t>寵物與 NPC 完成後，預期以動物外觀、人類化行為及園丁、管家等職務設定，形成具個別特色的島嶼居民。不同 NPC 將對島嶼產生不同的正向作用並與玩家互動，但其作用種類、數值與觸發方式尚待定義。</w:t>
      </w:r>
    </w:p>
    <w:p w14:paraId="5D228B50" w14:textId="77777777" w:rsidR="00D44DCB" w:rsidRDefault="00000000">
      <w:pPr>
        <w:spacing w:after="120" w:line="360" w:lineRule="auto"/>
        <w:jc w:val="both"/>
      </w:pPr>
      <w:r>
        <w:rPr>
          <w:rFonts w:ascii="Times New Roman" w:eastAsia="新細明體" w:hAnsi="Times New Roman" w:cs="Times New Roman"/>
          <w:b/>
          <w:bCs/>
          <w:sz w:val="24"/>
          <w:szCs w:val="24"/>
        </w:rPr>
        <w:t>操作理解｜</w:t>
      </w:r>
      <w:r>
        <w:rPr>
          <w:rFonts w:ascii="Times New Roman" w:eastAsia="新細明體" w:hAnsi="Times New Roman" w:cs="Times New Roman"/>
          <w:sz w:val="24"/>
          <w:szCs w:val="24"/>
        </w:rPr>
        <w:t>載入畫面的風格重設與新手引導完善，預期協助首次進入遊戲的使用者理解遊戲調性、主要介面、操作順序及核心功能，降低初次使用時的探索成本。</w:t>
      </w:r>
    </w:p>
    <w:p w14:paraId="674FD202" w14:textId="77777777" w:rsidR="00D44DCB" w:rsidRDefault="00000000">
      <w:pPr>
        <w:spacing w:after="120" w:line="360" w:lineRule="auto"/>
        <w:jc w:val="both"/>
      </w:pPr>
      <w:r>
        <w:rPr>
          <w:rFonts w:ascii="Times New Roman" w:eastAsia="新細明體" w:hAnsi="Times New Roman" w:cs="Times New Roman"/>
          <w:b/>
          <w:bCs/>
          <w:sz w:val="24"/>
          <w:szCs w:val="24"/>
        </w:rPr>
        <w:t xml:space="preserve">稀有度與輪盤體驗｜飾品稀有度由三級調整為「普通、稀有、史詩、神話」四級後，商店商品的層次更為分明，各等級占比（60%/25%/12%/3%）使頂級商品保持稀缺感。輪盤介面依使用者連續登入天數呈現不同的視覺等級，搭配功能卡（如雙倍金幣卡）的限時供應，形成更具策略深度的遊戲經濟體驗。</w:t>
      </w:r>
    </w:p>
    <w:p w14:paraId="13D13D64" w14:textId="77777777" w:rsidR="00D44DCB" w:rsidRDefault="00000000">
      <w:pPr>
        <w:spacing w:after="120" w:line="360" w:lineRule="auto"/>
        <w:jc w:val="both"/>
      </w:pPr>
      <w:r>
        <w:rPr>
          <w:rFonts w:ascii="Times New Roman" w:eastAsia="新細明體" w:hAnsi="Times New Roman" w:cs="Times New Roman"/>
          <w:b/>
          <w:bCs/>
          <w:sz w:val="24"/>
          <w:szCs w:val="24"/>
        </w:rPr>
        <w:t xml:space="preserve">寵物照護與島嶼生態｜寵物完成生命跡象機制後，預期形成需要持續關注的養成體驗：使用者透過餵食飼料維持寵物活動力，佈置戶外狗窩提供活動空間，並在未登入期間面對排泄物堆積的視覺後果。園丁、管家 NPC 可協助清理，使島嶼管理與 NPC 職務產生實際互動。商店中同時加入圍欄商品，為島嶼區域劃分與庭院裝飾提供新的建設選項。</w:t>
      </w:r>
    </w:p>
    <w:p w14:paraId="5D228B51" w14:textId="77777777" w:rsidR="00D44DCB" w:rsidRDefault="00000000">
      <w:pPr>
        <w:pStyle w:val="2"/>
        <w:spacing w:before="240" w:after="160" w:line="360" w:lineRule="auto"/>
      </w:pPr>
      <w:r>
        <w:rPr>
          <w:rFonts w:ascii="標楷體" w:eastAsia="標楷體" w:hAnsi="標楷體" w:cs="標楷體"/>
          <w:b/>
          <w:bCs/>
        </w:rPr>
        <w:t>4. 遊戲機制與資訊更新（未來藍圖規劃）</w:t>
      </w:r>
    </w:p>
    <w:p w14:paraId="5D228B52" w14:textId="77777777" w:rsidR="00D44DCB" w:rsidRDefault="00000000">
      <w:pPr>
        <w:spacing w:after="120" w:line="360" w:lineRule="auto"/>
        <w:ind w:firstLine="480"/>
        <w:jc w:val="both"/>
      </w:pPr>
      <w:r>
        <w:rPr>
          <w:rFonts w:ascii="Times New Roman" w:eastAsia="新細明體" w:hAnsi="Times New Roman" w:cs="Times New Roman"/>
          <w:sz w:val="24"/>
          <w:szCs w:val="24"/>
        </w:rPr>
        <w:t>以下為團隊規劃中的遊戲機制更新方向，目前尚未完成但已列入未來藍圖，預計將逐步實作。各項機制的具體規則、數值與介面均待設計與測試後定案。</w:t>
      </w:r>
    </w:p>
    <w:p w14:paraId="5D228B53" w14:textId="77777777" w:rsidR="00D44DCB" w:rsidRDefault="00000000">
      <w:pPr>
        <w:spacing w:after="120" w:line="360" w:lineRule="auto"/>
        <w:jc w:val="both"/>
      </w:pPr>
      <w:r>
        <w:rPr>
          <w:rFonts w:ascii="Times New Roman" w:eastAsia="新細明體" w:hAnsi="Times New Roman" w:cs="Times New Roman"/>
          <w:b/>
          <w:bCs/>
          <w:sz w:val="24"/>
          <w:szCs w:val="24"/>
        </w:rPr>
        <w:t xml:space="preserve">飾品稀有度與取得機制｜商品劃分為「普通、稀有、史詩、神話」四種等級，商店內各等級占比分別為 60%、25%、12%、3%；越稀有的商品獲得時的特效、動畫與音效越華麗。最頂級商品（如神話級鳳凰）約需存 1 至 2 個月的金幣（約 5,000–6,000 金幣）方能購入；稀有度較高的商品改以經驗值購買而非金幣，進一步區隔兩種貨幣的用途。團隊同時規劃全面優化人物飾品的性能與整體畫風，調整過去吸引力不足的飾品以提升使用者購買意願。</w:t>
      </w:r>
    </w:p>
    <w:p w14:paraId="5D228B54" w14:textId="77777777" w:rsidR="00D44DCB" w:rsidRDefault="00000000">
      <w:pPr>
        <w:spacing w:after="120" w:line="360" w:lineRule="auto"/>
        <w:jc w:val="both"/>
      </w:pPr>
      <w:r>
        <w:rPr>
          <w:rFonts w:ascii="Times New Roman" w:eastAsia="新細明體" w:hAnsi="Times New Roman" w:cs="Times New Roman"/>
          <w:b/>
          <w:bCs/>
          <w:sz w:val="24"/>
          <w:szCs w:val="24"/>
        </w:rPr>
        <w:t>新手即時回饋｜</w:t>
      </w:r>
      <w:r>
        <w:rPr>
          <w:rFonts w:ascii="Times New Roman" w:eastAsia="新細明體" w:hAnsi="Times New Roman" w:cs="Times New Roman"/>
          <w:sz w:val="24"/>
          <w:szCs w:val="24"/>
        </w:rPr>
        <w:t>玩家首次完成健身即可獲得十餘枚金幣，使其在第一次體驗便有明確的成就回饋，避免初始門檻過高導致放棄。</w:t>
      </w:r>
    </w:p>
    <w:p w14:paraId="5D228B55" w14:textId="77777777" w:rsidR="00D44DCB" w:rsidRDefault="00000000">
      <w:pPr>
        <w:spacing w:after="120" w:line="360" w:lineRule="auto"/>
        <w:jc w:val="both"/>
      </w:pPr>
      <w:r>
        <w:rPr>
          <w:rFonts w:ascii="Times New Roman" w:eastAsia="新細明體" w:hAnsi="Times New Roman" w:cs="Times New Roman"/>
          <w:b/>
          <w:bCs/>
          <w:sz w:val="24"/>
          <w:szCs w:val="24"/>
        </w:rPr>
        <w:t>每日簽到與活動限定｜</w:t>
      </w:r>
      <w:r>
        <w:rPr>
          <w:rFonts w:ascii="Times New Roman" w:eastAsia="新細明體" w:hAnsi="Times New Roman" w:cs="Times New Roman"/>
          <w:sz w:val="24"/>
          <w:szCs w:val="24"/>
        </w:rPr>
        <w:t>簽到獎勵涵蓋特定節日（如聖誕節、萬聖節、共生節）限定極品，過期即絕版，最高可獲得頂級寵物或造型，以此提升使用者黏著度。漏簽七天以內可透過付費、完成特定運動任務或連續簽到至下週對應天數進行補簽；超過七天則不予補發。</w:t>
      </w:r>
    </w:p>
    <w:p w14:paraId="5D228B56" w14:textId="77777777" w:rsidR="00D44DCB" w:rsidRDefault="00000000">
      <w:pPr>
        <w:spacing w:after="120" w:line="360" w:lineRule="auto"/>
        <w:jc w:val="both"/>
      </w:pPr>
      <w:r>
        <w:rPr>
          <w:rFonts w:ascii="Times New Roman" w:eastAsia="新細明體" w:hAnsi="Times New Roman" w:cs="Times New Roman"/>
          <w:b/>
          <w:bCs/>
          <w:sz w:val="24"/>
          <w:szCs w:val="24"/>
        </w:rPr>
        <w:t xml:space="preserve">幸運輪盤與抽獎券｜第七天簽到大獎採用輪盤抽獎形式。抽獎券的來源為簽到累積、每日與每週任務及健身目標達成，無法以金幣直接購買。此設計旨在引導玩家實際參與運動，防止僅上線簽到而不運動的情形。系統加入連續登入進度條，以一週七天為單位，讓使用者看到再累積幾天輪盤即可加入更高稀有度獎品；符合條件的使用者，其抽獎券與輪盤介面皆升級為對應稀有度的顏色與樣式（如金色邊框、發光特效），與未達標使用者形成強烈的視覺對比，強化每日登入的參與動力。輪盤抽獎命中率為：碎片 48%、抽獎券 15%、功能卡 20%、普通 8%、稀有 5%、史詩 3%、神話 1%。</w:t>
      </w:r>
    </w:p>
    <w:p w14:paraId="5D228B57" w14:textId="77777777" w:rsidR="00D44DCB" w:rsidRDefault="00000000">
      <w:pPr>
        <w:spacing w:after="120" w:line="360" w:lineRule="auto"/>
        <w:jc w:val="both"/>
      </w:pPr>
      <w:r>
        <w:rPr>
          <w:rFonts w:ascii="Times New Roman" w:eastAsia="新細明體" w:hAnsi="Times New Roman" w:cs="Times New Roman"/>
          <w:b/>
          <w:bCs/>
          <w:sz w:val="24"/>
          <w:szCs w:val="24"/>
        </w:rPr>
        <w:t>金幣與經驗值對接｜</w:t>
      </w:r>
      <w:r>
        <w:rPr>
          <w:rFonts w:ascii="Times New Roman" w:eastAsia="新細明體" w:hAnsi="Times New Roman" w:cs="Times New Roman"/>
          <w:sz w:val="24"/>
          <w:szCs w:val="24"/>
        </w:rPr>
        <w:t>金幣的唯一獲取來源為健身結算，遊戲端不設任何其他金幣產出管道（例如餵寵物不可獲得金幣），以確保健身端與遊戲端的金幣數據一致。經驗值在兩端皆為只增不減並即時同步連動，因此不會產生扣除時的同步異常問題。此機制與第二章所述之伺服器端單一寫入閘門設計相一致，進一步明確了金幣產出的唯一管道。</w:t>
      </w:r>
    </w:p>
    <w:p w14:paraId="5D228B58" w14:textId="77777777" w:rsidR="00D44DCB" w:rsidRDefault="00000000">
      <w:pPr>
        <w:spacing w:after="120" w:line="360" w:lineRule="auto"/>
        <w:jc w:val="both"/>
      </w:pPr>
      <w:r>
        <w:rPr>
          <w:rFonts w:ascii="Times New Roman" w:eastAsia="新細明體" w:hAnsi="Times New Roman" w:cs="Times New Roman"/>
          <w:b/>
          <w:bCs/>
          <w:sz w:val="24"/>
          <w:szCs w:val="24"/>
        </w:rPr>
        <w:t>結算畫面｜</w:t>
      </w:r>
      <w:r>
        <w:rPr>
          <w:rFonts w:ascii="Times New Roman" w:eastAsia="新細明體" w:hAnsi="Times New Roman" w:cs="Times New Roman"/>
          <w:sz w:val="24"/>
          <w:szCs w:val="24"/>
        </w:rPr>
        <w:t>健身結束後的結算畫面將顯示金幣、經驗值、碎片與抽獎券四項資訊。金幣與經驗值常駐於健身端與遊戲端雙向顯示；碎片與抽獎券僅在結算畫面及遊戲端提示中顯示，主畫面不做同步呈現。</w:t>
      </w:r>
    </w:p>
    <w:p w14:paraId="5D228B59" w14:textId="77777777" w:rsidR="00D44DCB" w:rsidRDefault="00000000">
      <w:pPr>
        <w:spacing w:after="120" w:line="360" w:lineRule="auto"/>
        <w:jc w:val="both"/>
      </w:pPr>
      <w:r>
        <w:rPr>
          <w:rFonts w:ascii="Times New Roman" w:eastAsia="新細明體" w:hAnsi="Times New Roman" w:cs="Times New Roman"/>
          <w:b/>
          <w:bCs/>
          <w:sz w:val="24"/>
          <w:szCs w:val="24"/>
        </w:rPr>
        <w:t>建模現況｜</w:t>
      </w:r>
      <w:r>
        <w:rPr>
          <w:rFonts w:ascii="Times New Roman" w:eastAsia="新細明體" w:hAnsi="Times New Roman" w:cs="Times New Roman"/>
          <w:sz w:val="24"/>
          <w:szCs w:val="24"/>
        </w:rPr>
        <w:t>目前四維卡在建模嵌入遊戲的技術問題。團隊規劃若短期內無法解決，將先擱置該部分，優先處理其他可推進的項目，後續再行解決。</w:t>
      </w:r>
    </w:p>
    <w:p w14:paraId="657E59C7" w14:textId="77777777" w:rsidR="00D44DCB" w:rsidRDefault="00000000">
      <w:pPr>
        <w:spacing w:after="120" w:line="360" w:lineRule="auto"/>
        <w:jc w:val="both"/>
      </w:pPr>
      <w:r>
        <w:rPr>
          <w:rFonts w:ascii="Times New Roman" w:eastAsia="新細明體" w:hAnsi="Times New Roman" w:cs="Times New Roman"/>
          <w:b/>
          <w:bCs/>
          <w:sz w:val="24"/>
          <w:szCs w:val="24"/>
        </w:rPr>
        <w:t xml:space="preserve">功能卡系統｜加入功能卡機制，首張功能卡為「雙倍金幣卡」，使用後下次健身結算金幣翻倍，未來將持續引進新種類功能卡。功能卡採隨機上線制，每隔數週於限時商店中返場販售；獲取管道包含限時商店購買（金幣購入，定價較高）與輪盤抽獎（命中率約 20%）。此機制為進階玩家提供策略性消費選項，同時以限時供應控制經濟平衡。</w:t>
      </w:r>
    </w:p>
    <w:p w14:paraId="70846995" w14:textId="77777777" w:rsidR="00D44DCB" w:rsidRDefault="00000000">
      <w:pPr>
        <w:spacing w:after="120" w:line="360" w:lineRule="auto"/>
        <w:jc w:val="both"/>
      </w:pPr>
      <w:r>
        <w:rPr>
          <w:rFonts w:ascii="Times New Roman" w:eastAsia="新細明體" w:hAnsi="Times New Roman" w:cs="Times New Roman"/>
          <w:b/>
          <w:bCs/>
          <w:sz w:val="24"/>
          <w:szCs w:val="24"/>
        </w:rPr>
        <w:t xml:space="preserve">寵物生命跡象與照護｜為寵物系統加入活動力與營養值兩項狀態指標。若使用者長期未餵食或未登入，寵物活動力逐步下降並躲在窩裡不出來互動。商店中加入狗飼料品項（如西沙等），餵食可提升寵物生命力與營養值、增加互動活性；同時加入戶外狗窩作為島嶼裝飾與寵物活動空間。連續多天未登入時，島嶼地面將出現寵物排泄物並隨天數堆積，此懲罰機制可與園丁、管家 NPC 結合，NPC 可協助清理但需消耗資源或達成特定條件。</w:t>
      </w:r>
    </w:p>
    <w:p w14:paraId="48CFAD92" w14:textId="77777777" w:rsidR="00D44DCB" w:rsidRDefault="00000000">
      <w:pPr>
        <w:spacing w:after="120" w:line="360" w:lineRule="auto"/>
        <w:jc w:val="both"/>
      </w:pPr>
      <w:r>
        <w:rPr>
          <w:rFonts w:ascii="Times New Roman" w:eastAsia="新細明體" w:hAnsi="Times New Roman" w:cs="Times New Roman"/>
          <w:b/>
          <w:bCs/>
          <w:sz w:val="24"/>
          <w:szCs w:val="24"/>
        </w:rPr>
        <w:t xml:space="preserve">商店新增商品：圍欄｜商店中加入「圍欄」類別商品，供使用者購買後放置於島嶼上，用於劃分區域、裝飾庭院或圍護寵物活動範圍。圍欄提供多種風格選擇（如木質、金屬、花園式），並對應不同稀有度等級與定價。</w:t>
      </w:r>
    </w:p>
    <w:p w14:paraId="5D228B5A" w14:textId="77777777" w:rsidR="00D44DCB" w:rsidRDefault="00000000">
      <w:pPr>
        <w:pStyle w:val="1"/>
        <w:spacing w:before="360" w:after="200" w:line="360" w:lineRule="auto"/>
      </w:pPr>
      <w:r>
        <w:rPr>
          <w:rFonts w:ascii="標楷體" w:eastAsia="標楷體" w:hAnsi="標楷體" w:cs="標楷體"/>
          <w:b/>
          <w:bCs/>
          <w:sz w:val="28"/>
          <w:szCs w:val="32"/>
        </w:rPr>
        <w:t>（三）用途</w:t>
      </w:r>
    </w:p>
    <w:p w14:paraId="5D228B5B"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t>網站健身操作｜</w:t>
      </w:r>
      <w:r>
        <w:rPr>
          <w:rFonts w:ascii="Times New Roman" w:eastAsia="新細明體" w:hAnsi="Times New Roman" w:cs="Times New Roman"/>
          <w:sz w:val="24"/>
          <w:szCs w:val="24"/>
        </w:rPr>
        <w:t>完成整合後，讓使用者在網站中選擇健身項目、進入訓練畫面、查看結算結果及追蹤紀錄，形成連續的使用流程。</w:t>
      </w:r>
    </w:p>
    <w:p w14:paraId="5D228B5C"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lastRenderedPageBreak/>
        <w:t>遊戲化成果呈現｜</w:t>
      </w:r>
      <w:r>
        <w:rPr>
          <w:rFonts w:ascii="Times New Roman" w:eastAsia="新細明體" w:hAnsi="Times New Roman" w:cs="Times New Roman"/>
          <w:sz w:val="24"/>
          <w:szCs w:val="24"/>
        </w:rPr>
        <w:t>以角色、獎勵、商店、穿搭、住家佈置與島嶼建造，呈現健身參與所累積的結果與進度。</w:t>
      </w:r>
    </w:p>
    <w:p w14:paraId="5D228B5D"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t>角色個人化｜</w:t>
      </w:r>
      <w:r>
        <w:rPr>
          <w:rFonts w:ascii="Times New Roman" w:eastAsia="新細明體" w:hAnsi="Times New Roman" w:cs="Times New Roman"/>
          <w:sz w:val="24"/>
          <w:szCs w:val="24"/>
        </w:rPr>
        <w:t>人物模型、髮型、穿搭與裝飾完成調整後，預期提供較清楚、協調且具角色特色的外觀呈現。</w:t>
      </w:r>
    </w:p>
    <w:p w14:paraId="5D228B5E"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t>回訪提醒與負向回饋｜</w:t>
      </w:r>
      <w:r>
        <w:rPr>
          <w:rFonts w:ascii="Times New Roman" w:eastAsia="新細明體" w:hAnsi="Times New Roman" w:cs="Times New Roman"/>
          <w:sz w:val="24"/>
          <w:szCs w:val="24"/>
        </w:rPr>
        <w:t>手機端大型訊息框、顏色變化、每日挑戰式通知、登入中斷後的解鎖，以及藤蔓侵蝕事件，規劃用於提醒使用者返回遊戲，並讓中斷參與產生可見的遊戲內後果。</w:t>
      </w:r>
    </w:p>
    <w:p w14:paraId="5D228B5F"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t>島嶼角色互動｜</w:t>
      </w:r>
      <w:r>
        <w:rPr>
          <w:rFonts w:ascii="Times New Roman" w:eastAsia="新細明體" w:hAnsi="Times New Roman" w:cs="Times New Roman"/>
          <w:sz w:val="24"/>
          <w:szCs w:val="24"/>
        </w:rPr>
        <w:t>動物 NPC 完成後，預期透過園丁、管家等職務角色及其島嶼正向作用，增加使用者與島嶼居民之間的互動內容。</w:t>
      </w:r>
    </w:p>
    <w:p w14:paraId="5D228B60"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t>操作引導｜</w:t>
      </w:r>
      <w:r>
        <w:rPr>
          <w:rFonts w:ascii="Times New Roman" w:eastAsia="新細明體" w:hAnsi="Times New Roman" w:cs="Times New Roman"/>
          <w:sz w:val="24"/>
          <w:szCs w:val="24"/>
        </w:rPr>
        <w:t>載入畫面與新手引導完成優化後，預期協助使用者理解遊戲風格、主要介面及操作流程。</w:t>
      </w:r>
    </w:p>
    <w:p w14:paraId="5D228B61"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t>碎片機制｜</w:t>
      </w:r>
      <w:r>
        <w:rPr>
          <w:rFonts w:ascii="Times New Roman" w:eastAsia="新細明體" w:hAnsi="Times New Roman" w:cs="Times New Roman"/>
          <w:sz w:val="24"/>
          <w:szCs w:val="24"/>
        </w:rPr>
        <w:t>目前僅能作為高機率考慮中的遊戲構想列入企劃；在詳細規則未定前，不預設其收集、合成、建造、兌換或獎勵用途。</w:t>
      </w:r>
    </w:p>
    <w:p w14:paraId="5D228B62"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t xml:space="preserve">飾品稀有度與取得（未來藍圖）｜透過「普通、稀有、史詩、神話」四級稀有度劃分（商店占比 60%/25%/12%/3%）與經驗值購買機制，為使用者提供明確的收集目標與長期動力。</w:t>
      </w:r>
    </w:p>
    <w:p w14:paraId="5D228B63"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t>每日簽到與活動限定（未來藍圖）｜</w:t>
      </w:r>
      <w:r>
        <w:rPr>
          <w:rFonts w:ascii="Times New Roman" w:eastAsia="新細明體" w:hAnsi="Times New Roman" w:cs="Times New Roman"/>
          <w:sz w:val="24"/>
          <w:szCs w:val="24"/>
        </w:rPr>
        <w:t>以每日簽到獎勵、節日限定絕版品及補簽機制，建立使用者每日回訪的習慣與節慶期間的參與高峰。</w:t>
      </w:r>
    </w:p>
    <w:p w14:paraId="5D228B64"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t xml:space="preserve">幸運輪盤與抽獎券（未來藍圖）｜以不可用金幣購買的抽獎券作為運動目標達成獎勵，引導使用者透過實際健身而非僅登入來獲取遊戲資源；連續登入進度條與輪盤視覺升級讓每日參與的差異一目了然。</w:t>
      </w:r>
    </w:p>
    <w:p w14:paraId="7A7B1ED3"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t xml:space="preserve">功能卡系統（未來藍圖）｜以限時供應的功能卡（如雙倍金幣卡）提供進階玩家策略性消費選項，透過限時商店與輪盤兩種管道獲取，豐富遊戲經濟的層次。</w:t>
      </w:r>
    </w:p>
    <w:p w14:paraId="3C7F6F03"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t xml:space="preserve">寵物生命跡象與照護（未來藍圖）｜透過寵物活動力與營養值指標、飼料商品及排泄物懲罰機制，增加使用者與寵物的互動深度，並結合 NPC 職務形成島嶼生態系統。</w:t>
      </w:r>
    </w:p>
    <w:p w14:paraId="7E5B3E54"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t xml:space="preserve">商店新增商品：圍欄（未來藍圖）｜以多風格、多稀有度的圍欄商品，為使用者的島嶼提供區域劃分與庭院裝飾功能，豐富島嶼建設的可玩性。</w:t>
      </w:r>
    </w:p>
    <w:p w14:paraId="5D228B65" w14:textId="77777777" w:rsidR="00D44DCB" w:rsidRDefault="00000000">
      <w:pPr>
        <w:pStyle w:val="1"/>
        <w:spacing w:before="360" w:after="200" w:line="360" w:lineRule="auto"/>
      </w:pPr>
      <w:r>
        <w:rPr>
          <w:rFonts w:ascii="標楷體" w:eastAsia="標楷體" w:hAnsi="標楷體" w:cs="標楷體"/>
          <w:b/>
          <w:bCs/>
          <w:sz w:val="28"/>
          <w:szCs w:val="32"/>
        </w:rPr>
        <w:t>（四）影響</w:t>
      </w:r>
    </w:p>
    <w:p w14:paraId="5D228B66" w14:textId="77777777" w:rsidR="00D44DCB" w:rsidRDefault="00000000">
      <w:pPr>
        <w:spacing w:after="120" w:line="360" w:lineRule="auto"/>
        <w:jc w:val="both"/>
      </w:pPr>
      <w:r>
        <w:rPr>
          <w:rFonts w:ascii="Times New Roman" w:eastAsia="新細明體" w:hAnsi="Times New Roman" w:cs="Times New Roman"/>
          <w:b/>
          <w:bCs/>
          <w:sz w:val="24"/>
          <w:szCs w:val="24"/>
        </w:rPr>
        <w:t>整合體驗｜</w:t>
      </w:r>
      <w:r>
        <w:rPr>
          <w:rFonts w:ascii="Times New Roman" w:eastAsia="新細明體" w:hAnsi="Times New Roman" w:cs="Times New Roman"/>
          <w:sz w:val="24"/>
          <w:szCs w:val="24"/>
        </w:rPr>
        <w:t>本作品預期把健身流程、訓練結果、追蹤紀錄與遊戲互動集中於同一網站，使健身功能與角色、獎勵及島嶼內容形成共同流程，而不是彼此分離的系統。</w:t>
      </w:r>
    </w:p>
    <w:p w14:paraId="5D228B67" w14:textId="77777777" w:rsidR="00D44DCB" w:rsidRDefault="00000000">
      <w:pPr>
        <w:spacing w:after="120" w:line="360" w:lineRule="auto"/>
        <w:jc w:val="both"/>
      </w:pPr>
      <w:r>
        <w:rPr>
          <w:rFonts w:ascii="Times New Roman" w:eastAsia="新細明體" w:hAnsi="Times New Roman" w:cs="Times New Roman"/>
          <w:b/>
          <w:bCs/>
          <w:sz w:val="24"/>
          <w:szCs w:val="24"/>
        </w:rPr>
        <w:t>視覺與角色體驗｜</w:t>
      </w:r>
      <w:r>
        <w:rPr>
          <w:rFonts w:ascii="Times New Roman" w:eastAsia="新細明體" w:hAnsi="Times New Roman" w:cs="Times New Roman"/>
          <w:sz w:val="24"/>
          <w:szCs w:val="24"/>
        </w:rPr>
        <w:t>人物五官與身體構造的呈現、髮型與穿搭協調、畫質、特效、UI 及載入畫面完成調整後，可望使角色與介面更容易辨識，並建立較一致的視覺風格。新手引導完善後，亦有助於降低首次使用者理解操作流程的負擔。</w:t>
      </w:r>
    </w:p>
    <w:p w14:paraId="5D228B68" w14:textId="77777777" w:rsidR="00D44DCB" w:rsidRDefault="00000000">
      <w:pPr>
        <w:spacing w:after="120" w:line="360" w:lineRule="auto"/>
        <w:jc w:val="both"/>
      </w:pPr>
      <w:r>
        <w:rPr>
          <w:rFonts w:ascii="Times New Roman" w:eastAsia="新細明體" w:hAnsi="Times New Roman" w:cs="Times New Roman"/>
          <w:b/>
          <w:bCs/>
          <w:sz w:val="24"/>
          <w:szCs w:val="24"/>
        </w:rPr>
        <w:t>持續參與與世界互動｜</w:t>
      </w:r>
      <w:r>
        <w:rPr>
          <w:rFonts w:ascii="Times New Roman" w:eastAsia="新細明體" w:hAnsi="Times New Roman" w:cs="Times New Roman"/>
          <w:sz w:val="24"/>
          <w:szCs w:val="24"/>
        </w:rPr>
        <w:t>提醒、遊戲後果、寵物與 NPC 等規劃，意圖增加使用者留存與</w:t>
        <w:lastRenderedPageBreak/>
        <w:t>持續參與感。具有職務特色的動物 NPC 可望增加島嶼的角色層次；登入與島嶼狀態的可見變化，則使參與歷程不只停留在數字紀錄。上述影響仍屬預期，尚無實測結果。</w:t>
      </w:r>
    </w:p>
    <w:p w14:paraId="5D228B69" w14:textId="77777777" w:rsidR="00D44DCB" w:rsidRDefault="00000000">
      <w:pPr>
        <w:spacing w:after="120" w:line="360" w:lineRule="auto"/>
        <w:jc w:val="both"/>
      </w:pPr>
      <w:r>
        <w:rPr>
          <w:rFonts w:ascii="Times New Roman" w:eastAsia="新細明體" w:hAnsi="Times New Roman" w:cs="Times New Roman"/>
          <w:b/>
          <w:bCs/>
          <w:sz w:val="24"/>
          <w:szCs w:val="24"/>
        </w:rPr>
        <w:t>公平性與付費壓力｜</w:t>
      </w:r>
      <w:r>
        <w:rPr>
          <w:rFonts w:ascii="Times New Roman" w:eastAsia="新細明體" w:hAnsi="Times New Roman" w:cs="Times New Roman"/>
          <w:sz w:val="24"/>
          <w:szCs w:val="24"/>
        </w:rPr>
        <w:t>來源所述的登入中斷後「花錢解鎖大獎」可能造成公平性、付費壓力與失去獎勵的焦慮。具體付費方式、價格及條件尚未定義，正式採用前應先檢視其必要性、透明度及對不同使用者的影響。</w:t>
      </w:r>
    </w:p>
    <w:p w14:paraId="5D228B6A" w14:textId="77777777" w:rsidR="00D44DCB" w:rsidRDefault="00000000">
      <w:pPr>
        <w:spacing w:after="120" w:line="360" w:lineRule="auto"/>
        <w:jc w:val="both"/>
      </w:pPr>
      <w:r>
        <w:rPr>
          <w:rFonts w:ascii="Times New Roman" w:eastAsia="新細明體" w:hAnsi="Times New Roman" w:cs="Times New Roman"/>
          <w:b/>
          <w:bCs/>
          <w:sz w:val="24"/>
          <w:szCs w:val="24"/>
        </w:rPr>
        <w:t>通知與使用自主性｜</w:t>
      </w:r>
      <w:r>
        <w:rPr>
          <w:rFonts w:ascii="Times New Roman" w:eastAsia="新細明體" w:hAnsi="Times New Roman" w:cs="Times New Roman"/>
          <w:sz w:val="24"/>
          <w:szCs w:val="24"/>
        </w:rPr>
        <w:t>每日挑戰式通知、大型框體及強烈顏色變化雖可提高提醒的顯著程度，也可能造成反感、干擾或心理壓力。通知頻率、文案、同意方式與關閉機制尚未定案，須以使用者控制與可用性測試結果作為設計依據。</w:t>
      </w:r>
    </w:p>
    <w:p w14:paraId="5D228B6B" w14:textId="77777777" w:rsidR="00D44DCB" w:rsidRDefault="00000000">
      <w:pPr>
        <w:spacing w:after="120" w:line="360" w:lineRule="auto"/>
        <w:jc w:val="both"/>
      </w:pPr>
      <w:r>
        <w:rPr>
          <w:rFonts w:ascii="Times New Roman" w:eastAsia="新細明體" w:hAnsi="Times New Roman" w:cs="Times New Roman"/>
          <w:b/>
          <w:bCs/>
          <w:sz w:val="24"/>
          <w:szCs w:val="24"/>
        </w:rPr>
        <w:t>資產與挫折感｜</w:t>
      </w:r>
      <w:r>
        <w:rPr>
          <w:rFonts w:ascii="Times New Roman" w:eastAsia="新細明體" w:hAnsi="Times New Roman" w:cs="Times New Roman"/>
          <w:sz w:val="24"/>
          <w:szCs w:val="24"/>
        </w:rPr>
        <w:t>藤蔓撐開或破壞地板、房屋、室內及島嶼的設計，可能強化遊戲後果，也可能使使用者對既有資產產生不安全感或挫折。其效果是視覺狀態、可逆事件或實際資產變更尚未提供，正式設計前須明確界定並進行接受度測試。</w:t>
      </w:r>
    </w:p>
    <w:p w14:paraId="60946C62" w14:textId="77777777" w:rsidR="00D44DCB" w:rsidRDefault="00000000">
      <w:pPr>
        <w:spacing w:after="120" w:line="360" w:lineRule="auto"/>
        <w:jc w:val="both"/>
      </w:pPr>
      <w:r>
        <w:rPr>
          <w:rFonts w:ascii="Times New Roman" w:eastAsia="新細明體" w:hAnsi="Times New Roman" w:cs="Times New Roman"/>
          <w:b/>
          <w:bCs/>
          <w:sz w:val="24"/>
          <w:szCs w:val="24"/>
        </w:rPr>
        <w:t xml:space="preserve">功能卡經濟影響｜功能卡的限時供應與較高定價可能引導玩家在限時商店期間集中消費，對金幣經濟產生短期波動。功能卡的效果強度（如雙倍金幣）與供應頻率須謹慎平衡，避免持有功能卡的玩家與未持有者之間產生過大的資源差距。</w:t>
      </w:r>
    </w:p>
    <w:p w14:paraId="1C3413AD" w14:textId="77777777" w:rsidR="00D44DCB" w:rsidRDefault="00000000">
      <w:pPr>
        <w:spacing w:after="120" w:line="360" w:lineRule="auto"/>
        <w:jc w:val="both"/>
      </w:pPr>
      <w:r>
        <w:rPr>
          <w:rFonts w:ascii="Times New Roman" w:eastAsia="新細明體" w:hAnsi="Times New Roman" w:cs="Times New Roman"/>
          <w:b/>
          <w:bCs/>
          <w:sz w:val="24"/>
          <w:szCs w:val="24"/>
        </w:rPr>
        <w:t xml:space="preserve">寵物照護與懲罰感受｜寵物活動力下降與排泄物堆積雖可作為回訪誘因，但過度的負面呈現可能使部分使用者感到不適或增加焦慮。飼料商品的定價與消耗速率須避免形成額外的付費壓力；排泄物機制的視覺呈現與觸發天數應以使用者接受度測試結果作為設計依據。</w:t>
      </w:r>
    </w:p>
    <w:p w14:paraId="5D228B6C" w14:textId="77777777" w:rsidR="00D44DCB" w:rsidRDefault="00000000">
      <w:pPr>
        <w:pStyle w:val="1"/>
        <w:spacing w:before="360" w:after="200" w:line="360" w:lineRule="auto"/>
      </w:pPr>
      <w:r>
        <w:rPr>
          <w:rFonts w:ascii="標楷體" w:eastAsia="標楷體" w:hAnsi="標楷體" w:cs="標楷體"/>
          <w:b/>
          <w:bCs/>
          <w:sz w:val="28"/>
          <w:szCs w:val="32"/>
        </w:rPr>
        <w:t>（五）效益</w:t>
      </w:r>
    </w:p>
    <w:p w14:paraId="5D228B6D"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t>流程整合效益｜</w:t>
      </w:r>
      <w:r>
        <w:rPr>
          <w:rFonts w:ascii="Times New Roman" w:eastAsia="新細明體" w:hAnsi="Times New Roman" w:cs="Times New Roman"/>
          <w:sz w:val="24"/>
          <w:szCs w:val="24"/>
        </w:rPr>
        <w:t>預期將健身選擇、訓練、結算、紀錄與遊戲互動集中呈現，使作品核心概念及操作關係較容易理解。</w:t>
      </w:r>
    </w:p>
    <w:p w14:paraId="5D228B6E"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t>視覺呈現效益｜</w:t>
      </w:r>
      <w:r>
        <w:rPr>
          <w:rFonts w:ascii="Times New Roman" w:eastAsia="新細明體" w:hAnsi="Times New Roman" w:cs="Times New Roman"/>
          <w:sz w:val="24"/>
          <w:szCs w:val="24"/>
        </w:rPr>
        <w:t>人物模型、髮型與穿搭、畫質、特效、UI 及載入畫面完成調整後，可望提升角色辨識度、造型協調性及整體風格一致性。</w:t>
      </w:r>
    </w:p>
    <w:p w14:paraId="5D228B6F"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t>使用引導效益｜</w:t>
      </w:r>
      <w:r>
        <w:rPr>
          <w:rFonts w:ascii="Times New Roman" w:eastAsia="新細明體" w:hAnsi="Times New Roman" w:cs="Times New Roman"/>
          <w:sz w:val="24"/>
          <w:szCs w:val="24"/>
        </w:rPr>
        <w:t>新手引導完成完善後，預期使主要介面、功能入口與操作順序更容易被理解。</w:t>
      </w:r>
    </w:p>
    <w:p w14:paraId="5D228B70"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t>參與回饋效益｜</w:t>
      </w:r>
      <w:r>
        <w:rPr>
          <w:rFonts w:ascii="Times New Roman" w:eastAsia="新細明體" w:hAnsi="Times New Roman" w:cs="Times New Roman"/>
          <w:sz w:val="24"/>
          <w:szCs w:val="24"/>
        </w:rPr>
        <w:t>獎勵、提醒、登入中斷機制、藤蔓侵蝕與島嶼進度，規劃為使用者提供提醒、累積或遊戲後果；實際回訪與持續參與效果須待測試確認。</w:t>
      </w:r>
    </w:p>
    <w:p w14:paraId="5D228B71"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t>角色互動效益｜</w:t>
      </w:r>
      <w:r>
        <w:rPr>
          <w:rFonts w:ascii="Times New Roman" w:eastAsia="新細明體" w:hAnsi="Times New Roman" w:cs="Times New Roman"/>
          <w:sz w:val="24"/>
          <w:szCs w:val="24"/>
        </w:rPr>
        <w:t>寵物與動物 NPC 完成後，可望增加使用者與島嶼之間的互動，並以尚待定義的正向作用豐富島嶼內容。</w:t>
      </w:r>
    </w:p>
    <w:p w14:paraId="5D228B72"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t>作品展示效益｜</w:t>
      </w:r>
      <w:r>
        <w:rPr>
          <w:rFonts w:ascii="Times New Roman" w:eastAsia="新細明體" w:hAnsi="Times New Roman" w:cs="Times New Roman"/>
          <w:sz w:val="24"/>
          <w:szCs w:val="24"/>
        </w:rPr>
        <w:t>以同一網站呈現健身影像辨識、訓練紀錄、角色養成及島嶼互動，使競賽評審較容易掌握作品的整合特色。</w:t>
      </w:r>
    </w:p>
    <w:p w14:paraId="5D228B73"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t>健康促進效益｜</w:t>
      </w:r>
      <w:r>
        <w:rPr>
          <w:rFonts w:ascii="Times New Roman" w:eastAsia="新細明體" w:hAnsi="Times New Roman" w:cs="Times New Roman"/>
          <w:sz w:val="24"/>
          <w:szCs w:val="24"/>
        </w:rPr>
        <w:t>作品期望透過遊戲化健身體驗支持運動參與與健康生活意識；不預先宣稱習慣養成、辨識準確率、醫療效果或健康改善幅度。</w:t>
      </w:r>
    </w:p>
    <w:p w14:paraId="0783D600"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t xml:space="preserve">功能卡與商品擴充效益｜功能卡、圍欄等新商品類別可望豐富商店內容與消費選項，為進階使用者提供更多策略規劃空間；限時供應機制預期創造回訪誘因與消費節奏。</w:t>
      </w:r>
    </w:p>
    <w:p w14:paraId="385DA172" w14:textId="77777777" w:rsidR="00D44DCB" w:rsidRDefault="00000000">
      <w:pPr>
        <w:pStyle w:val="a4"/>
        <w:numPr>
          <w:ilvl w:val="0"/>
          <w:numId w:val="1"/>
        </w:numPr>
        <w:spacing w:after="80" w:line="360" w:lineRule="auto"/>
      </w:pPr>
      <w:r>
        <w:rPr>
          <w:rFonts w:ascii="Times New Roman" w:eastAsia="新細明體" w:hAnsi="Times New Roman" w:cs="Times New Roman"/>
          <w:b/>
          <w:bCs/>
          <w:sz w:val="24"/>
          <w:szCs w:val="24"/>
        </w:rPr>
        <w:t xml:space="preserve">寵物照護互動效益｜寵物生命跡象機制可望增加使用者與寵物之間的情感連結與互動頻率，飼料、狗窩等商品進一步擴展島嶼生態；排泄物與 NPC 清理的聯動則增加島嶼管理的趣味性。實際參與意願與情感反應須待測試確認。</w:t>
      </w:r>
    </w:p>
    <w:p w14:paraId="5D228B74" w14:textId="77777777" w:rsidR="00D44DCB" w:rsidRDefault="00D44DCB"/>
    <w:p w14:paraId="5D228B75" w14:textId="77777777" w:rsidR="00D44DCB" w:rsidRDefault="00000000">
      <w:pPr>
        <w:spacing w:after="120" w:line="360" w:lineRule="auto"/>
        <w:jc w:val="center"/>
      </w:pPr>
      <w:r>
        <w:rPr>
          <w:rFonts w:ascii="Times New Roman" w:eastAsia="新細明體" w:hAnsi="Times New Roman" w:cs="Times New Roman"/>
          <w:b/>
          <w:bCs/>
          <w:sz w:val="24"/>
          <w:szCs w:val="24"/>
        </w:rPr>
        <w:t>表 6-2　預期效益與驗證方式</w:t>
      </w:r>
    </w:p>
    <w:tbl>
      <w:tblPr>
        <w:tblW w:w="96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1400"/>
        <w:gridCol w:w="2800"/>
        <w:gridCol w:w="2800"/>
        <w:gridCol w:w="2600"/>
      </w:tblGrid>
      <w:tr w:rsidR="00D44DCB" w14:paraId="5D228B7A" w14:textId="77777777">
        <w:tblPrEx>
          <w:tblCellMar>
            <w:top w:w="0" w:type="dxa"/>
            <w:bottom w:w="0" w:type="dxa"/>
          </w:tblCellMar>
        </w:tblPrEx>
        <w:trPr>
          <w:tblHeader/>
        </w:trPr>
        <w:tc>
          <w:tcPr>
            <w:tcW w:w="1400" w:type="dxa"/>
            <w:shd w:val="clear" w:color="auto" w:fill="D9E2F3"/>
            <w:tcMar>
              <w:top w:w="40" w:type="dxa"/>
              <w:left w:w="80" w:type="dxa"/>
              <w:bottom w:w="40" w:type="dxa"/>
              <w:right w:w="80" w:type="dxa"/>
            </w:tcMar>
          </w:tcPr>
          <w:p w14:paraId="5D228B76" w14:textId="77777777" w:rsidR="00D44DCB" w:rsidRDefault="00000000">
            <w:pPr>
              <w:spacing w:after="40"/>
            </w:pPr>
            <w:r>
              <w:rPr>
                <w:rFonts w:ascii="Times New Roman" w:eastAsia="新細明體" w:hAnsi="Times New Roman" w:cs="Times New Roman"/>
                <w:b/>
                <w:bCs/>
                <w:sz w:val="22"/>
                <w:szCs w:val="22"/>
              </w:rPr>
              <w:t>評估面向</w:t>
            </w:r>
          </w:p>
        </w:tc>
        <w:tc>
          <w:tcPr>
            <w:tcW w:w="2800" w:type="dxa"/>
            <w:shd w:val="clear" w:color="auto" w:fill="D9E2F3"/>
            <w:tcMar>
              <w:top w:w="40" w:type="dxa"/>
              <w:left w:w="80" w:type="dxa"/>
              <w:bottom w:w="40" w:type="dxa"/>
              <w:right w:w="80" w:type="dxa"/>
            </w:tcMar>
          </w:tcPr>
          <w:p w14:paraId="5D228B77" w14:textId="77777777" w:rsidR="00D44DCB" w:rsidRDefault="00000000">
            <w:pPr>
              <w:spacing w:after="40"/>
            </w:pPr>
            <w:r>
              <w:rPr>
                <w:rFonts w:ascii="Times New Roman" w:eastAsia="新細明體" w:hAnsi="Times New Roman" w:cs="Times New Roman"/>
                <w:b/>
                <w:bCs/>
                <w:sz w:val="22"/>
                <w:szCs w:val="22"/>
              </w:rPr>
              <w:t>觀察重點</w:t>
            </w:r>
          </w:p>
        </w:tc>
        <w:tc>
          <w:tcPr>
            <w:tcW w:w="2800" w:type="dxa"/>
            <w:shd w:val="clear" w:color="auto" w:fill="D9E2F3"/>
            <w:tcMar>
              <w:top w:w="40" w:type="dxa"/>
              <w:left w:w="80" w:type="dxa"/>
              <w:bottom w:w="40" w:type="dxa"/>
              <w:right w:w="80" w:type="dxa"/>
            </w:tcMar>
          </w:tcPr>
          <w:p w14:paraId="5D228B78" w14:textId="77777777" w:rsidR="00D44DCB" w:rsidRDefault="00000000">
            <w:pPr>
              <w:spacing w:after="40"/>
            </w:pPr>
            <w:r>
              <w:rPr>
                <w:rFonts w:ascii="Times New Roman" w:eastAsia="新細明體" w:hAnsi="Times New Roman" w:cs="Times New Roman"/>
                <w:b/>
                <w:bCs/>
                <w:sz w:val="22"/>
                <w:szCs w:val="22"/>
              </w:rPr>
              <w:t>驗證方式</w:t>
            </w:r>
          </w:p>
        </w:tc>
        <w:tc>
          <w:tcPr>
            <w:tcW w:w="2600" w:type="dxa"/>
            <w:shd w:val="clear" w:color="auto" w:fill="D9E2F3"/>
            <w:tcMar>
              <w:top w:w="40" w:type="dxa"/>
              <w:left w:w="80" w:type="dxa"/>
              <w:bottom w:w="40" w:type="dxa"/>
              <w:right w:w="80" w:type="dxa"/>
            </w:tcMar>
          </w:tcPr>
          <w:p w14:paraId="5D228B79" w14:textId="77777777" w:rsidR="00D44DCB" w:rsidRDefault="00000000">
            <w:pPr>
              <w:spacing w:after="40"/>
            </w:pPr>
            <w:r>
              <w:rPr>
                <w:rFonts w:ascii="Times New Roman" w:eastAsia="新細明體" w:hAnsi="Times New Roman" w:cs="Times New Roman"/>
                <w:b/>
                <w:bCs/>
                <w:sz w:val="22"/>
                <w:szCs w:val="22"/>
              </w:rPr>
              <w:t>解讀界線</w:t>
            </w:r>
          </w:p>
        </w:tc>
      </w:tr>
      <w:tr w:rsidR="00D44DCB" w14:paraId="5D228B7F" w14:textId="77777777">
        <w:tblPrEx>
          <w:tblCellMar>
            <w:top w:w="0" w:type="dxa"/>
            <w:bottom w:w="0" w:type="dxa"/>
          </w:tblCellMar>
        </w:tblPrEx>
        <w:tc>
          <w:tcPr>
            <w:tcW w:w="1400" w:type="dxa"/>
            <w:tcMar>
              <w:top w:w="40" w:type="dxa"/>
              <w:left w:w="80" w:type="dxa"/>
              <w:bottom w:w="40" w:type="dxa"/>
              <w:right w:w="80" w:type="dxa"/>
            </w:tcMar>
          </w:tcPr>
          <w:p w14:paraId="5D228B7B" w14:textId="77777777" w:rsidR="00D44DCB" w:rsidRDefault="00000000">
            <w:pPr>
              <w:spacing w:after="40"/>
            </w:pPr>
            <w:r>
              <w:rPr>
                <w:rFonts w:ascii="Times New Roman" w:eastAsia="新細明體" w:hAnsi="Times New Roman" w:cs="Times New Roman"/>
              </w:rPr>
              <w:t>整合流程</w:t>
            </w:r>
          </w:p>
        </w:tc>
        <w:tc>
          <w:tcPr>
            <w:tcW w:w="2800" w:type="dxa"/>
            <w:tcMar>
              <w:top w:w="40" w:type="dxa"/>
              <w:left w:w="80" w:type="dxa"/>
              <w:bottom w:w="40" w:type="dxa"/>
              <w:right w:w="80" w:type="dxa"/>
            </w:tcMar>
          </w:tcPr>
          <w:p w14:paraId="5D228B7C" w14:textId="77777777" w:rsidR="00D44DCB" w:rsidRDefault="00000000">
            <w:pPr>
              <w:spacing w:after="40"/>
            </w:pPr>
            <w:r>
              <w:rPr>
                <w:rFonts w:ascii="Times New Roman" w:eastAsia="新細明體" w:hAnsi="Times New Roman" w:cs="Times New Roman"/>
              </w:rPr>
              <w:t>健身選擇、訓練、結算、追蹤與遊戲回饋的銜接</w:t>
            </w:r>
          </w:p>
        </w:tc>
        <w:tc>
          <w:tcPr>
            <w:tcW w:w="2800" w:type="dxa"/>
            <w:tcMar>
              <w:top w:w="40" w:type="dxa"/>
              <w:left w:w="80" w:type="dxa"/>
              <w:bottom w:w="40" w:type="dxa"/>
              <w:right w:w="80" w:type="dxa"/>
            </w:tcMar>
          </w:tcPr>
          <w:p w14:paraId="5D228B7D" w14:textId="77777777" w:rsidR="00D44DCB" w:rsidRDefault="00000000">
            <w:pPr>
              <w:spacing w:after="40"/>
            </w:pPr>
            <w:r>
              <w:rPr>
                <w:rFonts w:ascii="Times New Roman" w:eastAsia="新細明體" w:hAnsi="Times New Roman" w:cs="Times New Roman"/>
              </w:rPr>
              <w:t>完成整合後進行流程與內容一致性測試</w:t>
            </w:r>
          </w:p>
        </w:tc>
        <w:tc>
          <w:tcPr>
            <w:tcW w:w="2600" w:type="dxa"/>
            <w:tcMar>
              <w:top w:w="40" w:type="dxa"/>
              <w:left w:w="80" w:type="dxa"/>
              <w:bottom w:w="40" w:type="dxa"/>
              <w:right w:w="80" w:type="dxa"/>
            </w:tcMar>
          </w:tcPr>
          <w:p w14:paraId="5D228B7E" w14:textId="77777777" w:rsidR="00D44DCB" w:rsidRDefault="00000000">
            <w:pPr>
              <w:spacing w:after="40"/>
            </w:pPr>
            <w:r>
              <w:rPr>
                <w:rFonts w:ascii="Times New Roman" w:eastAsia="新細明體" w:hAnsi="Times New Roman" w:cs="Times New Roman"/>
              </w:rPr>
              <w:t>只確認流程可用，不推論健康成效</w:t>
            </w:r>
          </w:p>
        </w:tc>
      </w:tr>
      <w:tr w:rsidR="00D44DCB" w14:paraId="5D228B84" w14:textId="77777777">
        <w:tblPrEx>
          <w:tblCellMar>
            <w:top w:w="0" w:type="dxa"/>
            <w:bottom w:w="0" w:type="dxa"/>
          </w:tblCellMar>
        </w:tblPrEx>
        <w:tc>
          <w:tcPr>
            <w:tcW w:w="1400" w:type="dxa"/>
            <w:tcMar>
              <w:top w:w="40" w:type="dxa"/>
              <w:left w:w="80" w:type="dxa"/>
              <w:bottom w:w="40" w:type="dxa"/>
              <w:right w:w="80" w:type="dxa"/>
            </w:tcMar>
          </w:tcPr>
          <w:p w14:paraId="5D228B80" w14:textId="77777777" w:rsidR="00D44DCB" w:rsidRDefault="00000000">
            <w:pPr>
              <w:spacing w:after="40"/>
            </w:pPr>
            <w:r>
              <w:rPr>
                <w:rFonts w:ascii="Times New Roman" w:eastAsia="新細明體" w:hAnsi="Times New Roman" w:cs="Times New Roman"/>
              </w:rPr>
              <w:t>角色與視覺</w:t>
            </w:r>
          </w:p>
        </w:tc>
        <w:tc>
          <w:tcPr>
            <w:tcW w:w="2800" w:type="dxa"/>
            <w:tcMar>
              <w:top w:w="40" w:type="dxa"/>
              <w:left w:w="80" w:type="dxa"/>
              <w:bottom w:w="40" w:type="dxa"/>
              <w:right w:w="80" w:type="dxa"/>
            </w:tcMar>
          </w:tcPr>
          <w:p w14:paraId="5D228B81" w14:textId="77777777" w:rsidR="00D44DCB" w:rsidRDefault="00000000">
            <w:pPr>
              <w:spacing w:after="40"/>
            </w:pPr>
            <w:r>
              <w:rPr>
                <w:rFonts w:ascii="Times New Roman" w:eastAsia="新細明體" w:hAnsi="Times New Roman" w:cs="Times New Roman"/>
              </w:rPr>
              <w:t>模型辨識度、穿搭協調、畫質、特效、UI 與載入畫面一致性</w:t>
            </w:r>
          </w:p>
        </w:tc>
        <w:tc>
          <w:tcPr>
            <w:tcW w:w="2800" w:type="dxa"/>
            <w:tcMar>
              <w:top w:w="40" w:type="dxa"/>
              <w:left w:w="80" w:type="dxa"/>
              <w:bottom w:w="40" w:type="dxa"/>
              <w:right w:w="80" w:type="dxa"/>
            </w:tcMar>
          </w:tcPr>
          <w:p w14:paraId="5D228B82" w14:textId="77777777" w:rsidR="00D44DCB" w:rsidRDefault="00000000">
            <w:pPr>
              <w:spacing w:after="40"/>
            </w:pPr>
            <w:r>
              <w:rPr>
                <w:rFonts w:ascii="Times New Roman" w:eastAsia="新細明體" w:hAnsi="Times New Roman" w:cs="Times New Roman"/>
              </w:rPr>
              <w:t>以設計規範檢核及可用性觀察確認</w:t>
            </w:r>
          </w:p>
        </w:tc>
        <w:tc>
          <w:tcPr>
            <w:tcW w:w="2600" w:type="dxa"/>
            <w:tcMar>
              <w:top w:w="40" w:type="dxa"/>
              <w:left w:w="80" w:type="dxa"/>
              <w:bottom w:w="40" w:type="dxa"/>
              <w:right w:w="80" w:type="dxa"/>
            </w:tcMar>
          </w:tcPr>
          <w:p w14:paraId="5D228B83" w14:textId="77777777" w:rsidR="00D44DCB" w:rsidRDefault="00000000">
            <w:pPr>
              <w:spacing w:after="40"/>
            </w:pPr>
            <w:r>
              <w:rPr>
                <w:rFonts w:ascii="Times New Roman" w:eastAsia="新細明體" w:hAnsi="Times New Roman" w:cs="Times New Roman"/>
              </w:rPr>
              <w:t>不以風格參考保證同等品質</w:t>
            </w:r>
          </w:p>
        </w:tc>
      </w:tr>
      <w:tr w:rsidR="00D44DCB" w14:paraId="5D228B89" w14:textId="77777777">
        <w:tblPrEx>
          <w:tblCellMar>
            <w:top w:w="0" w:type="dxa"/>
            <w:bottom w:w="0" w:type="dxa"/>
          </w:tblCellMar>
        </w:tblPrEx>
        <w:tc>
          <w:tcPr>
            <w:tcW w:w="1400" w:type="dxa"/>
            <w:tcMar>
              <w:top w:w="40" w:type="dxa"/>
              <w:left w:w="80" w:type="dxa"/>
              <w:bottom w:w="40" w:type="dxa"/>
              <w:right w:w="80" w:type="dxa"/>
            </w:tcMar>
          </w:tcPr>
          <w:p w14:paraId="5D228B85" w14:textId="77777777" w:rsidR="00D44DCB" w:rsidRDefault="00000000">
            <w:pPr>
              <w:spacing w:after="40"/>
            </w:pPr>
            <w:r>
              <w:rPr>
                <w:rFonts w:ascii="Times New Roman" w:eastAsia="新細明體" w:hAnsi="Times New Roman" w:cs="Times New Roman"/>
              </w:rPr>
              <w:t>新手引導</w:t>
            </w:r>
          </w:p>
        </w:tc>
        <w:tc>
          <w:tcPr>
            <w:tcW w:w="2800" w:type="dxa"/>
            <w:tcMar>
              <w:top w:w="40" w:type="dxa"/>
              <w:left w:w="80" w:type="dxa"/>
              <w:bottom w:w="40" w:type="dxa"/>
              <w:right w:w="80" w:type="dxa"/>
            </w:tcMar>
          </w:tcPr>
          <w:p w14:paraId="5D228B86" w14:textId="77777777" w:rsidR="00D44DCB" w:rsidRDefault="00000000">
            <w:pPr>
              <w:spacing w:after="40"/>
            </w:pPr>
            <w:r>
              <w:rPr>
                <w:rFonts w:ascii="Times New Roman" w:eastAsia="新細明體" w:hAnsi="Times New Roman" w:cs="Times New Roman"/>
              </w:rPr>
              <w:t>首次使用者能否理解主要介面與操作順序</w:t>
            </w:r>
          </w:p>
        </w:tc>
        <w:tc>
          <w:tcPr>
            <w:tcW w:w="2800" w:type="dxa"/>
            <w:tcMar>
              <w:top w:w="40" w:type="dxa"/>
              <w:left w:w="80" w:type="dxa"/>
              <w:bottom w:w="40" w:type="dxa"/>
              <w:right w:w="80" w:type="dxa"/>
            </w:tcMar>
          </w:tcPr>
          <w:p w14:paraId="5D228B87" w14:textId="77777777" w:rsidR="00D44DCB" w:rsidRDefault="00000000">
            <w:pPr>
              <w:spacing w:after="40"/>
            </w:pPr>
            <w:r>
              <w:rPr>
                <w:rFonts w:ascii="Times New Roman" w:eastAsia="新細明體" w:hAnsi="Times New Roman" w:cs="Times New Roman"/>
              </w:rPr>
              <w:t>依引導流程進行任務完成觀察</w:t>
            </w:r>
          </w:p>
        </w:tc>
        <w:tc>
          <w:tcPr>
            <w:tcW w:w="2600" w:type="dxa"/>
            <w:tcMar>
              <w:top w:w="40" w:type="dxa"/>
              <w:left w:w="80" w:type="dxa"/>
              <w:bottom w:w="40" w:type="dxa"/>
              <w:right w:w="80" w:type="dxa"/>
            </w:tcMar>
          </w:tcPr>
          <w:p w14:paraId="5D228B88" w14:textId="77777777" w:rsidR="00D44DCB" w:rsidRDefault="00000000">
            <w:pPr>
              <w:spacing w:after="40"/>
            </w:pPr>
            <w:r>
              <w:rPr>
                <w:rFonts w:ascii="Times New Roman" w:eastAsia="新細明體" w:hAnsi="Times New Roman" w:cs="Times New Roman"/>
              </w:rPr>
              <w:t>結果以實際測試為準</w:t>
            </w:r>
          </w:p>
        </w:tc>
      </w:tr>
      <w:tr w:rsidR="00D44DCB" w14:paraId="5D228B8E" w14:textId="77777777">
        <w:tblPrEx>
          <w:tblCellMar>
            <w:top w:w="0" w:type="dxa"/>
            <w:bottom w:w="0" w:type="dxa"/>
          </w:tblCellMar>
        </w:tblPrEx>
        <w:tc>
          <w:tcPr>
            <w:tcW w:w="1400" w:type="dxa"/>
            <w:tcMar>
              <w:top w:w="40" w:type="dxa"/>
              <w:left w:w="80" w:type="dxa"/>
              <w:bottom w:w="40" w:type="dxa"/>
              <w:right w:w="80" w:type="dxa"/>
            </w:tcMar>
          </w:tcPr>
          <w:p w14:paraId="5D228B8A" w14:textId="77777777" w:rsidR="00D44DCB" w:rsidRDefault="00000000">
            <w:pPr>
              <w:spacing w:after="40"/>
            </w:pPr>
            <w:r>
              <w:rPr>
                <w:rFonts w:ascii="Times New Roman" w:eastAsia="新細明體" w:hAnsi="Times New Roman" w:cs="Times New Roman"/>
              </w:rPr>
              <w:t>提醒與懲罰</w:t>
            </w:r>
          </w:p>
        </w:tc>
        <w:tc>
          <w:tcPr>
            <w:tcW w:w="2800" w:type="dxa"/>
            <w:tcMar>
              <w:top w:w="40" w:type="dxa"/>
              <w:left w:w="80" w:type="dxa"/>
              <w:bottom w:w="40" w:type="dxa"/>
              <w:right w:w="80" w:type="dxa"/>
            </w:tcMar>
          </w:tcPr>
          <w:p w14:paraId="5D228B8B" w14:textId="77777777" w:rsidR="00D44DCB" w:rsidRDefault="00000000">
            <w:pPr>
              <w:spacing w:after="40"/>
            </w:pPr>
            <w:r>
              <w:rPr>
                <w:rFonts w:ascii="Times New Roman" w:eastAsia="新細明體" w:hAnsi="Times New Roman" w:cs="Times New Roman"/>
              </w:rPr>
              <w:t>通知理解、回訪意圖、付費壓力、挫折感與使用者控制</w:t>
            </w:r>
          </w:p>
        </w:tc>
        <w:tc>
          <w:tcPr>
            <w:tcW w:w="2800" w:type="dxa"/>
            <w:tcMar>
              <w:top w:w="40" w:type="dxa"/>
              <w:left w:w="80" w:type="dxa"/>
              <w:bottom w:w="40" w:type="dxa"/>
              <w:right w:w="80" w:type="dxa"/>
            </w:tcMar>
          </w:tcPr>
          <w:p w14:paraId="5D228B8C" w14:textId="77777777" w:rsidR="00D44DCB" w:rsidRDefault="00000000">
            <w:pPr>
              <w:spacing w:after="40"/>
            </w:pPr>
            <w:r>
              <w:rPr>
                <w:rFonts w:ascii="Times New Roman" w:eastAsia="新細明體" w:hAnsi="Times New Roman" w:cs="Times New Roman"/>
              </w:rPr>
              <w:t>機制定案後進行公平性及使用者感受測試</w:t>
            </w:r>
          </w:p>
        </w:tc>
        <w:tc>
          <w:tcPr>
            <w:tcW w:w="2600" w:type="dxa"/>
            <w:tcMar>
              <w:top w:w="40" w:type="dxa"/>
              <w:left w:w="80" w:type="dxa"/>
              <w:bottom w:w="40" w:type="dxa"/>
              <w:right w:w="80" w:type="dxa"/>
            </w:tcMar>
          </w:tcPr>
          <w:p w14:paraId="5D228B8D" w14:textId="77777777" w:rsidR="00D44DCB" w:rsidRDefault="00000000">
            <w:pPr>
              <w:spacing w:after="40"/>
            </w:pPr>
            <w:r>
              <w:rPr>
                <w:rFonts w:ascii="Times New Roman" w:eastAsia="新細明體" w:hAnsi="Times New Roman" w:cs="Times New Roman"/>
              </w:rPr>
              <w:t>不預先宣稱提升留存或黏著</w:t>
            </w:r>
          </w:p>
        </w:tc>
      </w:tr>
      <w:tr w:rsidR="00D44DCB" w14:paraId="5D228B93" w14:textId="77777777">
        <w:tblPrEx>
          <w:tblCellMar>
            <w:top w:w="0" w:type="dxa"/>
            <w:bottom w:w="0" w:type="dxa"/>
          </w:tblCellMar>
        </w:tblPrEx>
        <w:tc>
          <w:tcPr>
            <w:tcW w:w="1400" w:type="dxa"/>
            <w:tcMar>
              <w:top w:w="40" w:type="dxa"/>
              <w:left w:w="80" w:type="dxa"/>
              <w:bottom w:w="40" w:type="dxa"/>
              <w:right w:w="80" w:type="dxa"/>
            </w:tcMar>
          </w:tcPr>
          <w:p w14:paraId="5D228B8F" w14:textId="77777777" w:rsidR="00D44DCB" w:rsidRDefault="00000000">
            <w:pPr>
              <w:spacing w:after="40"/>
            </w:pPr>
            <w:r>
              <w:rPr>
                <w:rFonts w:ascii="Times New Roman" w:eastAsia="新細明體" w:hAnsi="Times New Roman" w:cs="Times New Roman"/>
              </w:rPr>
              <w:t>NPC 與島嶼</w:t>
            </w:r>
          </w:p>
        </w:tc>
        <w:tc>
          <w:tcPr>
            <w:tcW w:w="2800" w:type="dxa"/>
            <w:tcMar>
              <w:top w:w="40" w:type="dxa"/>
              <w:left w:w="80" w:type="dxa"/>
              <w:bottom w:w="40" w:type="dxa"/>
              <w:right w:w="80" w:type="dxa"/>
            </w:tcMar>
          </w:tcPr>
          <w:p w14:paraId="5D228B90" w14:textId="77777777" w:rsidR="00D44DCB" w:rsidRDefault="00000000">
            <w:pPr>
              <w:spacing w:after="40"/>
            </w:pPr>
            <w:r>
              <w:rPr>
                <w:rFonts w:ascii="Times New Roman" w:eastAsia="新細明體" w:hAnsi="Times New Roman" w:cs="Times New Roman"/>
              </w:rPr>
              <w:t>角色互動、職務特色與正向作用是否清楚</w:t>
            </w:r>
          </w:p>
        </w:tc>
        <w:tc>
          <w:tcPr>
            <w:tcW w:w="2800" w:type="dxa"/>
            <w:tcMar>
              <w:top w:w="40" w:type="dxa"/>
              <w:left w:w="80" w:type="dxa"/>
              <w:bottom w:w="40" w:type="dxa"/>
              <w:right w:w="80" w:type="dxa"/>
            </w:tcMar>
          </w:tcPr>
          <w:p w14:paraId="5D228B91" w14:textId="77777777" w:rsidR="00D44DCB" w:rsidRDefault="00000000">
            <w:pPr>
              <w:spacing w:after="40"/>
            </w:pPr>
            <w:r>
              <w:rPr>
                <w:rFonts w:ascii="Times New Roman" w:eastAsia="新細明體" w:hAnsi="Times New Roman" w:cs="Times New Roman"/>
              </w:rPr>
              <w:t>功能完成後檢查互動流程及規則可理解性</w:t>
            </w:r>
          </w:p>
        </w:tc>
        <w:tc>
          <w:tcPr>
            <w:tcW w:w="2600" w:type="dxa"/>
            <w:tcMar>
              <w:top w:w="40" w:type="dxa"/>
              <w:left w:w="80" w:type="dxa"/>
              <w:bottom w:w="40" w:type="dxa"/>
              <w:right w:w="80" w:type="dxa"/>
            </w:tcMar>
          </w:tcPr>
          <w:p w14:paraId="5D228B92" w14:textId="77777777" w:rsidR="00D44DCB" w:rsidRDefault="00000000">
            <w:pPr>
              <w:spacing w:after="40"/>
            </w:pPr>
            <w:r>
              <w:rPr>
                <w:rFonts w:ascii="Times New Roman" w:eastAsia="新細明體" w:hAnsi="Times New Roman" w:cs="Times New Roman"/>
              </w:rPr>
              <w:t>未定數值與作用不先列為效益</w:t>
            </w:r>
          </w:p>
        </w:tc>
      </w:tr>
      <w:tr w:rsidR="00D44DCB" w14:paraId="5D228B98" w14:textId="77777777">
        <w:tblPrEx>
          <w:tblCellMar>
            <w:top w:w="0" w:type="dxa"/>
            <w:bottom w:w="0" w:type="dxa"/>
          </w:tblCellMar>
        </w:tblPrEx>
        <w:tc>
          <w:tcPr>
            <w:tcW w:w="1400" w:type="dxa"/>
            <w:tcMar>
              <w:top w:w="40" w:type="dxa"/>
              <w:left w:w="80" w:type="dxa"/>
              <w:bottom w:w="40" w:type="dxa"/>
              <w:right w:w="80" w:type="dxa"/>
            </w:tcMar>
          </w:tcPr>
          <w:p w14:paraId="5D228B94" w14:textId="77777777" w:rsidR="00D44DCB" w:rsidRDefault="00000000">
            <w:pPr>
              <w:spacing w:after="40"/>
            </w:pPr>
            <w:r>
              <w:rPr>
                <w:rFonts w:ascii="Times New Roman" w:eastAsia="新細明體" w:hAnsi="Times New Roman" w:cs="Times New Roman"/>
              </w:rPr>
              <w:t>健康促進</w:t>
            </w:r>
          </w:p>
        </w:tc>
        <w:tc>
          <w:tcPr>
            <w:tcW w:w="2800" w:type="dxa"/>
            <w:tcMar>
              <w:top w:w="40" w:type="dxa"/>
              <w:left w:w="80" w:type="dxa"/>
              <w:bottom w:w="40" w:type="dxa"/>
              <w:right w:w="80" w:type="dxa"/>
            </w:tcMar>
          </w:tcPr>
          <w:p w14:paraId="5D228B95" w14:textId="77777777" w:rsidR="00D44DCB" w:rsidRDefault="00000000">
            <w:pPr>
              <w:spacing w:after="40"/>
            </w:pPr>
            <w:r>
              <w:rPr>
                <w:rFonts w:ascii="Times New Roman" w:eastAsia="新細明體" w:hAnsi="Times New Roman" w:cs="Times New Roman"/>
              </w:rPr>
              <w:t>使用者是否能理解健身流程、紀錄與遊戲進度的關聯</w:t>
            </w:r>
          </w:p>
        </w:tc>
        <w:tc>
          <w:tcPr>
            <w:tcW w:w="2800" w:type="dxa"/>
            <w:tcMar>
              <w:top w:w="40" w:type="dxa"/>
              <w:left w:w="80" w:type="dxa"/>
              <w:bottom w:w="40" w:type="dxa"/>
              <w:right w:w="80" w:type="dxa"/>
            </w:tcMar>
          </w:tcPr>
          <w:p w14:paraId="5D228B96" w14:textId="77777777" w:rsidR="00D44DCB" w:rsidRDefault="00000000">
            <w:pPr>
              <w:spacing w:after="40"/>
            </w:pPr>
            <w:r>
              <w:rPr>
                <w:rFonts w:ascii="Times New Roman" w:eastAsia="新細明體" w:hAnsi="Times New Roman" w:cs="Times New Roman"/>
              </w:rPr>
              <w:t>依整合版本測試與回饋資料評估</w:t>
            </w:r>
          </w:p>
        </w:tc>
        <w:tc>
          <w:tcPr>
            <w:tcW w:w="2600" w:type="dxa"/>
            <w:tcMar>
              <w:top w:w="40" w:type="dxa"/>
              <w:left w:w="80" w:type="dxa"/>
              <w:bottom w:w="40" w:type="dxa"/>
              <w:right w:w="80" w:type="dxa"/>
            </w:tcMar>
          </w:tcPr>
          <w:p w14:paraId="5D228B97" w14:textId="77777777" w:rsidR="00D44DCB" w:rsidRDefault="00000000">
            <w:pPr>
              <w:spacing w:after="40"/>
            </w:pPr>
            <w:r>
              <w:rPr>
                <w:rFonts w:ascii="Times New Roman" w:eastAsia="新細明體" w:hAnsi="Times New Roman" w:cs="Times New Roman"/>
              </w:rPr>
              <w:t>不推論醫療、臨床或疾病改善效果</w:t>
            </w:r>
          </w:p>
        </w:tc>
      </w:tr>
      <w:tr w:rsidR="00D44DCB" w14:paraId="4F411A8C" w14:textId="77777777">
        <w:tblPrEx>
          <w:tblCellMar>
            <w:top w:w="0" w:type="dxa"/>
            <w:bottom w:w="0" w:type="dxa"/>
          </w:tblCellMar>
        </w:tblPrEx>
        <w:tc>
          <w:tcPr>
            <w:tcW w:w="1400" w:type="dxa"/>
            <w:tcMar>
              <w:top w:w="40" w:type="dxa"/>
              <w:left w:w="80" w:type="dxa"/>
              <w:bottom w:w="40" w:type="dxa"/>
              <w:right w:w="80" w:type="dxa"/>
            </w:tcMar>
          </w:tcPr>
          <w:p w14:paraId="01F59259" w14:textId="77777777" w:rsidR="00D44DCB" w:rsidRDefault="00000000">
            <w:pPr>
              <w:spacing w:after="40"/>
            </w:pPr>
            <w:r>
              <w:rPr>
                <w:rFonts w:ascii="Times New Roman" w:eastAsia="新細明體" w:hAnsi="Times New Roman" w:cs="Times New Roman"/>
              </w:rPr>
              <w:t xml:space="preserve">功能卡與商品</w:t>
            </w:r>
          </w:p>
        </w:tc>
        <w:tc>
          <w:tcPr>
            <w:tcW w:w="2800" w:type="dxa"/>
            <w:tcMar>
              <w:top w:w="40" w:type="dxa"/>
              <w:left w:w="80" w:type="dxa"/>
              <w:bottom w:w="40" w:type="dxa"/>
              <w:right w:w="80" w:type="dxa"/>
            </w:tcMar>
          </w:tcPr>
          <w:p w14:paraId="700C9D5B" w14:textId="77777777" w:rsidR="00D44DCB" w:rsidRDefault="00000000">
            <w:pPr>
              <w:spacing w:after="40"/>
            </w:pPr>
            <w:r>
              <w:rPr>
                <w:rFonts w:ascii="Times New Roman" w:eastAsia="新細明體" w:hAnsi="Times New Roman" w:cs="Times New Roman"/>
              </w:rPr>
              <w:t xml:space="preserve">功能卡效果、供應頻率、經濟影響與商店商品多樣性</w:t>
            </w:r>
          </w:p>
        </w:tc>
        <w:tc>
          <w:tcPr>
            <w:tcW w:w="2800" w:type="dxa"/>
            <w:tcMar>
              <w:top w:w="40" w:type="dxa"/>
              <w:left w:w="80" w:type="dxa"/>
              <w:bottom w:w="40" w:type="dxa"/>
              <w:right w:w="80" w:type="dxa"/>
            </w:tcMar>
          </w:tcPr>
          <w:p w14:paraId="5E06D466" w14:textId="77777777" w:rsidR="00D44DCB" w:rsidRDefault="00000000">
            <w:pPr>
              <w:spacing w:after="40"/>
            </w:pPr>
            <w:r>
              <w:rPr>
                <w:rFonts w:ascii="Times New Roman" w:eastAsia="新細明體" w:hAnsi="Times New Roman" w:cs="Times New Roman"/>
              </w:rPr>
              <w:t xml:space="preserve">機制上線後追蹤金幣流通與消費行為</w:t>
            </w:r>
          </w:p>
        </w:tc>
        <w:tc>
          <w:tcPr>
            <w:tcW w:w="2600" w:type="dxa"/>
            <w:tcMar>
              <w:top w:w="40" w:type="dxa"/>
              <w:left w:w="80" w:type="dxa"/>
              <w:bottom w:w="40" w:type="dxa"/>
              <w:right w:w="80" w:type="dxa"/>
            </w:tcMar>
          </w:tcPr>
          <w:p w14:paraId="332EAB03" w14:textId="77777777" w:rsidR="00D44DCB" w:rsidRDefault="00000000">
            <w:pPr>
              <w:spacing w:after="40"/>
            </w:pPr>
            <w:r>
              <w:rPr>
                <w:rFonts w:ascii="Times New Roman" w:eastAsia="新細明體" w:hAnsi="Times New Roman" w:cs="Times New Roman"/>
              </w:rPr>
              <w:t xml:space="preserve">不預先宣稱消費轉化或留存提升</w:t>
            </w:r>
          </w:p>
        </w:tc>
      </w:tr>
      <w:tr w:rsidR="00D44DCB" w14:paraId="1778E4E2" w14:textId="77777777">
        <w:tblPrEx>
          <w:tblCellMar>
            <w:top w:w="0" w:type="dxa"/>
            <w:bottom w:w="0" w:type="dxa"/>
          </w:tblCellMar>
        </w:tblPrEx>
        <w:tc>
          <w:tcPr>
            <w:tcW w:w="1400" w:type="dxa"/>
            <w:tcMar>
              <w:top w:w="40" w:type="dxa"/>
              <w:left w:w="80" w:type="dxa"/>
              <w:bottom w:w="40" w:type="dxa"/>
              <w:right w:w="80" w:type="dxa"/>
            </w:tcMar>
          </w:tcPr>
          <w:p w14:paraId="7165A6EE" w14:textId="77777777" w:rsidR="00D44DCB" w:rsidRDefault="00000000">
            <w:pPr>
              <w:spacing w:after="40"/>
            </w:pPr>
            <w:r>
              <w:rPr>
                <w:rFonts w:ascii="Times New Roman" w:eastAsia="新細明體" w:hAnsi="Times New Roman" w:cs="Times New Roman"/>
              </w:rPr>
              <w:t xml:space="preserve">寵物照護</w:t>
            </w:r>
          </w:p>
        </w:tc>
        <w:tc>
          <w:tcPr>
            <w:tcW w:w="2800" w:type="dxa"/>
            <w:tcMar>
              <w:top w:w="40" w:type="dxa"/>
              <w:left w:w="80" w:type="dxa"/>
              <w:bottom w:w="40" w:type="dxa"/>
              <w:right w:w="80" w:type="dxa"/>
            </w:tcMar>
          </w:tcPr>
          <w:p w14:paraId="430EC1CC" w14:textId="77777777" w:rsidR="00D44DCB" w:rsidRDefault="00000000">
            <w:pPr>
              <w:spacing w:after="40"/>
            </w:pPr>
            <w:r>
              <w:rPr>
                <w:rFonts w:ascii="Times New Roman" w:eastAsia="新細明體" w:hAnsi="Times New Roman" w:cs="Times New Roman"/>
              </w:rPr>
              <w:t xml:space="preserve">活動力指標、餵食互動、排泄物觸發與 NPC 聯動</w:t>
            </w:r>
          </w:p>
        </w:tc>
        <w:tc>
          <w:tcPr>
            <w:tcW w:w="2800" w:type="dxa"/>
            <w:tcMar>
              <w:top w:w="40" w:type="dxa"/>
              <w:left w:w="80" w:type="dxa"/>
              <w:bottom w:w="40" w:type="dxa"/>
              <w:right w:w="80" w:type="dxa"/>
            </w:tcMar>
          </w:tcPr>
          <w:p w14:paraId="66CA1D25" w14:textId="77777777" w:rsidR="00D44DCB" w:rsidRDefault="00000000">
            <w:pPr>
              <w:spacing w:after="40"/>
            </w:pPr>
            <w:r>
              <w:rPr>
                <w:rFonts w:ascii="Times New Roman" w:eastAsia="新細明體" w:hAnsi="Times New Roman" w:cs="Times New Roman"/>
              </w:rPr>
              <w:t xml:space="preserve">機制完成後進行使用者接受度與互動頻率測試</w:t>
            </w:r>
          </w:p>
        </w:tc>
        <w:tc>
          <w:tcPr>
            <w:tcW w:w="2600" w:type="dxa"/>
            <w:tcMar>
              <w:top w:w="40" w:type="dxa"/>
              <w:left w:w="80" w:type="dxa"/>
              <w:bottom w:w="40" w:type="dxa"/>
              <w:right w:w="80" w:type="dxa"/>
            </w:tcMar>
          </w:tcPr>
          <w:p w14:paraId="5E360926" w14:textId="77777777" w:rsidR="00D44DCB" w:rsidRDefault="00000000">
            <w:pPr>
              <w:spacing w:after="40"/>
            </w:pPr>
            <w:r>
              <w:rPr>
                <w:rFonts w:ascii="Times New Roman" w:eastAsia="新細明體" w:hAnsi="Times New Roman" w:cs="Times New Roman"/>
              </w:rPr>
              <w:t xml:space="preserve">不預先宣稱情感連結或回訪效果</w:t>
            </w:r>
          </w:p>
        </w:tc>
      </w:tr>
    </w:tbl>
    <w:p w14:paraId="5D228B99" w14:textId="77777777" w:rsidR="00D44DCB" w:rsidRDefault="00D44DCB"/>
    <w:p w14:paraId="5D228B9A" w14:textId="77777777" w:rsidR="00D44DCB" w:rsidRDefault="00000000">
      <w:pPr>
        <w:spacing w:after="120" w:line="360" w:lineRule="auto"/>
        <w:jc w:val="both"/>
      </w:pPr>
      <w:r>
        <w:rPr>
          <w:rFonts w:ascii="Times New Roman" w:eastAsia="新細明體" w:hAnsi="Times New Roman" w:cs="Times New Roman"/>
          <w:b/>
          <w:bCs/>
          <w:sz w:val="24"/>
          <w:szCs w:val="24"/>
        </w:rPr>
        <w:t>效益判定原則｜</w:t>
      </w:r>
      <w:r>
        <w:rPr>
          <w:rFonts w:ascii="Times New Roman" w:eastAsia="新細明體" w:hAnsi="Times New Roman" w:cs="Times New Roman"/>
          <w:sz w:val="24"/>
          <w:szCs w:val="24"/>
        </w:rPr>
        <w:t>本章所列未完成項目均為規劃內容。除附件明載碎片機制「約九成可能納入」外，本章未新增任何量化成效、營運指標、使用者規模、通知成果或技術規格；各項效果須在功能完成並接受可重現測試後，才依實際資料陳述。</w:t>
      </w:r>
    </w:p>
    <w:sectPr w:rsidR="00D44DCB">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22EDA" w14:textId="77777777" w:rsidR="00CC2140" w:rsidRDefault="00CC2140" w:rsidP="006B6DD8">
      <w:r>
        <w:separator/>
      </w:r>
    </w:p>
  </w:endnote>
  <w:endnote w:type="continuationSeparator" w:id="0">
    <w:p w14:paraId="3F6EB5D2" w14:textId="77777777" w:rsidR="00CC2140" w:rsidRDefault="00CC2140" w:rsidP="006B6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微軟正黑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C7161" w14:textId="77777777" w:rsidR="00CC2140" w:rsidRDefault="00CC2140" w:rsidP="006B6DD8">
      <w:r>
        <w:separator/>
      </w:r>
    </w:p>
  </w:footnote>
  <w:footnote w:type="continuationSeparator" w:id="0">
    <w:p w14:paraId="4921D4E9" w14:textId="77777777" w:rsidR="00CC2140" w:rsidRDefault="00CC2140" w:rsidP="006B6D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97E25"/>
    <w:multiLevelType w:val="hybridMultilevel"/>
    <w:tmpl w:val="6ABA0338"/>
    <w:lvl w:ilvl="0" w:tplc="D7E4C488">
      <w:start w:val="1"/>
      <w:numFmt w:val="bullet"/>
      <w:lvlText w:val="●"/>
      <w:lvlJc w:val="left"/>
      <w:pPr>
        <w:ind w:left="720" w:hanging="360"/>
      </w:pPr>
    </w:lvl>
    <w:lvl w:ilvl="1" w:tplc="29FE6D36">
      <w:start w:val="1"/>
      <w:numFmt w:val="bullet"/>
      <w:lvlText w:val="○"/>
      <w:lvlJc w:val="left"/>
      <w:pPr>
        <w:ind w:left="1440" w:hanging="360"/>
      </w:pPr>
    </w:lvl>
    <w:lvl w:ilvl="2" w:tplc="425AD062">
      <w:start w:val="1"/>
      <w:numFmt w:val="bullet"/>
      <w:lvlText w:val="■"/>
      <w:lvlJc w:val="left"/>
      <w:pPr>
        <w:ind w:left="2160" w:hanging="360"/>
      </w:pPr>
    </w:lvl>
    <w:lvl w:ilvl="3" w:tplc="F1749BCA">
      <w:start w:val="1"/>
      <w:numFmt w:val="bullet"/>
      <w:lvlText w:val="●"/>
      <w:lvlJc w:val="left"/>
      <w:pPr>
        <w:ind w:left="2880" w:hanging="360"/>
      </w:pPr>
    </w:lvl>
    <w:lvl w:ilvl="4" w:tplc="11DA183A">
      <w:start w:val="1"/>
      <w:numFmt w:val="bullet"/>
      <w:lvlText w:val="○"/>
      <w:lvlJc w:val="left"/>
      <w:pPr>
        <w:ind w:left="3600" w:hanging="360"/>
      </w:pPr>
    </w:lvl>
    <w:lvl w:ilvl="5" w:tplc="E5EAE3FE">
      <w:start w:val="1"/>
      <w:numFmt w:val="bullet"/>
      <w:lvlText w:val="■"/>
      <w:lvlJc w:val="left"/>
      <w:pPr>
        <w:ind w:left="4320" w:hanging="360"/>
      </w:pPr>
    </w:lvl>
    <w:lvl w:ilvl="6" w:tplc="3428428E">
      <w:start w:val="1"/>
      <w:numFmt w:val="bullet"/>
      <w:lvlText w:val="●"/>
      <w:lvlJc w:val="left"/>
      <w:pPr>
        <w:ind w:left="5040" w:hanging="360"/>
      </w:pPr>
    </w:lvl>
    <w:lvl w:ilvl="7" w:tplc="A8928494">
      <w:start w:val="1"/>
      <w:numFmt w:val="bullet"/>
      <w:lvlText w:val="●"/>
      <w:lvlJc w:val="left"/>
      <w:pPr>
        <w:ind w:left="5760" w:hanging="360"/>
      </w:pPr>
    </w:lvl>
    <w:lvl w:ilvl="8" w:tplc="9D2888E2">
      <w:start w:val="1"/>
      <w:numFmt w:val="bullet"/>
      <w:lvlText w:val="●"/>
      <w:lvlJc w:val="left"/>
      <w:pPr>
        <w:ind w:left="6480" w:hanging="360"/>
      </w:pPr>
    </w:lvl>
  </w:abstractNum>
  <w:num w:numId="1" w16cid:durableId="78063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DCB"/>
    <w:rsid w:val="006B6DD8"/>
    <w:rsid w:val="00C31DA9"/>
    <w:rsid w:val="00CC2140"/>
    <w:rsid w:val="00D44D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28A88"/>
  <w15:docId w15:val="{AB5A6D94-4BD1-4069-B999-427A0C01B6BD}"/>
</w:settings>
</file>

<file path=word/styles.xml><?xml version="1.0" encoding="utf-8"?>
<w:styles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mc="http://schemas.openxmlformats.org/markup-compatibility/2006" xmlns:w="http://schemas.openxmlformats.org/wordprocessingml/2006/main" mc:Ignorable="w14 w15 w16se w16cid w16 w16cex w16sdtdh w16sdtfl w16du">
  <w:docDefaults>
    <w:rPrDefault>
      <w:rPr>
        <w:rFonts w:ascii="Times New Roman" w:hAnsi="Times New Roman" w:cs="Times New Roman" w:eastAsia="新細明體"/>
        <w:lang w:val="en-US" w:eastAsia="zh-TW"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before="0" w:after="120" w:line="360" w:lineRule="auto"/>
    </w:pPr>
    <w:rPr>
      <w:rFonts w:ascii="Times New Roman" w:hAnsi="Times New Roman" w:eastAsia="新細明體" w:cs="Times New Roman"/>
      <w:sz w:val="24"/>
      <w:szCs w:val="24"/>
    </w:rPr>
  </w:style>
  <w:style w:type="paragraph" w:styleId="1">
    <w:name w:val="heading 1"/>
    <w:uiPriority w:val="9"/>
    <w:qFormat/>
    <w:pPr>
      <w:spacing w:before="360" w:after="200" w:line="360" w:lineRule="auto"/>
      <w:outlineLvl w:val="0"/>
    </w:pPr>
    <w:rPr>
      <w:sz w:val="32"/>
      <w:szCs w:val="32"/>
      <w:rFonts w:ascii="標楷體" w:hAnsi="標楷體" w:eastAsia="標楷體" w:cs="Times New Roman"/>
    </w:rPr>
  </w:style>
  <w:style w:type="paragraph" w:styleId="2">
    <w:name w:val="heading 2"/>
    <w:uiPriority w:val="9"/>
    <w:unhideWhenUsed/>
    <w:qFormat/>
    <w:pPr>
      <w:spacing w:before="240" w:after="120" w:line="360" w:lineRule="auto"/>
      <w:outlineLvl w:val="1"/>
    </w:pPr>
    <w:rPr>
      <w:sz w:val="28"/>
      <w:szCs w:val="28"/>
      <w:rFonts w:ascii="標楷體" w:hAnsi="標楷體" w:eastAsia="標楷體" w:cs="Times New Roman"/>
    </w:rPr>
  </w:style>
  <w:style w:type="paragraph" w:styleId="3">
    <w:name w:val="heading 3"/>
    <w:uiPriority w:val="9"/>
    <w:semiHidden/>
    <w:unhideWhenUsed/>
    <w:qFormat/>
    <w:pPr>
      <w:spacing w:before="200" w:after="100" w:line="360" w:lineRule="auto"/>
      <w:outlineLvl w:val="2"/>
    </w:pPr>
    <w:rPr>
      <w:sz w:val="26"/>
      <w:szCs w:val="26"/>
      <w:rFonts w:ascii="標楷體" w:hAnsi="標楷體" w:eastAsia="標楷體" w:cs="Times New Roman"/>
    </w:rPr>
  </w:style>
  <w:style w:type="paragraph" w:styleId="4">
    <w:name w:val="heading 4"/>
    <w:uiPriority w:val="9"/>
    <w:semiHidden/>
    <w:unhideWhenUsed/>
    <w:qFormat/>
    <w:pPr>
      <w:outlineLvl w:val="3"/>
    </w:pPr>
    <w:rPr>
      <w:i/>
      <w:iCs/>
    </w:rPr>
  </w:style>
  <w:style w:type="paragraph" w:styleId="5">
    <w:name w:val="heading 5"/>
    <w:uiPriority w:val="9"/>
    <w:semiHidden/>
    <w:unhideWhenUsed/>
    <w:qFormat/>
    <w:pPr>
      <w:outlineLvl w:val="4"/>
    </w:pPr>
    <w:rPr/>
  </w:style>
  <w:style w:type="paragraph" w:styleId="6">
    <w:name w:val="heading 6"/>
    <w:uiPriority w:val="9"/>
    <w:semiHidden/>
    <w:unhideWhenUsed/>
    <w:qFormat/>
    <w:pPr>
      <w:outlineLvl w:val="5"/>
    </w:pP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rPr/>
  </w:style>
  <w:style w:type="character" w:styleId="a5">
    <w:name w:val="Hyperlink"/>
    <w:uiPriority w:val="99"/>
    <w:unhideWhenUsed/>
    <w:rPr>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6B6DD8"/>
    <w:pPr>
      <w:tabs>
        <w:tab w:val="center" w:pos="4153"/>
        <w:tab w:val="right" w:pos="8306"/>
      </w:tabs>
      <w:snapToGrid w:val="0"/>
    </w:pPr>
  </w:style>
  <w:style w:type="character" w:customStyle="1" w:styleId="ad">
    <w:name w:val="頁首 字元"/>
    <w:basedOn w:val="a0"/>
    <w:link w:val="ac"/>
    <w:uiPriority w:val="99"/>
    <w:rsid w:val="006B6DD8"/>
  </w:style>
  <w:style w:type="paragraph" w:styleId="ae">
    <w:name w:val="footer"/>
    <w:basedOn w:val="a"/>
    <w:link w:val="af"/>
    <w:uiPriority w:val="99"/>
    <w:unhideWhenUsed/>
    <w:rsid w:val="006B6DD8"/>
    <w:pPr>
      <w:tabs>
        <w:tab w:val="center" w:pos="4153"/>
        <w:tab w:val="right" w:pos="8306"/>
      </w:tabs>
      <w:snapToGrid w:val="0"/>
    </w:pPr>
  </w:style>
  <w:style w:type="character" w:customStyle="1" w:styleId="af">
    <w:name w:val="頁尾 字元"/>
    <w:basedOn w:val="a0"/>
    <w:link w:val="ae"/>
    <w:uiPriority w:val="99"/>
    <w:rsid w:val="006B6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2561</Words>
  <Characters>14599</Characters>
  <Application>Microsoft Office Word</Application>
  <DocSecurity>0</DocSecurity>
  <Lines>121</Lines>
  <Paragraphs>34</Paragraphs>
  <ScaleCrop>false</ScaleCrop>
  <Company/>
  <LinksUpToDate>false</LinksUpToDate>
  <CharactersWithSpaces>17126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Liu</cp:lastModifiedBy>
  <cp:revision>2</cp:revision>
  <dcterms:created xsi:type="dcterms:W3CDTF">2026-08-21T18:50:00Z</dcterms:created>
  <dcterms:modified xsi:type="dcterms:W3CDTF">2026-08-23T04:06:00Z</dcterms:modified>
</cp:coreProperties>
</file>