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鏡頭影像（僅存於裝置記憶體）　→ MediaPipe Pose：33 個關鍵點（x, y, visibility）　→ One-Euro 濾波：抑制關鍵點抖動　→ 體型正規化：轉為與身高、鏡頭距離無關的相對量　→ 取景把關：關鍵部位未入鏡則凍結判定　→ 動作狀態機：READY → CONCENTRIC → TARGET → ECCENTRIC → 結算　→ 防作弊層：判定該次有效或無效，並輸出錯誤原因　→ 即時回饋 ＆ 訓練結算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領域教練慣例，無正式成文標準</w:t>
            </w:r>
          </w:p>
        </w:tc>
        <w:tc>
          <w:tcPr>
            <w:tcW w:w="3600" w:type="dxa"/>
            <w:shd w:val="clear" w:color="auto" w:fill="D9E2F3"/>
            <w:tcMar>
              <w:top w:w="40" w:type="dxa"/>
              <w:left w:w="80" w:type="dxa"/>
              <w:bottom w:w="40" w:type="dxa"/>
              <w:right w:w="80" w:type="dxa"/>
            </w:tcMar>
          </w:tcPr>
          <w:p>
            <w:r>
              <w:t>標明為慣例，不引用論文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詳下節校準說明）。Escamilla（2001）就動態深蹲之膝關節生物力學指出，對膝關節健康之運動者建議採平行蹲而非深蹲，因更大屈膝角度下半月板與交叉／側副韌帶之受傷風險可能較高；Schoenfeld（2010）亦以 partial／parallel／full 之深度分類比較各深度的力學負荷與肌肉活化</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度（上臂與地面平行），為體適能檢測之通行判準（FitnessGram® 90° push-up、President's Challenge right angle push-up、ACSM／YMCA 肌耐力檢測）</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軀幹前傾阻擋</w:t>
            </w:r>
          </w:p>
        </w:tc>
        <w:tc>
          <w:tcPr>
            <w:tcW w:w="1600" w:type="dxa"/>
            <w:shd w:val="clear" w:color="auto" w:fill="D9E2F3"/>
            <w:tcMar>
              <w:top w:w="40" w:type="dxa"/>
              <w:left w:w="80" w:type="dxa"/>
              <w:bottom w:w="40" w:type="dxa"/>
              <w:right w:w="80" w:type="dxa"/>
            </w:tcMar>
          </w:tcPr>
          <w:p>
            <w:r>
              <w:t>用於區分自然前傾與彎腰代償之工程門檻，無對應運動標準</w:t>
            </w:r>
          </w:p>
        </w:tc>
        <w:tc>
          <w:tcPr>
            <w:tcW w:w="3600" w:type="dxa"/>
            <w:shd w:val="clear" w:color="auto" w:fill="D9E2F3"/>
            <w:tcMar>
              <w:top w:w="40" w:type="dxa"/>
              <w:left w:w="80" w:type="dxa"/>
              <w:bottom w:w="40" w:type="dxa"/>
              <w:right w:w="80" w:type="dxa"/>
            </w:tcMar>
          </w:tcPr>
          <w:p>
            <w:r>
              <w:t>III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此類校準值屬工程判斷，其適切性須以真人樣本驗證後方能確認；在驗證完成前，本作品不宣稱該門檻已達最適設定。</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本作品建立三階段驗證架構，各階段之外部性逐級提高。</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三階段驗證架構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BB" w14:textId="77777777" w:rsidR="00D44DCB" w:rsidRDefault="00000000">
      <w:pPr>
        <w:pStyle w:val="2"/>
        <w:spacing w:before="240" w:after="160" w:line="360" w:lineRule="auto"/>
      </w:pPr>
      <w:r>
        <w:rPr>
          <w:rFonts w:ascii="標楷體" w:eastAsia="標楷體" w:hAnsi="標楷體" w:cs="標楷體"/>
          <w:b/>
          <w:bCs/>
        </w:rPr>
        <w:t>3. 階段三：真人樣本驗證（規劃中）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今日任務 → 一鍵進入訓練 → 即時判定與矯正 → 結算（僅有效次數換得資源）　↑                                              ↓　下一個目標 ← 島嶼建設消費 ← 獎勵轉換演出 ←──────────┘</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驗證產生」在架構層面之實現——非依約定，而是以介面設計使違規成為不可能。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92" w14:textId="77777777" w:rsidR="00D44DCB" w:rsidRDefault="00000000">
      <w:pPr>
        <w:spacing w:after="120" w:line="360" w:lineRule="auto"/>
        <w:jc w:val="both"/>
      </w:pPr>
      <w:r>
        <w:rPr>
          <w:rFonts w:ascii="新細明體" w:eastAsia="新細明體" w:hAnsi="新細明體" w:cs="新細明體"/>
          <w:b/>
          <w:bCs/>
          <w:sz w:val="22"/>
          <w:szCs w:val="22"/>
        </w:rPr>
        <w:t>本章引用文獻（APA 第 7 版，請併入第十章「參考文獻」，不計入本章頁數）</w:t>
      </w:r>
    </w:p>
    <w:p w14:paraId="5D228A93" w14:textId="77777777" w:rsidR="00D44DCB" w:rsidRDefault="00000000">
      <w:pPr>
        <w:spacing w:after="80" w:line="360" w:lineRule="auto"/>
        <w:ind w:left="720" w:hanging="720"/>
        <w:jc w:val="both"/>
      </w:pPr>
      <w:r>
        <w:rPr>
          <w:rFonts w:ascii="新細明體" w:eastAsia="新細明體" w:hAnsi="新細明體" w:cs="新細明體"/>
        </w:rPr>
        <w:t>林暐庭、楊捷閔、徐誠佑、鄭磬蔚、姜建均、林威成（2025）。AI 影像辨識技術應用於健身課程。</w:t>
      </w:r>
      <w:r>
        <w:rPr>
          <w:rFonts w:ascii="新細明體" w:eastAsia="新細明體" w:hAnsi="新細明體" w:cs="新細明體"/>
          <w:i/>
          <w:iCs/>
        </w:rPr>
        <w:t>學校體育，207</w:t>
      </w:r>
      <w:r>
        <w:rPr>
          <w:rFonts w:ascii="新細明體" w:eastAsia="新細明體" w:hAnsi="新細明體" w:cs="新細明體"/>
        </w:rPr>
        <w:t>，49–63。</w:t>
      </w:r>
    </w:p>
    <w:p w14:paraId="5D228A94" w14:textId="77777777" w:rsidR="00D44DCB" w:rsidRDefault="00000000">
      <w:pPr>
        <w:spacing w:after="80" w:line="360" w:lineRule="auto"/>
        <w:ind w:left="720" w:hanging="720"/>
        <w:jc w:val="both"/>
      </w:pPr>
      <w:r>
        <w:rPr>
          <w:rFonts w:ascii="新細明體" w:eastAsia="新細明體" w:hAnsi="新細明體" w:cs="新細明體"/>
        </w:rPr>
        <w:t xml:space="preserve">Agrawal, Y., Shah, Y., &amp; Sharma, A. (2020). Implementation of machine learning technique for identification of yoga poses. In </w:t>
      </w:r>
      <w:r>
        <w:rPr>
          <w:rFonts w:ascii="新細明體" w:eastAsia="新細明體" w:hAnsi="新細明體" w:cs="新細明體"/>
          <w:i/>
          <w:iCs/>
        </w:rPr>
        <w:t>2020 IEEE 9th International Conference on Communication Systems and Network Technologies (CSNT)</w:t>
      </w:r>
      <w:r>
        <w:rPr>
          <w:rFonts w:ascii="新細明體" w:eastAsia="新細明體" w:hAnsi="新細明體" w:cs="新細明體"/>
        </w:rPr>
        <w:t xml:space="preserve"> (pp. 40–43). IEEE. https://doi.org/10.1109/CSNT48778.2020.9115758</w:t>
      </w:r>
    </w:p>
    <w:p w14:paraId="5D228A96" w14:textId="77777777" w:rsidR="00D44DCB" w:rsidRDefault="00000000">
      <w:pPr>
        <w:spacing w:after="80" w:line="360" w:lineRule="auto"/>
        <w:ind w:left="720" w:hanging="720"/>
        <w:jc w:val="both"/>
      </w:pPr>
      <w:r>
        <w:rPr>
          <w:rFonts w:ascii="新細明體" w:eastAsia="新細明體" w:hAnsi="新細明體" w:cs="新細明體"/>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iCs/>
        </w:rPr>
        <w:t>2014 11th International Conference on Wearable and Implantable Body Sensor Networks</w:t>
      </w:r>
      <w:r>
        <w:rPr>
          <w:rFonts w:ascii="新細明體" w:eastAsia="新細明體" w:hAnsi="新細明體" w:cs="新細明體"/>
        </w:rPr>
        <w:t xml:space="preserve"> (pp. 92–97). IEEE. https://doi.org/10.1109/BSN.2014.38</w:t>
      </w:r>
    </w:p>
    <w:p w14:paraId="5D228A97" w14:textId="77777777" w:rsidR="00D44DCB" w:rsidRDefault="00000000">
      <w:pPr>
        <w:spacing w:after="80" w:line="360" w:lineRule="auto"/>
        <w:ind w:left="720" w:hanging="720"/>
        <w:jc w:val="both"/>
      </w:pPr>
      <w:r>
        <w:rPr>
          <w:rFonts w:ascii="新細明體" w:eastAsia="新細明體" w:hAnsi="新細明體" w:cs="新細明體"/>
        </w:rPr>
        <w:t xml:space="preserve">Bazarevsky, V., Grishchenko, I., Raveendran, K., Zhu, T., Zhang, F., &amp; Grundmann, M. (2020). </w:t>
      </w:r>
      <w:r>
        <w:rPr>
          <w:rFonts w:ascii="新細明體" w:eastAsia="新細明體" w:hAnsi="新細明體" w:cs="新細明體"/>
          <w:i/>
          <w:iCs/>
        </w:rPr>
        <w:t>BlazePose: On-device real-time body pose tracking</w:t>
      </w:r>
      <w:r>
        <w:rPr>
          <w:rFonts w:ascii="新細明體" w:eastAsia="新細明體" w:hAnsi="新細明體" w:cs="新細明體"/>
        </w:rPr>
        <w:t xml:space="preserve"> (arXiv:2006.10204). arXiv. https://doi.org/10.48550/arXiv.2006.10204</w:t>
      </w:r>
    </w:p>
    <w:p w14:paraId="5D228A98" w14:textId="77777777" w:rsidR="00D44DCB" w:rsidRDefault="00000000">
      <w:pPr>
        <w:spacing w:after="80" w:line="360" w:lineRule="auto"/>
        <w:ind w:left="720" w:hanging="720"/>
        <w:jc w:val="both"/>
      </w:pPr>
      <w:r>
        <w:rPr>
          <w:rFonts w:ascii="新細明體" w:eastAsia="新細明體" w:hAnsi="新細明體" w:cs="新細明體"/>
        </w:rPr>
        <w:t xml:space="preserve">Casiez, G., Roussel, N., &amp; Vogel, D. (2012). 1 € filter: A simple speed-based low-pass filter for noisy input in interactive systems. In </w:t>
      </w:r>
      <w:r>
        <w:rPr>
          <w:rFonts w:ascii="新細明體" w:eastAsia="新細明體" w:hAnsi="新細明體" w:cs="新細明體"/>
          <w:i/>
          <w:iCs/>
        </w:rPr>
        <w:t>Proceedings of the SIGCHI Conference on Human Factors in Computing Systems</w:t>
      </w:r>
      <w:r>
        <w:rPr>
          <w:rFonts w:ascii="新細明體" w:eastAsia="新細明體" w:hAnsi="新細明體" w:cs="新細明體"/>
        </w:rPr>
        <w:t xml:space="preserve"> (pp. </w:t>
        <w:lastRenderedPageBreak/>
        <w:t>2527–2530). Association for Computing Machinery. https://doi.org/10.1145/2207676.2208639</w:t>
      </w:r>
    </w:p>
    <w:p w14:paraId="5D228A99" w14:textId="77777777" w:rsidR="00D44DCB" w:rsidRDefault="00000000">
      <w:pPr>
        <w:spacing w:after="80" w:line="360" w:lineRule="auto"/>
        <w:ind w:left="720" w:hanging="720"/>
        <w:jc w:val="both"/>
      </w:pPr>
      <w:r>
        <w:rPr>
          <w:rFonts w:ascii="新細明體" w:eastAsia="新細明體" w:hAnsi="新細明體" w:cs="新細明體"/>
        </w:rPr>
        <w:t xml:space="preserve">Conroy, D. E., Yang, C.-H., &amp; Maher, J. P. (2014). Behavior change techniques in top-ranked mobile apps for physical activity. </w:t>
      </w:r>
      <w:r>
        <w:rPr>
          <w:rFonts w:ascii="新細明體" w:eastAsia="新細明體" w:hAnsi="新細明體" w:cs="新細明體"/>
          <w:i/>
          <w:iCs/>
        </w:rPr>
        <w:t>American Journal of Preventive Medicine, 46</w:t>
      </w:r>
      <w:r>
        <w:rPr>
          <w:rFonts w:ascii="新細明體" w:eastAsia="新細明體" w:hAnsi="新細明體" w:cs="新細明體"/>
        </w:rPr>
        <w:t>(6), 649–652. https://doi.org/10.1016/j.amepre.2014.01.010</w:t>
      </w:r>
    </w:p>
    <w:p w14:paraId="5D228A9A" w14:textId="77777777" w:rsidR="00D44DCB" w:rsidRDefault="00000000">
      <w:pPr>
        <w:spacing w:after="80" w:line="360" w:lineRule="auto"/>
        <w:ind w:left="720" w:hanging="720"/>
        <w:jc w:val="both"/>
      </w:pPr>
      <w:r>
        <w:rPr>
          <w:rFonts w:ascii="新細明體" w:eastAsia="新細明體" w:hAnsi="新細明體" w:cs="新細明體"/>
        </w:rPr>
        <w:t xml:space="preserve">Dedhia, U., Bhoir, P., Ranka, P., &amp; Kanani, P. (2023). Pose estimation and virtual gym assistant using MediaPipe and machine learning. In </w:t>
      </w:r>
      <w:r>
        <w:rPr>
          <w:rFonts w:ascii="新細明體" w:eastAsia="新細明體" w:hAnsi="新細明體" w:cs="新細明體"/>
          <w:i/>
          <w:iCs/>
        </w:rPr>
        <w:t>2023 International Conference on Network, Multimedia and Information Technology (NMITCON)</w:t>
      </w:r>
      <w:r>
        <w:rPr>
          <w:rFonts w:ascii="新細明體" w:eastAsia="新細明體" w:hAnsi="新細明體" w:cs="新細明體"/>
        </w:rPr>
        <w:t xml:space="preserve"> (pp. 1–7). IEEE. https://doi.org/10.1109/NMITCON58196.2023.10275938</w:t>
      </w:r>
    </w:p>
    <w:p w14:paraId="5D228A9B" w14:textId="77777777" w:rsidR="00D44DCB" w:rsidRDefault="00000000">
      <w:pPr>
        <w:spacing w:after="80" w:line="360" w:lineRule="auto"/>
        <w:ind w:left="720" w:hanging="720"/>
        <w:jc w:val="both"/>
      </w:pPr>
      <w:r>
        <w:rPr>
          <w:rFonts w:ascii="新細明體" w:eastAsia="新細明體" w:hAnsi="新細明體" w:cs="新細明體"/>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iCs/>
        </w:rPr>
        <w:t>BMC Public Health, 14</w:t>
      </w:r>
      <w:r>
        <w:rPr>
          <w:rFonts w:ascii="新細明體" w:eastAsia="新細明體" w:hAnsi="新細明體" w:cs="新細明體"/>
        </w:rPr>
        <w:t>, Article 646. https://doi.org/10.1186/1471-2458-14-646</w:t>
      </w:r>
    </w:p>
    <w:p w14:paraId="5D228A9C" w14:textId="77777777" w:rsidR="00D44DCB" w:rsidRDefault="00000000">
      <w:pPr>
        <w:spacing w:after="80" w:line="360" w:lineRule="auto"/>
        <w:ind w:left="720" w:hanging="720"/>
        <w:jc w:val="both"/>
      </w:pPr>
      <w:r>
        <w:rPr>
          <w:rFonts w:ascii="新細明體" w:eastAsia="新細明體" w:hAnsi="新細明體" w:cs="新細明體"/>
        </w:rPr>
        <w:t xml:space="preserve">Escamilla, R. F. (2001). Knee biomechanics of the dynamic squat exercise. </w:t>
      </w:r>
      <w:r>
        <w:rPr>
          <w:rFonts w:ascii="新細明體" w:eastAsia="新細明體" w:hAnsi="新細明體" w:cs="新細明體"/>
          <w:i/>
          <w:iCs/>
        </w:rPr>
        <w:t>Medicine &amp; Science in Sports &amp; Exercise, 33</w:t>
      </w:r>
      <w:r>
        <w:rPr>
          <w:rFonts w:ascii="新細明體" w:eastAsia="新細明體" w:hAnsi="新細明體" w:cs="新細明體"/>
        </w:rPr>
        <w:t>(1), 127–141. https://doi.org/10.1097/00005768-200101000-00020</w:t>
      </w:r>
    </w:p>
    <w:p w14:paraId="5D228A9D" w14:textId="77777777" w:rsidR="00D44DCB" w:rsidRDefault="00000000">
      <w:pPr>
        <w:spacing w:after="80" w:line="360" w:lineRule="auto"/>
        <w:ind w:left="720" w:hanging="720"/>
        <w:jc w:val="both"/>
      </w:pPr>
      <w:r>
        <w:rPr>
          <w:rFonts w:ascii="新細明體" w:eastAsia="新細明體" w:hAnsi="新細明體" w:cs="新細明體"/>
        </w:rPr>
        <w:t xml:space="preserve">Hamari, J., Koivisto, J., &amp; Sarsa, H. (2014). Does gamification work? — A literature review of empirical studies on gamification. In </w:t>
      </w:r>
      <w:r>
        <w:rPr>
          <w:rFonts w:ascii="新細明體" w:eastAsia="新細明體" w:hAnsi="新細明體" w:cs="新細明體"/>
          <w:i/>
          <w:iCs/>
        </w:rPr>
        <w:t>2014 47th Hawaii International Conference on System Sciences</w:t>
      </w:r>
      <w:r>
        <w:rPr>
          <w:rFonts w:ascii="新細明體" w:eastAsia="新細明體" w:hAnsi="新細明體" w:cs="新細明體"/>
        </w:rPr>
        <w:t xml:space="preserve"> (pp. 3025–3034). IEEE. https://doi.org/10.1109/HICSS.2014.377</w:t>
      </w:r>
    </w:p>
    <w:p w14:paraId="5D228A9E" w14:textId="77777777" w:rsidR="00D44DCB" w:rsidRDefault="00000000">
      <w:pPr>
        <w:spacing w:after="80" w:line="360" w:lineRule="auto"/>
        <w:ind w:left="720" w:hanging="720"/>
        <w:jc w:val="both"/>
      </w:pPr>
      <w:r>
        <w:rPr>
          <w:rFonts w:ascii="新細明體" w:eastAsia="新細明體" w:hAnsi="新細明體" w:cs="新細明體"/>
        </w:rPr>
        <w:t xml:space="preserve">Jaiswal, A., Chauhan, G., &amp; Srivastava, N. (2023). Using learnable physics for real-time exercise form recommendations. In </w:t>
      </w:r>
      <w:r>
        <w:rPr>
          <w:rFonts w:ascii="新細明體" w:eastAsia="新細明體" w:hAnsi="新細明體" w:cs="新細明體"/>
          <w:i/>
          <w:iCs/>
        </w:rPr>
        <w:t>Proceedings of the 17th ACM Conference on Recommender Systems</w:t>
      </w:r>
      <w:r>
        <w:rPr>
          <w:rFonts w:ascii="新細明體" w:eastAsia="新細明體" w:hAnsi="新細明體" w:cs="新細明體"/>
        </w:rPr>
        <w:t xml:space="preserve"> (pp. 688–695). Association for Computing Machinery. https://doi.org/10.1145/3604915.3608816</w:t>
      </w:r>
    </w:p>
    <w:p w14:paraId="5D228A9F" w14:textId="77777777" w:rsidR="00D44DCB" w:rsidRDefault="00000000">
      <w:pPr>
        <w:spacing w:after="80" w:line="360" w:lineRule="auto"/>
        <w:ind w:left="720" w:hanging="720"/>
        <w:jc w:val="both"/>
      </w:pPr>
      <w:r>
        <w:rPr>
          <w:rFonts w:ascii="新細明體" w:eastAsia="新細明體" w:hAnsi="新細明體" w:cs="新細明體"/>
        </w:rPr>
        <w:t xml:space="preserve">Johnson, D., Deterding, S., Kuhn, K.-A., Staneva, A., Stoyanov, S., &amp; Hides, L. (2016). Gamification for health and wellbeing: A systematic review of the literature. </w:t>
      </w:r>
      <w:r>
        <w:rPr>
          <w:rFonts w:ascii="新細明體" w:eastAsia="新細明體" w:hAnsi="新細明體" w:cs="新細明體"/>
          <w:i/>
          <w:iCs/>
        </w:rPr>
        <w:t>Internet Interventions, 6</w:t>
      </w:r>
      <w:r>
        <w:rPr>
          <w:rFonts w:ascii="新細明體" w:eastAsia="新細明體" w:hAnsi="新細明體" w:cs="新細明體"/>
        </w:rPr>
        <w:t>, 89–106. https://doi.org/10.1016/j.invent.2016.10.002</w:t>
      </w:r>
    </w:p>
    <w:p w14:paraId="5D228AA0" w14:textId="77777777" w:rsidR="00D44DCB" w:rsidRDefault="00000000">
      <w:pPr>
        <w:spacing w:after="80" w:line="360" w:lineRule="auto"/>
        <w:ind w:left="720" w:hanging="720"/>
        <w:jc w:val="both"/>
      </w:pPr>
      <w:r>
        <w:rPr>
          <w:rFonts w:ascii="新細明體" w:eastAsia="新細明體" w:hAnsi="新細明體" w:cs="新細明體"/>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iCs/>
        </w:rPr>
        <w:t>ACSM's Health &amp; Fitness Journal, 27</w:t>
      </w:r>
      <w:r>
        <w:rPr>
          <w:rFonts w:ascii="新細明體" w:eastAsia="新細明體" w:hAnsi="新細明體" w:cs="新細明體"/>
        </w:rPr>
        <w:t>(1), 19–30. https://doi.org/10.1249/FIT.0000000000000836</w:t>
      </w:r>
    </w:p>
    <w:p w14:paraId="5D228AA1" w14:textId="77777777" w:rsidR="00D44DCB" w:rsidRDefault="00000000">
      <w:pPr>
        <w:spacing w:after="80" w:line="360" w:lineRule="auto"/>
        <w:ind w:left="720" w:hanging="720"/>
        <w:jc w:val="both"/>
      </w:pPr>
      <w:r>
        <w:rPr>
          <w:rFonts w:ascii="新細明體" w:eastAsia="新細明體" w:hAnsi="新細明體" w:cs="新細明體"/>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iCs/>
        </w:rPr>
        <w:t>The American Journal of Sports Medicine, 38</w:t>
      </w:r>
      <w:r>
        <w:rPr>
          <w:rFonts w:ascii="新細明體" w:eastAsia="新細明體" w:hAnsi="新細明體" w:cs="新細明體"/>
        </w:rPr>
        <w:t>(4), 765–771. https://doi.org/10.1177/0363546509351560</w:t>
      </w:r>
    </w:p>
    <w:p w14:paraId="5D228AA2" w14:textId="77777777" w:rsidR="00D44DCB" w:rsidRDefault="00000000">
      <w:pPr>
        <w:spacing w:after="80" w:line="360" w:lineRule="auto"/>
        <w:ind w:left="720" w:hanging="720"/>
        <w:jc w:val="both"/>
      </w:pPr>
      <w:r>
        <w:rPr>
          <w:rFonts w:ascii="新細明體" w:eastAsia="新細明體" w:hAnsi="新細明體" w:cs="新細明體"/>
        </w:rPr>
        <w:t xml:space="preserve">Kwon, Y., &amp; Kim, D. (2022). Real-time workout posture correction using OpenCV and MediaPipe. </w:t>
      </w:r>
      <w:r>
        <w:rPr>
          <w:rFonts w:ascii="新細明體" w:eastAsia="新細明體" w:hAnsi="新細明體" w:cs="新細明體"/>
          <w:i/>
          <w:iCs/>
        </w:rPr>
        <w:t>The Journal of Korean Institute of Information Technology, 20</w:t>
      </w:r>
      <w:r>
        <w:rPr>
          <w:rFonts w:ascii="新細明體" w:eastAsia="新細明體" w:hAnsi="新細明體" w:cs="新細明體"/>
        </w:rPr>
        <w:t>(1), 199–208. https://doi.org/10.14801/jkiit.2022.20.1.199</w:t>
      </w:r>
    </w:p>
    <w:p w14:paraId="5D228AA3" w14:textId="77777777" w:rsidR="00D44DCB" w:rsidRDefault="00000000">
      <w:pPr>
        <w:spacing w:after="80" w:line="360" w:lineRule="auto"/>
        <w:ind w:left="720" w:hanging="720"/>
        <w:jc w:val="both"/>
      </w:pPr>
      <w:r>
        <w:rPr>
          <w:rFonts w:ascii="新細明體" w:eastAsia="新細明體" w:hAnsi="新細明體" w:cs="新細明體"/>
        </w:rPr>
        <w:t xml:space="preserve">Lally, P., van Jaarsveld, C. H. M., Potts, H. W. W., &amp; Wardle, J. (2010). How are habits formed: Modelling habit formation in the real world. </w:t>
      </w:r>
      <w:r>
        <w:rPr>
          <w:rFonts w:ascii="新細明體" w:eastAsia="新細明體" w:hAnsi="新細明體" w:cs="新細明體"/>
          <w:i/>
          <w:iCs/>
        </w:rPr>
        <w:t>European Journal of Social Psychology, 40</w:t>
      </w:r>
      <w:r>
        <w:rPr>
          <w:rFonts w:ascii="新細明體" w:eastAsia="新細明體" w:hAnsi="新細明體" w:cs="新細明體"/>
        </w:rPr>
        <w:t xml:space="preserve">(6), 998–1009. </w:t>
        <w:lastRenderedPageBreak/>
        <w:t>https://doi.org/10.1002/ejsp.674</w:t>
      </w:r>
    </w:p>
    <w:p w14:paraId="5D228AA4" w14:textId="77777777" w:rsidR="00D44DCB" w:rsidRDefault="00000000">
      <w:pPr>
        <w:spacing w:after="80" w:line="360" w:lineRule="auto"/>
        <w:ind w:left="720" w:hanging="720"/>
        <w:jc w:val="both"/>
      </w:pPr>
      <w:r>
        <w:rPr>
          <w:rFonts w:ascii="新細明體" w:eastAsia="新細明體" w:hAnsi="新細明體" w:cs="新細明體"/>
        </w:rPr>
        <w:t xml:space="preserve">Locke, E. A., &amp; Latham, G. P. (2002). Building a practically useful theory of goal setting and task motivation: A 35-year odyssey. </w:t>
      </w:r>
      <w:r>
        <w:rPr>
          <w:rFonts w:ascii="新細明體" w:eastAsia="新細明體" w:hAnsi="新細明體" w:cs="新細明體"/>
          <w:i/>
          <w:iCs/>
        </w:rPr>
        <w:t>American Psychologist, 57</w:t>
      </w:r>
      <w:r>
        <w:rPr>
          <w:rFonts w:ascii="新細明體" w:eastAsia="新細明體" w:hAnsi="新細明體" w:cs="新細明體"/>
        </w:rPr>
        <w:t>(9), 705–717. https://doi.org/10.1037/0003-066X.57.9.705</w:t>
      </w:r>
    </w:p>
    <w:p w14:paraId="5D228AA5" w14:textId="77777777" w:rsidR="00D44DCB" w:rsidRDefault="00000000">
      <w:pPr>
        <w:spacing w:after="80" w:line="360" w:lineRule="auto"/>
        <w:ind w:left="720" w:hanging="720"/>
        <w:jc w:val="both"/>
      </w:pPr>
      <w:r>
        <w:rPr>
          <w:rFonts w:ascii="新細明體" w:eastAsia="新細明體" w:hAnsi="新細明體" w:cs="新細明體"/>
        </w:rPr>
        <w:t xml:space="preserve">Lugaresi, C., Tang, J., Nash, H., McClanahan, C., Uboweja, E., Hays, M., Zhang, F., Chang, C.-L., Yong, M. G., Lee, J., Chang, W.-T., Hua, W., Georg, M., &amp; Grundmann, M. (2019). </w:t>
      </w:r>
      <w:r>
        <w:rPr>
          <w:rFonts w:ascii="新細明體" w:eastAsia="新細明體" w:hAnsi="新細明體" w:cs="新細明體"/>
          <w:i/>
          <w:iCs/>
        </w:rPr>
        <w:t>MediaPipe: A framework for building perception pipelines</w:t>
      </w:r>
      <w:r>
        <w:rPr>
          <w:rFonts w:ascii="新細明體" w:eastAsia="新細明體" w:hAnsi="新細明體" w:cs="新細明體"/>
        </w:rPr>
        <w:t xml:space="preserve"> (arXiv:1906.08172). arXiv. https://doi.org/10.48550/arXiv.1906.08172</w:t>
      </w:r>
    </w:p>
    <w:p w14:paraId="5D228AA6" w14:textId="77777777" w:rsidR="00D44DCB" w:rsidRDefault="00000000">
      <w:pPr>
        <w:spacing w:after="80" w:line="360" w:lineRule="auto"/>
        <w:ind w:left="720" w:hanging="720"/>
        <w:jc w:val="both"/>
      </w:pPr>
      <w:r>
        <w:rPr>
          <w:rFonts w:ascii="新細明體" w:eastAsia="新細明體" w:hAnsi="新細明體" w:cs="新細明體"/>
        </w:rPr>
        <w:t xml:space="preserve">Michie, S., Abraham, C., Whittington, C., McAteer, J., &amp; Gupta, S. (2009). Effective techniques in healthy eating and physical activity interventions: A meta-regression. </w:t>
      </w:r>
      <w:r>
        <w:rPr>
          <w:rFonts w:ascii="新細明體" w:eastAsia="新細明體" w:hAnsi="新細明體" w:cs="新細明體"/>
          <w:i/>
          <w:iCs/>
        </w:rPr>
        <w:t>Health Psychology, 28</w:t>
      </w:r>
      <w:r>
        <w:rPr>
          <w:rFonts w:ascii="新細明體" w:eastAsia="新細明體" w:hAnsi="新細明體" w:cs="新細明體"/>
        </w:rPr>
        <w:t>(6), 690–701. https://doi.org/10.1037/a0016136</w:t>
      </w:r>
    </w:p>
    <w:p w14:paraId="5D228AA7" w14:textId="77777777" w:rsidR="00D44DCB" w:rsidRDefault="00000000">
      <w:pPr>
        <w:spacing w:after="80" w:line="360" w:lineRule="auto"/>
        <w:ind w:left="720" w:hanging="720"/>
        <w:jc w:val="both"/>
      </w:pPr>
      <w:r>
        <w:rPr>
          <w:rFonts w:ascii="新細明體" w:eastAsia="新細明體" w:hAnsi="新細明體" w:cs="新細明體"/>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iCs/>
        </w:rPr>
        <w:t>Strength and Conditioning Journal, 36</w:t>
      </w:r>
      <w:r>
        <w:rPr>
          <w:rFonts w:ascii="新細明體" w:eastAsia="新細明體" w:hAnsi="新細明體" w:cs="新細明體"/>
        </w:rPr>
        <w:t>(6), 4–27. https://doi.org/10.1519/SSC.0000000000000103</w:t>
      </w:r>
    </w:p>
    <w:p w14:paraId="5D228AA8" w14:textId="77777777" w:rsidR="00D44DCB" w:rsidRDefault="00000000">
      <w:pPr>
        <w:spacing w:after="80" w:line="360" w:lineRule="auto"/>
        <w:ind w:left="720" w:hanging="720"/>
        <w:jc w:val="both"/>
      </w:pPr>
      <w:r>
        <w:rPr>
          <w:rFonts w:ascii="新細明體" w:eastAsia="新細明體" w:hAnsi="新細明體" w:cs="新細明體"/>
        </w:rPr>
        <w:t xml:space="preserve">Ryan, R. M., &amp; Deci, E. L. (2000). Self-determination theory and the facilitation of intrinsic motivation, social development, and well-being. </w:t>
      </w:r>
      <w:r>
        <w:rPr>
          <w:rFonts w:ascii="新細明體" w:eastAsia="新細明體" w:hAnsi="新細明體" w:cs="新細明體"/>
          <w:i/>
          <w:iCs/>
        </w:rPr>
        <w:t>American Psychologist, 55</w:t>
      </w:r>
      <w:r>
        <w:rPr>
          <w:rFonts w:ascii="新細明體" w:eastAsia="新細明體" w:hAnsi="新細明體" w:cs="新細明體"/>
        </w:rPr>
        <w:t>(1), 68–78. https://doi.org/10.1037/0003-066X.55.1.68</w:t>
      </w:r>
    </w:p>
    <w:p w14:paraId="5D228AA9" w14:textId="77777777" w:rsidR="00D44DCB" w:rsidRDefault="00000000">
      <w:pPr>
        <w:spacing w:after="80" w:line="360" w:lineRule="auto"/>
        <w:ind w:left="720" w:hanging="720"/>
        <w:jc w:val="both"/>
      </w:pPr>
      <w:r>
        <w:rPr>
          <w:rFonts w:ascii="新細明體" w:eastAsia="新細明體" w:hAnsi="新細明體" w:cs="新細明體"/>
        </w:rPr>
        <w:t xml:space="preserve">Saeb, S., Körding, K., &amp; Mohr, D. C. (2015). Making activity recognition robust against deceptive behavior. </w:t>
      </w:r>
      <w:r>
        <w:rPr>
          <w:rFonts w:ascii="新細明體" w:eastAsia="新細明體" w:hAnsi="新細明體" w:cs="新細明體"/>
          <w:i/>
          <w:iCs/>
        </w:rPr>
        <w:t>PLOS ONE, 10</w:t>
      </w:r>
      <w:r>
        <w:rPr>
          <w:rFonts w:ascii="新細明體" w:eastAsia="新細明體" w:hAnsi="新細明體" w:cs="新細明體"/>
        </w:rPr>
        <w:t>(12), Article e0144795. https://doi.org/10.1371/journal.pone.0144795</w:t>
      </w:r>
    </w:p>
    <w:p w14:paraId="5D228AAA" w14:textId="77777777" w:rsidR="00D44DCB" w:rsidRDefault="00000000">
      <w:pPr>
        <w:spacing w:after="80" w:line="360" w:lineRule="auto"/>
        <w:ind w:left="720" w:hanging="720"/>
        <w:jc w:val="both"/>
      </w:pPr>
      <w:r>
        <w:rPr>
          <w:rFonts w:ascii="新細明體" w:eastAsia="新細明體" w:hAnsi="新細明體" w:cs="新細明體"/>
        </w:rPr>
        <w:t xml:space="preserve">Sardi, L., Idri, A., &amp; Fernández-Alemán, J. L. (2017). A systematic review of gamification in e-Health. </w:t>
      </w:r>
      <w:r>
        <w:rPr>
          <w:rFonts w:ascii="新細明體" w:eastAsia="新細明體" w:hAnsi="新細明體" w:cs="新細明體"/>
          <w:i/>
          <w:iCs/>
        </w:rPr>
        <w:t>Journal of Biomedical Informatics, 71</w:t>
      </w:r>
      <w:r>
        <w:rPr>
          <w:rFonts w:ascii="新細明體" w:eastAsia="新細明體" w:hAnsi="新細明體" w:cs="新細明體"/>
        </w:rPr>
        <w:t>, 31–48. https://doi.org/10.1016/j.jbi.2017.05.011</w:t>
      </w:r>
    </w:p>
    <w:p w14:paraId="5D228AAB" w14:textId="77777777" w:rsidR="00D44DCB" w:rsidRDefault="00000000">
      <w:pPr>
        <w:spacing w:after="80" w:line="360" w:lineRule="auto"/>
        <w:ind w:left="720" w:hanging="720"/>
        <w:jc w:val="both"/>
      </w:pPr>
      <w:r>
        <w:rPr>
          <w:rFonts w:ascii="新細明體" w:eastAsia="新細明體" w:hAnsi="新細明體" w:cs="新細明體"/>
        </w:rPr>
        <w:t xml:space="preserve">Schoenfeld, B. J. (2010). Squatting kinematics and kinetics and their application to exercise performance. </w:t>
      </w:r>
      <w:r>
        <w:rPr>
          <w:rFonts w:ascii="新細明體" w:eastAsia="新細明體" w:hAnsi="新細明體" w:cs="新細明體"/>
          <w:i/>
          <w:iCs/>
        </w:rPr>
        <w:t>Journal of Strength and Conditioning Research, 24</w:t>
      </w:r>
      <w:r>
        <w:rPr>
          <w:rFonts w:ascii="新細明體" w:eastAsia="新細明體" w:hAnsi="新細明體" w:cs="新細明體"/>
        </w:rPr>
        <w:t>(12), 3497–3506. https://doi.org/10.1519/JSC.0b013e3181bac2d7</w:t>
      </w:r>
    </w:p>
    <w:p w14:paraId="5D228AAC" w14:textId="77777777" w:rsidR="00D44DCB" w:rsidRDefault="00000000">
      <w:pPr>
        <w:spacing w:after="80" w:line="360" w:lineRule="auto"/>
        <w:ind w:left="720" w:hanging="720"/>
        <w:jc w:val="both"/>
      </w:pPr>
      <w:r>
        <w:rPr>
          <w:rFonts w:ascii="新細明體" w:eastAsia="新細明體" w:hAnsi="新細明體" w:cs="新細明體"/>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iCs/>
        </w:rPr>
        <w:t>Journal of Science and Medicine in Sport, 19</w:t>
      </w:r>
      <w:r>
        <w:rPr>
          <w:rFonts w:ascii="新細明體" w:eastAsia="新細明體" w:hAnsi="新細明體" w:cs="新細明體"/>
        </w:rPr>
        <w:t>(11), 916–920. https://doi.org/10.1016/j.jsams.2015.12.522</w:t>
      </w:r>
    </w:p>
    <w:p w14:paraId="5D228AAD" w14:textId="77777777" w:rsidR="00D44DCB" w:rsidRDefault="00000000">
      <w:pPr>
        <w:spacing w:after="80" w:line="360" w:lineRule="auto"/>
        <w:ind w:left="720" w:hanging="720"/>
        <w:jc w:val="both"/>
      </w:pPr>
      <w:r>
        <w:rPr>
          <w:rFonts w:ascii="新細明體" w:eastAsia="新細明體" w:hAnsi="新細明體" w:cs="新細明體"/>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iCs/>
        </w:rPr>
        <w:t>The Lancet Global Health, 12</w:t>
      </w:r>
      <w:r>
        <w:rPr>
          <w:rFonts w:ascii="新細明體" w:eastAsia="新細明體" w:hAnsi="新細明體" w:cs="新細明體"/>
        </w:rPr>
        <w:t>(8), e1232–e1243. https://doi.org/10.1016/S2214-109X(24)00150-5</w:t>
      </w:r>
    </w:p>
    <w:p w14:paraId="5D228AAE" w14:textId="77777777" w:rsidR="00D44DCB" w:rsidRDefault="00000000">
      <w:pPr>
        <w:spacing w:after="80" w:line="360" w:lineRule="auto"/>
        <w:ind w:left="720" w:hanging="720"/>
        <w:jc w:val="both"/>
      </w:pPr>
      <w:r>
        <w:rPr>
          <w:rFonts w:ascii="新細明體" w:eastAsia="新細明體" w:hAnsi="新細明體" w:cs="新細明體"/>
        </w:rPr>
        <w:t xml:space="preserve">United Nations Department of Economic and Social Affairs. (n.d.). </w:t>
      </w:r>
      <w:r>
        <w:rPr>
          <w:rFonts w:ascii="新細明體" w:eastAsia="新細明體" w:hAnsi="新細明體" w:cs="新細明體"/>
          <w:i/>
          <w:iCs/>
        </w:rPr>
        <w:t>Goal 3: Ensure healthy lives and promote well-being for all at all ages</w:t>
      </w:r>
      <w:r>
        <w:rPr>
          <w:rFonts w:ascii="新細明體" w:eastAsia="新細明體" w:hAnsi="新細明體" w:cs="新細明體"/>
        </w:rPr>
        <w:t>. Retrieved August 19, 2026, from https://sdgs.un.org/goals/goal3</w:t>
      </w:r>
    </w:p>
    <w:p w14:paraId="5D228AAF" w14:textId="77777777" w:rsidR="00D44DCB" w:rsidRDefault="00000000">
      <w:pPr>
        <w:spacing w:after="80" w:line="360" w:lineRule="auto"/>
        <w:ind w:left="720" w:hanging="720"/>
        <w:jc w:val="both"/>
      </w:pPr>
      <w:r>
        <w:rPr>
          <w:rFonts w:ascii="新細明體" w:eastAsia="新細明體" w:hAnsi="新細明體" w:cs="新細明體"/>
        </w:rPr>
        <w:t xml:space="preserve">Vakanski, A., Jun, H.-P., Paul, D., &amp; Baker, R. (2018). A data set of human body movements for physical rehabilitation exercises. </w:t>
      </w:r>
      <w:r>
        <w:rPr>
          <w:rFonts w:ascii="新細明體" w:eastAsia="新細明體" w:hAnsi="新細明體" w:cs="新細明體"/>
          <w:i/>
          <w:iCs/>
        </w:rPr>
        <w:t>Data, 3</w:t>
      </w:r>
      <w:r>
        <w:rPr>
          <w:rFonts w:ascii="新細明體" w:eastAsia="新細明體" w:hAnsi="新細明體" w:cs="新細明體"/>
        </w:rPr>
        <w:t>(1), Article 2. https://doi.org/10.3390/data3010002</w:t>
      </w:r>
    </w:p>
    <w:p w14:paraId="5D228AB0" w14:textId="77777777" w:rsidR="00D44DCB" w:rsidRDefault="00000000">
      <w:pPr>
        <w:spacing w:after="80" w:line="360" w:lineRule="auto"/>
        <w:ind w:left="720" w:hanging="720"/>
        <w:jc w:val="both"/>
      </w:pPr>
      <w:r>
        <w:rPr>
          <w:rFonts w:ascii="新細明體" w:eastAsia="新細明體" w:hAnsi="新細明體" w:cs="新細明體"/>
        </w:rPr>
        <w:lastRenderedPageBreak/>
        <w:t xml:space="preserve">World Health Organization. (2020). </w:t>
      </w:r>
      <w:r>
        <w:rPr>
          <w:rFonts w:ascii="新細明體" w:eastAsia="新細明體" w:hAnsi="新細明體" w:cs="新細明體"/>
          <w:i/>
          <w:iCs/>
        </w:rPr>
        <w:t xml:space="preserve">WHO guidelines on physical activity and sedentary behaviour</w:t>
      </w:r>
      <w:r>
        <w:rPr>
          <w:rFonts w:ascii="新細明體" w:eastAsia="新細明體" w:hAnsi="新細明體" w:cs="新細明體"/>
        </w:rPr>
        <w:t>. https://www.who.int/publications/i/item/9789240015128</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6"/>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pPr>
      <w:r>
        <w:rPr>
          <w:rFonts w:ascii="新細明體" w:eastAsia="新細明體" w:hAnsi="新細明體" w:cs="新細明體"/>
          <w:b/>
          <w:bCs/>
          <w:sz w:val="18"/>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18"/>
          <w:szCs w:val="24"/>
        </w:rPr>
        <w:t>資料依據：聯合國 SDG 3 說明與《世界衛生組織身體活動及久坐行為指南》（2020）；完整書目統一列於企劃書第十章。</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教學應用效益｜判定規則可完整說明，且不涉及學生影像之保存，適合教學場域使用。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效益判定原則｜本章所列未完成項目均為規劃內容，未新增任何量化成效、使用者規模或營運指標。各項效益須於功能完成並接受可重現測試後，方依實際資料陳述。</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本章引用文獻（APA 第 7 版，請併入參考文獻章節）</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Bazarevsky, V., Grishchenko, I., Raveendran, K., Zhu, T., Zhang, F., &amp; Grundmann, M. (2020). *BlazePose: On-device real-time body pose tracking* (arXiv:2006.10204). arXiv. https://doi.org/10.48550/arXiv.2006.10204</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Casiez, G., Roussel, N., &amp; Vogel, D. (2012). 1 € filter: A simple speed-based low-pass filter for noisy input in interactive systems. In *Proceedings of the SIGCHI Conference on Human Factors in Computing Systems* (pp. 2527–2530). https://doi.org/10.1145/2207676.2208639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Conroy, D. E., Yang, C.-H., &amp; Maher, J. P. (2014). Behavior change techniques in top-ranked mobile apps for physical activity. *American Journal of Preventive Medicine, 46*(6), 649–652. https://doi.org/10.1016/j.amepre.2014.01.010</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Escamilla, R. F. (2001). Knee biomechanics of the dynamic squat exercise. *Medicine &amp; Science in Sports &amp; Exercise, 33*(1), 127–141. https://doi.org/10.1097/00005768-200101000-00020</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Jaiswal, A., Chauhan, G., &amp; Srivastava, N. (2023). Using learnable physics for real-time exercise form recommendations. In *Proceedings of the 17th ACM Conference on Recommender Systems* (pp. 688–695). https://doi.org/10.1145/3604915.3608808</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Locke, E. A., &amp; Latham, G. P. (2002). Building a practically useful theory of goal setting and task motivation: A 35-year odyssey. *American Psychologist, 57*(9), 705–717. https://doi.org/10.1037/0003-066X.57.9.705</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Lugaresi, C., Tang, J., Nash, H., McClanahan, C., Uboweja, E., Hays, M., Zhang, F., Chang, C.-L., Yong, M. G., Lee, J., Chang, W.-T., Hua, W., Georg, M., &amp; Grundmann, M. (2019). *MediaPipe: A framework for building perception pipelines* (arXiv:1906.08172). arXiv. https://doi.org/10.48550/arXiv.1906.08172</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Mazeas, A., Duclos, M., Pereira, B., &amp; Chalabaev, A. (2022). Evaluating the effectiveness of gamification on physical activity: Systematic review and meta-analysis of randomized controlled trials. *Journal of Medical Internet Research, 24*(1), Article e26779. https://doi.org/10.2196/26779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Okabe, M., &amp; Ito, K. (2008). *Color universal design (CUD): How to make figures and presentations that are friendly to colorblind people*. Jikei Medical School / University of Tokyo.</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Ryan, R. M., &amp; Deci, E. L. (2000). Self-determination theory and the facilitation of intrinsic motivation, social development, and well-being. *American Psychologist, 55*(1), 68–78. https://doi.org/10.1037/0003-066X.55.1.68</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Schoenfeld, B. J. (2010). Squatting kinematics and kinetics and their application to exercise performance. *Journal of Strength and Conditioning Research, 24*(12), 3497–3506. https://doi.org/10.1519/JSC.0b013e3181bac2d7</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Wong, B. (2011). Points of view: Color blindness. *Nature Methods, 8*(6), 441. https://doi.org/10.1038/nmeth.1618</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World Health Organization. (2020). *WHO guidelines on physical activity and sedentary behaviour*. https://www.who.int/publications/i/item/9789240015128</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教育部體育署（2024）。《中華民國 113 年運動現況調查結案報告書》。世新大學執行。</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93" w14:textId="77777777" w:rsidR="00D44DCB" w:rsidRDefault="00000000">
      <w:pPr>
        <w:spacing w:after="80" w:line="360" w:lineRule="auto"/>
        <w:ind w:left="720" w:hanging="720"/>
        <w:jc w:val="both"/>
      </w:pPr>
      <w:r>
        <w:rPr>
          <w:rFonts w:ascii="新細明體" w:eastAsia="新細明體" w:hAnsi="新細明體" w:cs="新細明體"/>
        </w:rPr>
        <w:t>Mazeas, A., Duclos, M., Pereira, B., &amp; Chalabaev, A. (2022). Evaluating the effectiveness of gamification on physical activity: Systematic review and meta-analysis of randomized controlled trials. Journal of Medical Internet Research, 24(1), Article e26779. https://doi.org/10.2196/26779</w:t>
      </w:r>
      <w:r>
        <w:rPr>
          <w:rFonts w:ascii="新細明體" w:eastAsia="新細明體" w:hAnsi="新細明體" w:cs="新細明體"/>
          <w:i/>
          <w:iCs/>
        </w:rPr>
      </w:r>
      <w:r>
        <w:rPr>
          <w:rFonts w:ascii="新細明體" w:eastAsia="新細明體" w:hAnsi="新細明體" w:cs="新細明體"/>
        </w:rPr>
      </w:r>
    </w:p>
    <w:p w14:paraId="5D228A93" w14:textId="77777777" w:rsidR="00D44DCB" w:rsidRDefault="00000000">
      <w:pPr>
        <w:spacing w:after="80" w:line="360" w:lineRule="auto"/>
        <w:ind w:left="720" w:hanging="720"/>
        <w:jc w:val="both"/>
      </w:pPr>
      <w:r>
        <w:rPr>
          <w:rFonts w:ascii="新細明體" w:eastAsia="新細明體" w:hAnsi="新細明體" w:cs="新細明體"/>
        </w:rPr>
        <w:t>Okabe, M., &amp; Ito, K. (2008). Color universal design (CUD): How to make figures and presentations that are friendly to colorblind people. Jikei Medical School / University of Tokyo.</w:t>
      </w:r>
      <w:r>
        <w:rPr>
          <w:rFonts w:ascii="新細明體" w:eastAsia="新細明體" w:hAnsi="新細明體" w:cs="新細明體"/>
          <w:i/>
          <w:iCs/>
        </w:rPr>
      </w:r>
      <w:r>
        <w:rPr>
          <w:rFonts w:ascii="新細明體" w:eastAsia="新細明體" w:hAnsi="新細明體" w:cs="新細明體"/>
        </w:rPr>
      </w:r>
    </w:p>
    <w:p w14:paraId="5D228A93" w14:textId="77777777" w:rsidR="00D44DCB" w:rsidRDefault="00000000">
      <w:pPr>
        <w:spacing w:after="80" w:line="360" w:lineRule="auto"/>
        <w:ind w:left="720" w:hanging="720"/>
        <w:jc w:val="both"/>
      </w:pPr>
      <w:r>
        <w:rPr>
          <w:rFonts w:ascii="新細明體" w:eastAsia="新細明體" w:hAnsi="新細明體" w:cs="新細明體"/>
        </w:rPr>
        <w:t>Wong, B. (2011). Points of view: Color blindness. Nature Methods, 8(6), 441. https://doi.org/10.1038/nmeth.1618</w:t>
      </w:r>
      <w:r>
        <w:rPr>
          <w:rFonts w:ascii="新細明體" w:eastAsia="新細明體" w:hAnsi="新細明體" w:cs="新細明體"/>
          <w:i/>
          <w:iCs/>
        </w:rPr>
      </w:r>
      <w:r>
        <w:rPr>
          <w:rFonts w:ascii="新細明體" w:eastAsia="新細明體" w:hAnsi="新細明體" w:cs="新細明體"/>
        </w:rPr>
      </w:r>
    </w:p>
    <w:p w14:paraId="5D228A93" w14:textId="77777777" w:rsidR="00D44DCB" w:rsidRDefault="00000000">
      <w:pPr>
        <w:spacing w:after="80" w:line="360" w:lineRule="auto"/>
        <w:ind w:left="720" w:hanging="720"/>
        <w:jc w:val="both"/>
      </w:pPr>
      <w:r>
        <w:rPr>
          <w:rFonts w:ascii="新細明體" w:eastAsia="新細明體" w:hAnsi="新細明體" w:cs="新細明體"/>
        </w:rPr>
        <w:t>教育部體育署（2024）。中華民國 113 年運動現況調查結案報告書。世新大學執行。</w:t>
      </w:r>
      <w:r>
        <w:rPr>
          <w:rFonts w:ascii="新細明體" w:eastAsia="新細明體" w:hAnsi="新細明體" w:cs="新細明體"/>
          <w:i/>
          <w:iCs/>
        </w:rPr>
      </w:r>
      <w:r>
        <w:rPr>
          <w:rFonts w:ascii="新細明體" w:eastAsia="新細明體" w:hAnsi="新細明體" w:cs="新細明體"/>
        </w:rPr>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