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20" w:after="160"/>
        <w:pBdr>
          <w:bottom w:val="single" w:sz="8" w:space="2" w:color="000000"/>
        </w:pBdr>
      </w:pPr>
      <w:r>
        <w:rPr>
          <w:rFonts w:ascii="Times New Roman" w:hAnsi="Times New Roman" w:eastAsia="標楷體"/>
          <w:b/>
          <w:color w:val="000000"/>
          <w:sz w:val="36"/>
        </w:rPr>
        <w:t>三、執行計劃（How）</w:t>
      </w: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（一）技術架構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本作品採「</w:t>
      </w:r>
      <w:r>
        <w:rPr>
          <w:rFonts w:ascii="Times New Roman" w:hAnsi="Times New Roman" w:eastAsia="新細明體"/>
          <w:b/>
          <w:color w:val="000000"/>
          <w:sz w:val="24"/>
        </w:rPr>
        <w:t>裝置端 AI 感知 ＋ 可解釋規則判定</w:t>
      </w:r>
      <w:r>
        <w:rPr>
          <w:rFonts w:ascii="Times New Roman" w:hAnsi="Times New Roman" w:eastAsia="新細明體"/>
          <w:b w:val="0"/>
          <w:color w:val="000000"/>
          <w:sz w:val="24"/>
        </w:rPr>
        <w:t>」之混合架構，全流程於瀏覽器內執行，不需伺服器亦不上傳任何影像。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1. 兩層結構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感知層以 MediaPipe Pose Landmarker 取得單人 33 個人體關鍵點座標，該模型可於行動裝置即時執行且不需連網（Bazarevsky et al., 2020；Lugaresi et al., 2019）。判定層則由本團隊自行建構：將關鍵點向量化後計算關節夾角與相對高度，再以幾何條件判斷動作是否完成完整週期、是否達到標準深度、是否出現代償姿勢。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此架構的設計取捨在於</w:t>
      </w:r>
      <w:r>
        <w:rPr>
          <w:rFonts w:ascii="Times New Roman" w:hAnsi="Times New Roman" w:eastAsia="新細明體"/>
          <w:b/>
          <w:color w:val="000000"/>
          <w:sz w:val="24"/>
        </w:rPr>
        <w:t>輸出內容</w:t>
      </w:r>
      <w:r>
        <w:rPr>
          <w:rFonts w:ascii="Times New Roman" w:hAnsi="Times New Roman" w:eastAsia="新細明體"/>
          <w:b w:val="0"/>
          <w:color w:val="000000"/>
          <w:sz w:val="24"/>
        </w:rPr>
        <w:t>。端到端深度學習模型僅能輸出品質分數，無法指出錯誤所在；規則式判定則可直接對應到具體關節與幾何條件，使系統得以回覆「軀幹前傾過度」或「動作未達標準深度」等可執行的修正指引。使用者於訓練當下需要的是可立即執行的修正建議，而非事後統計（Jaiswal et al., 2023）。</w:t>
      </w:r>
    </w:p>
    <w:p>
      <w:pPr>
        <w:spacing w:after="80"/>
        <w:ind w:left="425"/>
      </w:pPr>
      <w:r>
        <w:rPr>
          <w:rFonts w:ascii="Times New Roman" w:hAnsi="Times New Roman" w:eastAsia="新細明體"/>
          <w:b/>
          <w:color w:val="444444"/>
          <w:sz w:val="22"/>
        </w:rPr>
        <w:t>界線說明</w:t>
      </w:r>
      <w:r>
        <w:rPr>
          <w:rFonts w:ascii="Times New Roman" w:hAnsi="Times New Roman" w:eastAsia="新細明體"/>
          <w:b w:val="0"/>
          <w:color w:val="444444"/>
          <w:sz w:val="22"/>
        </w:rPr>
        <w:t>｜感知層使用 Google 釋出之預訓練權重，本團隊未進行訓練或微調，其準確率繼承自原模型，本團隊未獨立驗證其在低角度居家鏡頭條件下的表現。判定層不含機器學習成分，故不存在訓練資料集。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2. 資料流</w:t>
      </w:r>
    </w:p>
    <w:p>
      <w:pPr>
        <w:spacing w:before="120" w:after="120" w:line="240" w:lineRule="auto"/>
        <w:ind w:left="227"/>
      </w:pPr>
      <w:r>
        <w:rPr>
          <w:rFonts w:ascii="Consolas" w:hAnsi="Consolas" w:eastAsia="Consolas"/>
          <w:color w:val="000000"/>
          <w:sz w:val="17"/>
        </w:rPr>
        <w:t>鏡頭影像（僅存於裝置記憶體）</w:t>
        <w:br/>
      </w:r>
      <w:r>
        <w:rPr>
          <w:rFonts w:ascii="Consolas" w:hAnsi="Consolas" w:eastAsia="Consolas"/>
          <w:color w:val="000000"/>
          <w:sz w:val="17"/>
        </w:rPr>
        <w:t xml:space="preserve">   → MediaPipe Pose：33 個關鍵點（x, y, visibility）</w:t>
        <w:br/>
      </w:r>
      <w:r>
        <w:rPr>
          <w:rFonts w:ascii="Consolas" w:hAnsi="Consolas" w:eastAsia="Consolas"/>
          <w:color w:val="000000"/>
          <w:sz w:val="17"/>
        </w:rPr>
        <w:t xml:space="preserve">   → One-Euro 濾波：抑制關鍵點抖動</w:t>
        <w:br/>
      </w:r>
      <w:r>
        <w:rPr>
          <w:rFonts w:ascii="Consolas" w:hAnsi="Consolas" w:eastAsia="Consolas"/>
          <w:color w:val="000000"/>
          <w:sz w:val="17"/>
        </w:rPr>
        <w:t xml:space="preserve">   → 體型正規化：轉為與身高、鏡頭距離無關的相對量</w:t>
        <w:br/>
      </w:r>
      <w:r>
        <w:rPr>
          <w:rFonts w:ascii="Consolas" w:hAnsi="Consolas" w:eastAsia="Consolas"/>
          <w:color w:val="000000"/>
          <w:sz w:val="17"/>
        </w:rPr>
        <w:t xml:space="preserve">   → 取景把關：關鍵部位未入鏡則凍結判定</w:t>
        <w:br/>
      </w:r>
      <w:r>
        <w:rPr>
          <w:rFonts w:ascii="Consolas" w:hAnsi="Consolas" w:eastAsia="Consolas"/>
          <w:color w:val="000000"/>
          <w:sz w:val="17"/>
        </w:rPr>
        <w:t xml:space="preserve">   → 動作狀態機：READY → CONCENTRIC → TARGET → ECCENTRIC → 結算</w:t>
        <w:br/>
      </w:r>
      <w:r>
        <w:rPr>
          <w:rFonts w:ascii="Consolas" w:hAnsi="Consolas" w:eastAsia="Consolas"/>
          <w:color w:val="000000"/>
          <w:sz w:val="17"/>
        </w:rPr>
        <w:t xml:space="preserve">   → 防作弊層：判定該次有效或無效，並輸出錯誤原因</w:t>
        <w:br/>
      </w:r>
      <w:r>
        <w:rPr>
          <w:rFonts w:ascii="Consolas" w:hAnsi="Consolas" w:eastAsia="Consolas"/>
          <w:color w:val="000000"/>
          <w:sz w:val="17"/>
        </w:rPr>
        <w:t xml:space="preserve">   → 即時回饋 ＆ 訓練結算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訊號平滑採 One-Euro Filter，該演算法在低延遲前提下抑制輸入抖動，適用於即時互動系統（Casiez et al., 2012）。體型正規化以肩寬、髖寬、軀幹長與腿長為基準，使判定門檻不因使用者身高或鏡頭遠近而改變。</w:t>
      </w:r>
    </w:p>
    <w:p>
      <w:pPr>
        <w:spacing w:after="80"/>
        <w:ind w:left="425"/>
      </w:pPr>
      <w:r>
        <w:rPr>
          <w:rFonts w:ascii="Times New Roman" w:hAnsi="Times New Roman" w:eastAsia="新細明體"/>
          <w:b/>
          <w:color w:val="444444"/>
          <w:sz w:val="22"/>
        </w:rPr>
        <w:t>界線說明</w:t>
      </w:r>
      <w:r>
        <w:rPr>
          <w:rFonts w:ascii="Times New Roman" w:hAnsi="Times New Roman" w:eastAsia="新細明體"/>
          <w:b w:val="0"/>
          <w:color w:val="444444"/>
          <w:sz w:val="22"/>
        </w:rPr>
        <w:t>｜判定僅使用二維投影座標，不使用深度資訊。單鏡頭之深度估計在居家環境下不可靠，故各動作訂有建議機位，偏離機位將影響判定精度。</w:t>
      </w: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（二）動作判定依據的三級溯源制度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本作品對判定門檻建立分級規範：</w:t>
      </w:r>
      <w:r>
        <w:rPr>
          <w:rFonts w:ascii="Times New Roman" w:hAnsi="Times New Roman" w:eastAsia="新細明體"/>
          <w:b/>
          <w:color w:val="000000"/>
          <w:sz w:val="24"/>
        </w:rPr>
        <w:t>每一項門檻均須標明其知識來源等級，工程校準值不得以文獻結論之形式呈現</w:t>
      </w:r>
      <w:r>
        <w:rPr>
          <w:rFonts w:ascii="Times New Roman" w:hAnsi="Times New Roman" w:eastAsia="新細明體"/>
          <w:b w:val="0"/>
          <w:color w:val="000000"/>
          <w:sz w:val="24"/>
        </w:rPr>
        <w:t>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等級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定義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撰寫規範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I 類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對應該運動領域公認標準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引用標準，並記錄本系統取值與標準之對應關係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II 類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領域教練慣例，無正式成文標準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標明為慣例，不引用論文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III 類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純工程參數，與運動標準無關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標明為實測校準，附邊界值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1. 各動作門檻之知識來源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動作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領域依據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等級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深蹲深度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/>
                <w:color w:val="000000"/>
                <w:sz w:val="22"/>
              </w:rPr>
              <w:t>以平行蹲為目標深度，實際判定門檻略淺於平行</w:t>
            </w:r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（詳下節校準說明）。Escamilla（2001）就動態深蹲之膝關節生物力學指出，對膝關節健康之運動者建議採平行蹲而非深蹲，因更大屈膝角度下半月板與交叉／側副韌帶之受傷風險可能較高；Schoenfeld（2010）亦以 partial／parallel／full 之深度分類比較各深度的力學負荷與肌肉活化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I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伏地挺身深度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肘關節屈曲至約 90 度（上臂與地面平行），為體適能檢測之通行判準（FitnessGram® 90° push-up、President's Challenge right angle push-up、ACSM／YMCA 肌耐力檢測）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I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高抬腿膝高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膝抬至髖高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II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開合跳幅度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手過肩、腳距超過肩寬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II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軀幹前傾阻擋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用於區分自然前傾與彎腰代償之工程門檻，無對應運動標準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III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採平行蹲而非更深深度作為目標，係依據上述文獻之建議</w:t>
      </w:r>
      <w:r>
        <w:rPr>
          <w:rFonts w:ascii="Times New Roman" w:hAnsi="Times New Roman" w:eastAsia="新細明體"/>
          <w:b w:val="0"/>
          <w:color w:val="000000"/>
          <w:sz w:val="24"/>
        </w:rPr>
        <w:t>，而非為降低判定難度所作之妥協。</w:t>
      </w:r>
    </w:p>
    <w:p>
      <w:pPr>
        <w:spacing w:after="80"/>
        <w:ind w:left="425"/>
      </w:pPr>
      <w:r>
        <w:rPr>
          <w:rFonts w:ascii="Times New Roman" w:hAnsi="Times New Roman" w:eastAsia="新細明體"/>
          <w:b/>
          <w:color w:val="444444"/>
          <w:sz w:val="22"/>
        </w:rPr>
        <w:t>界線說明</w:t>
      </w:r>
      <w:r>
        <w:rPr>
          <w:rFonts w:ascii="Times New Roman" w:hAnsi="Times New Roman" w:eastAsia="新細明體"/>
          <w:b w:val="0"/>
          <w:color w:val="444444"/>
          <w:sz w:val="22"/>
        </w:rPr>
        <w:t>｜本系統之實際判定門檻略淺於平行蹲（達標時髖仍略高於膝），此為居家鏡頭條件下之校準結果，理由見下節。</w:t>
      </w:r>
      <w:r>
        <w:rPr>
          <w:rFonts w:ascii="Times New Roman" w:hAnsi="Times New Roman" w:eastAsia="新細明體"/>
          <w:b/>
          <w:color w:val="444444"/>
          <w:sz w:val="22"/>
        </w:rPr>
        <w:t>目標深度與實際門檻之差距不予隱藏</w:t>
      </w:r>
      <w:r>
        <w:rPr>
          <w:rFonts w:ascii="Times New Roman" w:hAnsi="Times New Roman" w:eastAsia="新細明體"/>
          <w:b w:val="0"/>
          <w:color w:val="444444"/>
          <w:sz w:val="22"/>
        </w:rPr>
        <w:t>：文件中同時列出領域標準值、本系統實際值與校準理由，使該取捨可被檢驗。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2. 居家場景之門檻校準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實驗室之理想機位與居家筆電鏡頭屬不同條件：低角度仰拍造成視角畸變，側面拍攝則有肢體遮擋。若逕行套用實驗室標準，將產生大量誤拒，使用者動作正確卻不被計次，反而損害系統可信度。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本作品之門檻因此經居家場景校準，並</w:t>
      </w:r>
      <w:r>
        <w:rPr>
          <w:rFonts w:ascii="Times New Roman" w:hAnsi="Times New Roman" w:eastAsia="新細明體"/>
          <w:b/>
          <w:color w:val="000000"/>
          <w:sz w:val="24"/>
        </w:rPr>
        <w:t>完整記錄每一項校準值所對應的領域標準與校準理由</w:t>
      </w:r>
      <w:r>
        <w:rPr>
          <w:rFonts w:ascii="Times New Roman" w:hAnsi="Times New Roman" w:eastAsia="新細明體"/>
          <w:b w:val="0"/>
          <w:color w:val="000000"/>
          <w:sz w:val="24"/>
        </w:rPr>
        <w:t>。以深蹲為例：目標深度為平行蹲（髖與膝約略同高），實際達標門檻則容許髖略高於膝，其差距係為吸收低角度仰拍所致之視角畸變。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此類校準值屬工程判斷，其適切性須以真人樣本驗證後方能確認；在驗證完成前，本作品不宣稱該門檻已達最適設定。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3. 標準卡制度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每項動作建立一份標準卡，內容包含：關鍵關節與判定角度、達標容許區間、常見錯誤及其幾何特徵、知識來源等級。標準卡為動作擴充之最小單位——新增動作即新增一張標準卡，不需更動判定引擎，使動作庫之擴充工作得以分割並行。</w:t>
      </w: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（三）驗證計畫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本作品建立三階段驗證架構，各階段之外部性逐級提高。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階段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資料來源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驗證目標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狀態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一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自動化測試（合成骨架）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規則邏輯正確性與回歸保護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持續執行中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二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專業示範影片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標準動作之角度分佈，作為門檻訂定之外部參考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已完成初步量測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三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自蒐真人樣本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真實居家鏡頭條件下之判定表現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規劃中・尚未執行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1. 階段一：自動化測試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以固定隨機種子產生合成骨架序列，涵蓋各動作之標準樣本與典型錯誤樣本，並施加縮放、平移、雜訊、關節遮擋與出框裁切等多維度擾動。</w:t>
      </w:r>
      <w:r>
        <w:rPr>
          <w:rFonts w:ascii="Times New Roman" w:hAnsi="Times New Roman" w:eastAsia="新細明體"/>
          <w:b/>
          <w:color w:val="000000"/>
          <w:sz w:val="24"/>
        </w:rPr>
        <w:t>測試採固定種子，結果可完整重現。</w:t>
      </w:r>
    </w:p>
    <w:p>
      <w:pPr>
        <w:spacing w:after="80"/>
        <w:ind w:left="425"/>
      </w:pPr>
      <w:r>
        <w:rPr>
          <w:rFonts w:ascii="Times New Roman" w:hAnsi="Times New Roman" w:eastAsia="新細明體"/>
          <w:b/>
          <w:color w:val="444444"/>
          <w:sz w:val="22"/>
        </w:rPr>
        <w:t>界線說明</w:t>
      </w:r>
      <w:r>
        <w:rPr>
          <w:rFonts w:ascii="Times New Roman" w:hAnsi="Times New Roman" w:eastAsia="新細明體"/>
          <w:b w:val="0"/>
          <w:color w:val="444444"/>
          <w:sz w:val="22"/>
        </w:rPr>
        <w:t>｜合成骨架產生器由本團隊撰寫，與判定引擎共享同一組幾何假設。此階段測試證明的是規則邏輯之自洽性與回歸保護能力，</w:t>
      </w:r>
      <w:r>
        <w:rPr>
          <w:rFonts w:ascii="Times New Roman" w:hAnsi="Times New Roman" w:eastAsia="新細明體"/>
          <w:b/>
          <w:color w:val="444444"/>
          <w:sz w:val="22"/>
        </w:rPr>
        <w:t>不等同於真人辨識準確率</w:t>
      </w:r>
      <w:r>
        <w:rPr>
          <w:rFonts w:ascii="Times New Roman" w:hAnsi="Times New Roman" w:eastAsia="新細明體"/>
          <w:b w:val="0"/>
          <w:color w:val="444444"/>
          <w:sz w:val="22"/>
        </w:rPr>
        <w:t>。此為規則式系統驗證之固有限制，須以外部資料補足。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2. 階段二：專業示範影片之角度分佈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以本作品自身之模型與參數量測專業示範影片，取得標準動作在各判定量上的實際分佈，作為門檻訂定之外部參考點。</w:t>
      </w:r>
    </w:p>
    <w:p>
      <w:pPr>
        <w:spacing w:after="80"/>
        <w:ind w:left="425"/>
      </w:pPr>
      <w:r>
        <w:rPr>
          <w:rFonts w:ascii="Times New Roman" w:hAnsi="Times New Roman" w:eastAsia="新細明體"/>
          <w:b/>
          <w:color w:val="444444"/>
          <w:sz w:val="22"/>
        </w:rPr>
        <w:t>界線說明</w:t>
      </w:r>
      <w:r>
        <w:rPr>
          <w:rFonts w:ascii="Times New Roman" w:hAnsi="Times New Roman" w:eastAsia="新細明體"/>
          <w:b w:val="0"/>
          <w:color w:val="444444"/>
          <w:sz w:val="22"/>
        </w:rPr>
        <w:t>｜示範影片之機位未受控，其量測值適用於界定「標準動作之角度範圍」，不足以作為門檻校準之唯一依據。影片版權屬原作者，僅用於內部量測統計，不重製亦不納入作品內容。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3. 階段三：真人樣本驗證（規劃中）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項目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規劃內容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受試者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5 至 8 人，體型差距刻意拉開，以驗證體型正規化層之一致性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分組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校準組（可反覆使用）／測試組（標定門檻期間不使用，僅量測一次）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每人每動作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標準動作 10 次 ＋ 指定錯誤樣態 10 次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拍攝批次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校準批（機位固定並記錄）＋ 韌性批（低角度、一般室內燈光、站位不一）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產出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各動作之混淆矩陣、門檻分佈直方圖、逐案例分析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校準集與測試集嚴格分離</w:t>
      </w:r>
      <w:r>
        <w:rPr>
          <w:rFonts w:ascii="Times New Roman" w:hAnsi="Times New Roman" w:eastAsia="新細明體"/>
          <w:b w:val="0"/>
          <w:color w:val="000000"/>
          <w:sz w:val="24"/>
        </w:rPr>
        <w:t>：若以同一批受試者之資料調整門檻並計算準確率，該數值必然偏高。此分離原則參照機器學習領域之標準實務。</w:t>
      </w:r>
    </w:p>
    <w:p>
      <w:pPr>
        <w:spacing w:after="80"/>
        <w:ind w:left="425"/>
      </w:pPr>
      <w:r>
        <w:rPr>
          <w:rFonts w:ascii="Times New Roman" w:hAnsi="Times New Roman" w:eastAsia="新細明體"/>
          <w:b/>
          <w:color w:val="444444"/>
          <w:sz w:val="22"/>
        </w:rPr>
        <w:t>界線說明</w:t>
      </w:r>
      <w:r>
        <w:rPr>
          <w:rFonts w:ascii="Times New Roman" w:hAnsi="Times New Roman" w:eastAsia="新細明體"/>
          <w:b w:val="0"/>
          <w:color w:val="444444"/>
          <w:sz w:val="22"/>
        </w:rPr>
        <w:t>｜本階段量測之標籤依拍攝時之動作指令設定，未經專業教練獨立標註。所得結果應表述為「對預設錯誤樣態之辨識結果」，不得表述為動作品質判定之準確率。若驗證結果低於預期，將據實揭露並以資料重新標定門檻。</w:t>
      </w: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（四）開發時程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期間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AI 健身辨識端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整合作業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八月下旬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整合插槽整備、判定層缺陷修正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遊戲端專案交付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九月上旬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真人樣本拍攝與標註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系統整合、視覺對齊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九月中下旬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動作庫擴充、結算流程打磨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整合驗收、流程彩排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十月一日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—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企劃書與海報交件</w:t>
            </w:r>
          </w:p>
        </w:tc>
      </w:tr>
    </w:tbl>
    <w:p>
      <w:pPr>
        <w:spacing w:after="40"/>
      </w:pPr>
    </w:p>
    <w:p>
      <w:pPr>
        <w:spacing w:before="40" w:after="40"/>
      </w:pPr>
    </w:p>
    <w:p>
      <w:pPr>
        <w:keepNext/>
        <w:spacing w:before="120" w:after="160"/>
        <w:pBdr>
          <w:bottom w:val="single" w:sz="8" w:space="2" w:color="000000"/>
        </w:pBdr>
      </w:pPr>
      <w:r>
        <w:rPr>
          <w:rFonts w:ascii="Times New Roman" w:hAnsi="Times New Roman" w:eastAsia="標楷體"/>
          <w:b/>
          <w:color w:val="000000"/>
          <w:sz w:val="36"/>
        </w:rPr>
        <w:t>四、功能介紹、系統架構、操作介面及規格說明</w:t>
      </w: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（一）產品全貌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本作品為單一網站應用程式，以底部分頁列切換五項功能。</w:t>
      </w:r>
      <w:r>
        <w:rPr>
          <w:rFonts w:ascii="Times New Roman" w:hAnsi="Times New Roman" w:eastAsia="新細明體"/>
          <w:b/>
          <w:color w:val="000000"/>
          <w:sz w:val="24"/>
        </w:rPr>
        <w:t>訓練分頁為資源之唯一產出來源，島嶼分頁為資源之主要去處</w:t>
      </w:r>
      <w:r>
        <w:rPr>
          <w:rFonts w:ascii="Times New Roman" w:hAnsi="Times New Roman" w:eastAsia="新細明體"/>
          <w:b w:val="0"/>
          <w:color w:val="000000"/>
          <w:sz w:val="24"/>
        </w:rPr>
        <w:t>，此單向流動使運動參與與遊戲進展之間形成不可繞過的因果關係。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分頁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核心職責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開發端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今日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首屏：今日任務、進度環、連續天數、週目標足跡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健身端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島嶼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以金幣與材料建設島嶼，將運動成果視覺化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遊戲端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訓練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核心：即時判定、矯正與結算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健身端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健康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訓練數據之長期趨勢與前後對比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健身端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設定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身體數據、偏好、隱私與帳號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健身端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手機版與電腦版採同一套介面，分頁位置與操作邏輯一致。</w:t>
      </w: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（二）核心機制：品質確認取代次數累積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現有身體活動類應用程式多以次數或時間為成果單位。針對排名前列之身體活動應用程式的分析顯示，其線上描述所載之行為改變技術數量普遍偏少，多數少於四項（Conroy et al., 2014）。本作品之核心主張為「</w:t>
      </w:r>
      <w:r>
        <w:rPr>
          <w:rFonts w:ascii="Times New Roman" w:hAnsi="Times New Roman" w:eastAsia="新細明體"/>
          <w:b/>
          <w:color w:val="000000"/>
          <w:sz w:val="24"/>
        </w:rPr>
        <w:t>不是計次，而是品質確認</w:t>
      </w:r>
      <w:r>
        <w:rPr>
          <w:rFonts w:ascii="Times New Roman" w:hAnsi="Times New Roman" w:eastAsia="新細明體"/>
          <w:b w:val="0"/>
          <w:color w:val="000000"/>
          <w:sz w:val="24"/>
        </w:rPr>
        <w:t>」：一次有效次數須同時滿足完整動作週期、標準深度與無顯著代償，且唯有有效次數方能換取遊戲資源。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正向循環之設計如下：</w:t>
      </w:r>
    </w:p>
    <w:p>
      <w:pPr>
        <w:spacing w:before="120" w:after="120" w:line="240" w:lineRule="auto"/>
        <w:ind w:left="227"/>
      </w:pPr>
      <w:r>
        <w:rPr>
          <w:rFonts w:ascii="Consolas" w:hAnsi="Consolas" w:eastAsia="Consolas"/>
          <w:color w:val="000000"/>
          <w:sz w:val="17"/>
        </w:rPr>
        <w:t>今日任務 → 一鍵進入訓練 → 即時判定與矯正 → 結算（僅有效次數換得資源）</w:t>
        <w:br/>
      </w:r>
      <w:r>
        <w:rPr>
          <w:rFonts w:ascii="Consolas" w:hAnsi="Consolas" w:eastAsia="Consolas"/>
          <w:color w:val="000000"/>
          <w:sz w:val="17"/>
        </w:rPr>
        <w:t xml:space="preserve">    ↑                                              ↓</w:t>
        <w:br/>
      </w:r>
      <w:r>
        <w:rPr>
          <w:rFonts w:ascii="Consolas" w:hAnsi="Consolas" w:eastAsia="Consolas"/>
          <w:color w:val="000000"/>
          <w:sz w:val="17"/>
        </w:rPr>
        <w:t>下一個目標 ← 島嶼建設消費 ← 獎勵轉換演出 ←──────────┘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各環節之設計依據：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環節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設計目的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依據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今日任務為具體數量目標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明確目標較「盡力而為」更能提升表現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Locke &amp; Latham (2002)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獎勵綁定動作品質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使遊戲誘因與「把動作做對」同向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同上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即時矯正而非事後統計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訓練當下需要可立即執行之修正建議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Jaiswal et al. (2023)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島嶼建設呈現累積成果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使抽象努力轉為可見之能力增長，回應勝任感需求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Ryan &amp; Deci (2000)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（三）動作判定規格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階段</w:t>
            </w:r>
          </w:p>
        </w:tc>
        <w:tc>
          <w:tcPr>
            <w:tcW w:type="dxa" w:w="1872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動作</w:t>
            </w:r>
          </w:p>
        </w:tc>
        <w:tc>
          <w:tcPr>
            <w:tcW w:type="dxa" w:w="1872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判定關鍵</w:t>
            </w:r>
          </w:p>
        </w:tc>
        <w:tc>
          <w:tcPr>
            <w:tcW w:type="dxa" w:w="1872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建議機位</w:t>
            </w:r>
          </w:p>
        </w:tc>
        <w:tc>
          <w:tcPr>
            <w:tcW w:type="dxa" w:w="1872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狀態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一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深蹲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髖相對膝高度、軀幹前傾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正面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已實作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一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開合跳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手過肩、腳距、手腳同步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正面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已實作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一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高抬腿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膝相對髖高度、左右交替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正面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已實作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一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伏地挺身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肘角、軀幹直線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側面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已實作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二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弓箭步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前膝角度、後膝下降、軀幹直立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側面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規劃中・未完成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二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仰臥起坐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軀幹抬起角度、頸部代償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側面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規劃中・未完成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三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臀橋、波比跳、捲腹、側弓步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各具獨立標準卡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各動作指定</w:t>
            </w:r>
          </w:p>
        </w:tc>
        <w:tc>
          <w:tcPr>
            <w:tcW w:type="dxa" w:w="1872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未來藍圖・規劃中</w:t>
            </w:r>
          </w:p>
        </w:tc>
      </w:tr>
    </w:tbl>
    <w:p>
      <w:pPr>
        <w:spacing w:after="40"/>
      </w:pPr>
    </w:p>
    <w:p>
      <w:pPr>
        <w:spacing w:after="80"/>
        <w:ind w:left="425"/>
      </w:pPr>
      <w:r>
        <w:rPr>
          <w:rFonts w:ascii="Times New Roman" w:hAnsi="Times New Roman" w:eastAsia="新細明體"/>
          <w:b/>
          <w:color w:val="444444"/>
          <w:sz w:val="22"/>
        </w:rPr>
        <w:t>界線說明</w:t>
      </w:r>
      <w:r>
        <w:rPr>
          <w:rFonts w:ascii="Times New Roman" w:hAnsi="Times New Roman" w:eastAsia="新細明體"/>
          <w:b w:val="0"/>
          <w:color w:val="444444"/>
          <w:sz w:val="22"/>
        </w:rPr>
        <w:t>｜各動作共用同一套感知與結算框架，惟每項新增動作均需獨立之判定規則、正負樣本、錯誤詞典與驗證，動作數量不等同於整體完成度。</w:t>
      </w: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（四）即時矯正機制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1. 分段三色視覺回饋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人形骨架疊圖覆蓋於鏡頭畫面之上，</w:t>
      </w:r>
      <w:r>
        <w:rPr>
          <w:rFonts w:ascii="Times New Roman" w:hAnsi="Times New Roman" w:eastAsia="新細明體"/>
          <w:b/>
          <w:color w:val="000000"/>
          <w:sz w:val="24"/>
        </w:rPr>
        <w:t>依身體部位分段回饋</w:t>
      </w:r>
      <w:r>
        <w:rPr>
          <w:rFonts w:ascii="Times New Roman" w:hAnsi="Times New Roman" w:eastAsia="新細明體"/>
          <w:b w:val="0"/>
          <w:color w:val="000000"/>
          <w:sz w:val="24"/>
        </w:rPr>
        <w:t>，而非對整體給予單一分數。藍色表示取景與準備階段，綠色表示該部位動作正確，黃色表示開始偏離，紅色表示明確錯誤。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顏色僅表達錯誤程度，不表達動作進度</w:t>
      </w:r>
      <w:r>
        <w:rPr>
          <w:rFonts w:ascii="Times New Roman" w:hAnsi="Times New Roman" w:eastAsia="新細明體"/>
          <w:b w:val="0"/>
          <w:color w:val="000000"/>
          <w:sz w:val="24"/>
        </w:rPr>
        <w:t>；動作進行至何種階段另由畫面右側之深度量表獨立呈現。二者分離之目的在於使使用者能區分「動作做錯」與「尚未做到」——此二者所需之反應完全不同。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2. 顏色顯示模式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提供三色、單色與高對比三種模式。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本作品之預設回饋以綠色與紅色承載最關鍵的語意對立，而該組合恰為色覺缺陷者最不易分辨者。</w:t>
      </w:r>
      <w:r>
        <w:rPr>
          <w:rFonts w:ascii="Times New Roman" w:hAnsi="Times New Roman" w:eastAsia="新細明體"/>
          <w:b/>
          <w:color w:val="000000"/>
          <w:sz w:val="24"/>
        </w:rPr>
        <w:t>為使核心功能不因使用者之色覺條件而失效</w:t>
      </w:r>
      <w:r>
        <w:rPr>
          <w:rFonts w:ascii="Times New Roman" w:hAnsi="Times New Roman" w:eastAsia="新細明體"/>
          <w:b w:val="0"/>
          <w:color w:val="000000"/>
          <w:sz w:val="24"/>
        </w:rPr>
        <w:t>，高對比模式改採 Okabe-Ito 色彩通用設計配色（Okabe &amp; Ito, 2008；經 Wong, 2011 推廣），該配色系統之設計目標即為在三種主要色覺缺陷下皆可區分；單色模式則不以色相區分，改以亮度與不透明度呈現，另適用於強光環境。</w:t>
      </w:r>
    </w:p>
    <w:p>
      <w:pPr>
        <w:spacing w:after="80"/>
        <w:ind w:left="425"/>
      </w:pPr>
      <w:r>
        <w:rPr>
          <w:rFonts w:ascii="Times New Roman" w:hAnsi="Times New Roman" w:eastAsia="新細明體"/>
          <w:b/>
          <w:color w:val="444444"/>
          <w:sz w:val="22"/>
        </w:rPr>
        <w:t>界線說明</w:t>
      </w:r>
      <w:r>
        <w:rPr>
          <w:rFonts w:ascii="Times New Roman" w:hAnsi="Times New Roman" w:eastAsia="新細明體"/>
          <w:b w:val="0"/>
          <w:color w:val="444444"/>
          <w:sz w:val="22"/>
        </w:rPr>
        <w:t>｜配色選用依循上述色彩系統之設計原則，其於實際使用者之辨識效果尚待可用性測試確認。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3. 分級語音引導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危險代償（如塌腰、以彎腰替代下蹲）採高優先級立即播報並中斷當前語句；一般修正指引排入佇列依序播報；結算總評於訓練結束後播報。語音與提示音採不同通道，倒數提示不會打斷口語說明。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4. 防作弊機制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「僅有正確動作可換取獎勵」為本作品之核心承諾。為使該承諾於技術層面成立，判定流程設有六層把關：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層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機制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阻擋對象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一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關鍵點完整性檢查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關鍵部位未入鏡時不予判定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二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可見度門檻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遮擋、出框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三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訊號平滑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抖動造成之假計次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四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完整週期狀態機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未完成完整動作週期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五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品質閘門（動作最深處採樣）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半程動作、代償姿勢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六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計次冷卻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超越人類生理極限之重複計次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未觀察影格處理</w:t>
      </w:r>
      <w:r>
        <w:rPr>
          <w:rFonts w:ascii="Times New Roman" w:hAnsi="Times New Roman" w:eastAsia="新細明體"/>
          <w:b w:val="0"/>
          <w:color w:val="000000"/>
          <w:sz w:val="24"/>
        </w:rPr>
        <w:t>｜一次動作進行中若出現任何未被判定到的影格，該次一律不計為有效。設計理由為：未被觀察之瞬間可能存在姿勢錯誤，未經完整觀察即予通過等同放行。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交替動作之回溯機制</w:t>
      </w:r>
      <w:r>
        <w:rPr>
          <w:rFonts w:ascii="Times New Roman" w:hAnsi="Times New Roman" w:eastAsia="新細明體"/>
          <w:b w:val="0"/>
          <w:color w:val="000000"/>
          <w:sz w:val="24"/>
        </w:rPr>
        <w:t>｜需左右交替之動作，其第一次動作無前例可資比對。本作品採回溯撤銷設計：第一次先行計入但標記為未經證實，若次一動作仍為同側，則連同第一次一併作廢。此設計使單側連續動作無法取得任何有效次數，而正常交替之使用者不受影響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5. 取景把關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辨識品質之前提為輸入品質。訓練開始前設有取景檢查關卡，逐項確認關鍵部位入鏡；訓練過程中若取景條件劣化，系統凍結判定並提示，而非於不可信之輸入上勉強給出結果。同時提供逃生出口，避免使用者因取景條件無法達成而受困。</w:t>
      </w: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（五）訓練結算與量化指標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1. 兩幕式結算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第一幕｜成績單</w:t>
      </w:r>
      <w:r>
        <w:rPr>
          <w:rFonts w:ascii="Times New Roman" w:hAnsi="Times New Roman" w:eastAsia="新細明體"/>
          <w:b w:val="0"/>
          <w:color w:val="000000"/>
          <w:sz w:val="24"/>
        </w:rPr>
        <w:t>：有效與無效次數分開呈現、姿勢達標率、實際訓練時間、本次主要問題、常見錯誤統計、綜合評級。有效與無效分開呈現為刻意設計——使用者需要看見「做了 30 次，其中 22 次有效」，而非模糊的總數。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第二幕｜獎勵轉換</w:t>
      </w:r>
      <w:r>
        <w:rPr>
          <w:rFonts w:ascii="Times New Roman" w:hAnsi="Times New Roman" w:eastAsia="新細明體"/>
          <w:b w:val="0"/>
          <w:color w:val="000000"/>
          <w:sz w:val="24"/>
        </w:rPr>
        <w:t>：金幣數字滾動、金幣飛向島嶼、建設進度推進。此幕承擔將數值轉為可感知回饋之功能。演出支援跳過，並尊重系統之減少動態效果設定。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2. 量化指標之選用原則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本作品</w:t>
      </w:r>
      <w:r>
        <w:rPr>
          <w:rFonts w:ascii="Times New Roman" w:hAnsi="Times New Roman" w:eastAsia="新細明體"/>
          <w:b/>
          <w:color w:val="000000"/>
          <w:sz w:val="24"/>
        </w:rPr>
        <w:t>不提供熱量消耗估算</w:t>
      </w:r>
      <w:r>
        <w:rPr>
          <w:rFonts w:ascii="Times New Roman" w:hAnsi="Times New Roman" w:eastAsia="新細明體"/>
          <w:b w:val="0"/>
          <w:color w:val="000000"/>
          <w:sz w:val="24"/>
        </w:rPr>
        <w:t>。熱量若以 MET 公式推算，未納入個體代謝率、肌肉量與體能水平差異，亦無心率或攝氧量佐證，屬系統無從驗證之數值。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量化資料一律限於系統能精確判定之項目：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指標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計算方式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有效／無效次數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逐次判定累計，每次均可追溯判定原因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姿勢達標率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有效次數 ÷ 總嘗試次數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錯誤類型分佈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每次無效均記錄具體錯誤代碼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實際訓練時間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累計運動時間，不含休息與暫停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連續運動天數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須當日有效次數達門檻方予計入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動作品質趨勢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達標率之時間序列</w:t>
            </w:r>
          </w:p>
        </w:tc>
      </w:tr>
    </w:tbl>
    <w:p>
      <w:pPr>
        <w:spacing w:after="40"/>
      </w:pPr>
    </w:p>
    <w:p>
      <w:pPr>
        <w:spacing w:after="80"/>
        <w:ind w:left="425"/>
      </w:pPr>
      <w:r>
        <w:rPr>
          <w:rFonts w:ascii="Times New Roman" w:hAnsi="Times New Roman" w:eastAsia="新細明體"/>
          <w:b/>
          <w:color w:val="444444"/>
          <w:sz w:val="22"/>
        </w:rPr>
        <w:t>界線說明</w:t>
      </w:r>
      <w:r>
        <w:rPr>
          <w:rFonts w:ascii="Times New Roman" w:hAnsi="Times New Roman" w:eastAsia="新細明體"/>
          <w:b w:val="0"/>
          <w:color w:val="444444"/>
          <w:sz w:val="22"/>
        </w:rPr>
        <w:t>｜上述指標均為計數與比值，其數值本身精確無誤。惟「達標率高」是否等同「動作品質好」，取決於判定門檻是否設定得當——此問題由三級溯源制度與真人樣本驗證處理，不由指標本身回答。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3. 資源產出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資源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產出條件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計算方式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金幣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有效次數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有效次數 × 單次金幣 × 達標率加成 × 連續天數加成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經驗值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有效次數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有效次數 × 固定值，只增不減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加成設有上限（達標率加成 0.8 至 1.2 倍、連續天數加成上限百分之十四）。設定上限之目的為避免刷幣與過度運動——本作品鼓勵規律運動，而非鼓勵超量運動。</w:t>
      </w: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（六）各分頁規格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今日分頁</w:t>
      </w:r>
      <w:r>
        <w:rPr>
          <w:rFonts w:ascii="Times New Roman" w:hAnsi="Times New Roman" w:eastAsia="新細明體"/>
          <w:b w:val="0"/>
          <w:color w:val="000000"/>
          <w:sz w:val="24"/>
        </w:rPr>
        <w:t>｜問候與日期、今日任務卡（任務描述、進度環、連續天數、當日訓練分鐘）、島嶼入口卡、本週目標卡（已訓練天數／目標天數、七日足跡）、主要行動按鈕。首屏僅設一個主要行動按鈕，各卡片之空狀態均指向下一步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訓練分頁</w:t>
      </w:r>
      <w:r>
        <w:rPr>
          <w:rFonts w:ascii="Times New Roman" w:hAnsi="Times New Roman" w:eastAsia="新細明體"/>
          <w:b w:val="0"/>
          <w:color w:val="000000"/>
          <w:sz w:val="24"/>
        </w:rPr>
        <w:t>｜分類選擇或搜尋 → 動作列表 → 動作簡介頁 → 暖身（可開關）→ 取景檢查關卡 → 訓練主畫面 → 兩幕式結算 → 再一次或退出。訓練主畫面含攝影機畫面與分段骨架疊圖、倒數光環、組數資訊、深度量表、即時達標率、控制項；追蹤狀態常駐顯示，使用者隨時可知系統是否正在辨識。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健康分頁</w:t>
      </w:r>
      <w:r>
        <w:rPr>
          <w:rFonts w:ascii="Times New Roman" w:hAnsi="Times New Roman" w:eastAsia="新細明體"/>
          <w:b w:val="0"/>
          <w:color w:val="000000"/>
          <w:sz w:val="24"/>
        </w:rPr>
        <w:t>｜統計卡（本週運動分鐘、累積有效次數、平均達標率、連續天數）、本週與上週對比、每日運動時長、動作品質趨勢、整體達標率、常見錯誤分佈、最近訓練紀錄。</w:t>
      </w:r>
      <w:r>
        <w:rPr>
          <w:rFonts w:ascii="Times New Roman" w:hAnsi="Times New Roman" w:eastAsia="新細明體"/>
          <w:b/>
          <w:color w:val="000000"/>
          <w:sz w:val="24"/>
        </w:rPr>
        <w:t>常見錯誤分佈為本作品特有之指標</w:t>
      </w:r>
      <w:r>
        <w:rPr>
          <w:rFonts w:ascii="Times New Roman" w:hAnsi="Times New Roman" w:eastAsia="新細明體"/>
          <w:b w:val="0"/>
          <w:color w:val="000000"/>
          <w:sz w:val="24"/>
        </w:rPr>
        <w:t>，使用者所見不僅是運動時長，更包含動作品質的變化。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設定分頁</w:t>
      </w:r>
      <w:r>
        <w:rPr>
          <w:rFonts w:ascii="Times New Roman" w:hAnsi="Times New Roman" w:eastAsia="新細明體"/>
          <w:b w:val="0"/>
          <w:color w:val="000000"/>
          <w:sz w:val="24"/>
        </w:rPr>
        <w:t>｜身體數據（影響體型正規化之計算基準）、每日與每週目標、顏色顯示模式、語音與音效、難度、隱私與資料匯出／匯入／清除。各項設定均實際生效。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島嶼分頁</w:t>
      </w:r>
      <w:r>
        <w:rPr>
          <w:rFonts w:ascii="Times New Roman" w:hAnsi="Times New Roman" w:eastAsia="新細明體"/>
          <w:b w:val="0"/>
          <w:color w:val="000000"/>
          <w:sz w:val="24"/>
        </w:rPr>
        <w:t>｜由遊戲端提供，介面規格詳見遊戲端章節。</w:t>
      </w: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（七）兩端整合規格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1. 整合形式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兩端合併為單一網站應用程式交付。遊戲端提供完整專案原始碼，由健身端執行整合。</w:t>
      </w:r>
      <w:r>
        <w:rPr>
          <w:rFonts w:ascii="Times New Roman" w:hAnsi="Times New Roman" w:eastAsia="新細明體"/>
          <w:b/>
          <w:color w:val="000000"/>
          <w:sz w:val="24"/>
        </w:rPr>
        <w:t>整合後為同一份程式，模組間以函式呼叫溝通，不涉及網路請求，故無網路延遲、無連線失敗風險、無伺服器成本。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2. 資源存取介面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遊戲端可取用之介面包含：讀取金幣、讀取等級與經驗值、扣減金幣、監聽數值變動、讀取連續運動天數。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介面中不存在增加金幣之方法。</w:t>
      </w:r>
      <w:r>
        <w:rPr>
          <w:rFonts w:ascii="Times New Roman" w:hAnsi="Times New Roman" w:eastAsia="新細明體"/>
          <w:b w:val="0"/>
          <w:color w:val="000000"/>
          <w:sz w:val="24"/>
        </w:rPr>
        <w:t xml:space="preserve"> 金幣之增加僅能透過訓練結算函式，此為「金幣僅由 AI 驗證產生」在架構層面之實現——非依約定，而是以介面設計使違規成為不可能。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3. 連動資源之分層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資源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來源限制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儲存端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顯示範圍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金幣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僅由健身結算產生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健身端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兩端常駐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經驗值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僅由健身結算產生，且只增不減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健身端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兩端常駐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碎片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遊戲端亦可發放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遊戲端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結算畫面與遊戲內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抽獎券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遊戲端亦可發放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遊戲端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結算畫面與遊戲內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經驗值只增不減之設計價值</w:t>
      </w:r>
      <w:r>
        <w:rPr>
          <w:rFonts w:ascii="Times New Roman" w:hAnsi="Times New Roman" w:eastAsia="新細明體"/>
          <w:b w:val="0"/>
          <w:color w:val="000000"/>
          <w:sz w:val="24"/>
        </w:rPr>
        <w:t>：經驗值僅由運動產生且不可扣除，故最高階獎勵在機制上不可能繞過運動取得。此保證來自設計本身之性質，不需額外防護機制。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4. 隱私設計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原始鏡頭影像不離開使用者裝置，不進入任何資料庫；遊戲端僅接收整理後之結算數值；個人存檔與去識別化之整體分析資料分開管理；資料蒐集採使用者同意原則，並提供完整匯出與刪除。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5. 整合驗收標準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訓練取得金幣後切換至島嶼分頁數值即正確、島嶼消費後健身端同步減少、餘額不足時正確擋下且不發放商品、兩分頁反覆切換後辨識維持穩定、自動化測試全數通過。</w:t>
      </w:r>
    </w:p>
    <w:p>
      <w:pPr>
        <w:spacing w:before="40" w:after="40"/>
      </w:pPr>
    </w:p>
    <w:p>
      <w:pPr>
        <w:keepNext/>
        <w:spacing w:before="120" w:after="160"/>
        <w:pBdr>
          <w:bottom w:val="single" w:sz="8" w:space="2" w:color="000000"/>
        </w:pBdr>
      </w:pPr>
      <w:r>
        <w:rPr>
          <w:rFonts w:ascii="Times New Roman" w:hAnsi="Times New Roman" w:eastAsia="標楷體"/>
          <w:b/>
          <w:color w:val="000000"/>
          <w:sz w:val="36"/>
        </w:rPr>
        <w:t>五、預期結果、用途、影響及效益</w:t>
      </w:r>
    </w:p>
    <w:p>
      <w:pPr>
        <w:spacing w:after="80"/>
        <w:ind w:left="425"/>
      </w:pPr>
      <w:r>
        <w:rPr>
          <w:rFonts w:ascii="Times New Roman" w:hAnsi="Times New Roman" w:eastAsia="新細明體"/>
          <w:b/>
          <w:color w:val="444444"/>
          <w:sz w:val="22"/>
        </w:rPr>
        <w:t>範圍說明</w:t>
      </w:r>
      <w:r>
        <w:rPr>
          <w:rFonts w:ascii="Times New Roman" w:hAnsi="Times New Roman" w:eastAsia="新細明體"/>
          <w:b w:val="0"/>
          <w:color w:val="444444"/>
          <w:sz w:val="22"/>
        </w:rPr>
        <w:t>｜本章所述之整合成果與部分功能仍處開發階段。凡標示「規劃中」或「未來藍圖」者均為尚未完成之項目，其效果須待實作與測試後確認。本章不預先宣稱辨識準確率、習慣養成幅度、醫療效果或健康改善成效。</w:t>
      </w: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（一）預期結果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1. 交付成果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交付項目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內容</w:t>
            </w:r>
          </w:p>
        </w:tc>
        <w:tc>
          <w:tcPr>
            <w:tcW w:type="dxa" w:w="312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狀態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整合系統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單一網站應用程式，開啟瀏覽器即可使用，無須安裝與註冊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開發中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動作判定能力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各動作具完整週期判定、錯誤原因輸出與修正提示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四項已實作，二項規劃中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真人驗證資料集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受試者之標準與指定錯誤樣態樣本，含人工標註與混淆矩陣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規劃中・尚未執行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判定依據溯源紀錄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各門檻標明知識來源等級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已建立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兩端整合規格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模組契約、資源存取介面、驗收標準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已定稿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動作示範素材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各動作之真人示範影片</w:t>
            </w:r>
          </w:p>
        </w:tc>
        <w:tc>
          <w:tcPr>
            <w:tcW w:type="dxa" w:w="312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規劃中・隨真人測試拍攝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2. 驗證指標與解讀界線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評估面向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觀察重點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驗證方式</w:t>
            </w:r>
          </w:p>
        </w:tc>
        <w:tc>
          <w:tcPr>
            <w:tcW w:type="dxa" w:w="234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解讀界線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規則邏輯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正負樣本之判定是否符合規格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固定種子之自動化測試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僅確認規則自洽，不推論真人準確率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體型不變性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不同身高使用者之判定一致性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真人測試（體型差距拉開）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樣本數有限，不作族群推論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鏡頭距離不變性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縮放範圍內之判定一致性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縮放擾動測試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僅涵蓋測試所及之範圍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錯誤樣態辨識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指定錯誤是否被正確攔截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真人測試混淆矩陣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標籤依拍攝指令設定，未經教練獨立標註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系統整合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兩端資料一致性與操作銜接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整合驗收五項</w:t>
            </w:r>
          </w:p>
        </w:tc>
        <w:tc>
          <w:tcPr>
            <w:tcW w:type="dxa" w:w="234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僅確認流程可用，不推論使用成效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（二）用途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居家自主訓練</w:t>
      </w:r>
      <w:r>
        <w:rPr>
          <w:rFonts w:ascii="Times New Roman" w:hAnsi="Times New Roman" w:eastAsia="新細明體"/>
          <w:b w:val="0"/>
          <w:color w:val="000000"/>
          <w:sz w:val="24"/>
        </w:rPr>
        <w:t>｜開啟瀏覽器並對準鏡頭即可開始，無須器材、場地與安裝。此為本作品之主要設計場景。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校園體適能輔助</w:t>
      </w:r>
      <w:r>
        <w:rPr>
          <w:rFonts w:ascii="Times New Roman" w:hAnsi="Times New Roman" w:eastAsia="新細明體"/>
          <w:b w:val="0"/>
          <w:color w:val="000000"/>
          <w:sz w:val="24"/>
        </w:rPr>
        <w:t>｜學生於課後自主練習，教師檢視過程指標。本作品之動作項目與體適能檢測項目部分重疊（伏地挺身、仰臥起坐）。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社區運動推廣</w:t>
      </w:r>
      <w:r>
        <w:rPr>
          <w:rFonts w:ascii="Times New Roman" w:hAnsi="Times New Roman" w:eastAsia="新細明體"/>
          <w:b w:val="0"/>
          <w:color w:val="000000"/>
          <w:sz w:val="24"/>
        </w:rPr>
        <w:t>｜因零安裝且無伺服器成本，適合於社區據點單機佈建。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健身入門引導</w:t>
      </w:r>
      <w:r>
        <w:rPr>
          <w:rFonts w:ascii="Times New Roman" w:hAnsi="Times New Roman" w:eastAsia="新細明體"/>
          <w:b w:val="0"/>
          <w:color w:val="000000"/>
          <w:sz w:val="24"/>
        </w:rPr>
        <w:t>｜作為新手於接受教練指導前之自主練習工具，補足教練不在場時之回饋空缺。</w:t>
      </w:r>
    </w:p>
    <w:p>
      <w:pPr>
        <w:spacing w:after="80"/>
        <w:ind w:left="425"/>
      </w:pPr>
      <w:r>
        <w:rPr>
          <w:rFonts w:ascii="Times New Roman" w:hAnsi="Times New Roman" w:eastAsia="新細明體"/>
          <w:b/>
          <w:color w:val="444444"/>
          <w:sz w:val="22"/>
        </w:rPr>
        <w:t>不適用範圍</w:t>
      </w:r>
      <w:r>
        <w:rPr>
          <w:rFonts w:ascii="Times New Roman" w:hAnsi="Times New Roman" w:eastAsia="新細明體"/>
          <w:b w:val="0"/>
          <w:color w:val="444444"/>
          <w:sz w:val="22"/>
        </w:rPr>
        <w:t>｜需器材或負重之訓練動作、需判讀深度或旋轉之複合動作、復健與術後訓練（須由醫療專業人員指導）、需精確評分或競賽判定之場合。</w:t>
      </w: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（三）影響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1. 對個人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門檻</w:t>
            </w:r>
          </w:p>
        </w:tc>
        <w:tc>
          <w:tcPr>
            <w:tcW w:type="dxa" w:w="4680"/>
            <w:shd w:val="clear" w:fill="D9D9D9"/>
          </w:tcPr>
          <w:p>
            <w:pPr>
              <w:spacing w:after="40"/>
            </w:pPr>
            <w:r/>
            <w:r>
              <w:rPr>
                <w:rFonts w:ascii="Times New Roman" w:hAnsi="Times New Roman" w:eastAsia="標楷體"/>
                <w:b/>
                <w:color w:val="000000"/>
                <w:sz w:val="22"/>
              </w:rPr>
              <w:t>本作品之對應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開始運動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零安裝、零器材、零註冊即可試用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持續運動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即時回饋使進步可感知，島嶼建設使累積可見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動作正確性</w:t>
            </w:r>
          </w:p>
        </w:tc>
        <w:tc>
          <w:tcPr>
            <w:tcW w:type="dxa" w:w="4680"/>
          </w:tcPr>
          <w:p>
            <w:pPr>
              <w:spacing w:after="40"/>
            </w:pPr>
            <w:r/>
            <w:r>
              <w:rPr>
                <w:rFonts w:ascii="Times New Roman" w:hAnsi="Times New Roman" w:eastAsia="新細明體"/>
                <w:b w:val="0"/>
                <w:color w:val="000000"/>
                <w:sz w:val="22"/>
              </w:rPr>
              <w:t>錯誤於發生當下被指出，而非長期錯誤而不自知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2. 對運動指導可近性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一對一教練指導具成本門檻，並非所有使用者皆能負擔。本作品於教練不在場時提供一層具體且可解釋之動作回饋，服務對象為「無教練資源但希望正確訓練」之族群。</w:t>
      </w:r>
    </w:p>
    <w:p>
      <w:pPr>
        <w:spacing w:after="80"/>
        <w:ind w:left="425"/>
      </w:pPr>
      <w:r>
        <w:rPr>
          <w:rFonts w:ascii="Times New Roman" w:hAnsi="Times New Roman" w:eastAsia="新細明體"/>
          <w:b/>
          <w:color w:val="444444"/>
          <w:sz w:val="22"/>
        </w:rPr>
        <w:t>界線說明</w:t>
      </w:r>
      <w:r>
        <w:rPr>
          <w:rFonts w:ascii="Times New Roman" w:hAnsi="Times New Roman" w:eastAsia="新細明體"/>
          <w:b w:val="0"/>
          <w:color w:val="444444"/>
          <w:sz w:val="22"/>
        </w:rPr>
        <w:t>｜本作品不取代教練，其回饋範圍限於系統已建立標準卡之動作與已定義之錯誤樣態。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3. 對運動參與之對應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依教育部體育署 113 年運動現況調查，我國規律運動人口比例為 35.3%（定義為每週三次以上、每次三十分鐘以上且運動時會喘會流汗）。未運動者之主要原因依序為「因工作沒有時間」（24.0%）、「懶得運動」（22.2%）與「工作太累」（21.1%）；另在家運動占最常運動地點之 18.3%。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前三項原因中，「沒有時間」與「工作太累」合計 45.1%，均與必須外出、必須到場、必須另行安排時段高度相關。本作品之產品形態（零安裝、居家、短時段、無器材）正對應於此類障礙。</w:t>
      </w:r>
    </w:p>
    <w:p>
      <w:pPr>
        <w:spacing w:after="80"/>
        <w:ind w:left="425"/>
      </w:pPr>
      <w:r>
        <w:rPr>
          <w:rFonts w:ascii="Times New Roman" w:hAnsi="Times New Roman" w:eastAsia="新細明體"/>
          <w:b/>
          <w:color w:val="444444"/>
          <w:sz w:val="22"/>
        </w:rPr>
        <w:t>界線說明</w:t>
      </w:r>
      <w:r>
        <w:rPr>
          <w:rFonts w:ascii="Times New Roman" w:hAnsi="Times New Roman" w:eastAsia="新細明體"/>
          <w:b w:val="0"/>
          <w:color w:val="444444"/>
          <w:sz w:val="22"/>
        </w:rPr>
        <w:t>｜規律運動人口比例之年變動幅度以零點數個百分點計，單一作品之貢獻無從自母體指標中辨識。本作品主張者為產品形態與調查所示障礙之對應關係，非對國民運動率之可衡量影響。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4. 對運動習慣之作用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本作品之機制設計對應行為改變之數項環節：降低啟動摩擦（零安裝）、提供回饋（即時判定）、綁定品質（僅有效次數換取獎勵）、呈現累積（島嶼建設與連續天數）、設定近程目標（每日任務與週目標）。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遊戲化對身體活動之促進效果已有隨機對照試驗之統合分析支持。Mazeas 等人（2022）納入 16 篇隨機對照試驗、共 2,407 名參與者，結果顯示遊戲化介入對身體活動行為具小至中等之效果量（Hedges g = 0.42, 95% CI 0.14–0.69）。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本作品與該類研究之差異在於獎勵依據：多數研究以步數或活動時間為獎勵基準，本作品則以通過品質判定之動作次數為基準，使獎勵不僅回應「是否活動」，亦回應「動作是否正確」。</w:t>
      </w:r>
    </w:p>
    <w:p>
      <w:pPr>
        <w:spacing w:after="80"/>
        <w:ind w:left="425"/>
      </w:pPr>
      <w:r>
        <w:rPr>
          <w:rFonts w:ascii="Times New Roman" w:hAnsi="Times New Roman" w:eastAsia="新細明體"/>
          <w:b/>
          <w:color w:val="444444"/>
          <w:sz w:val="22"/>
        </w:rPr>
        <w:t>界線說明</w:t>
      </w:r>
      <w:r>
        <w:rPr>
          <w:rFonts w:ascii="Times New Roman" w:hAnsi="Times New Roman" w:eastAsia="新細明體"/>
          <w:b w:val="0"/>
          <w:color w:val="444444"/>
          <w:sz w:val="22"/>
        </w:rPr>
        <w:t>｜上開文獻之受試族群、介入形式與獎勵機制與本作品未盡相同，其效果量不得直接套用於本作品。本作品</w:t>
      </w:r>
      <w:r>
        <w:rPr>
          <w:rFonts w:ascii="Times New Roman" w:hAnsi="Times New Roman" w:eastAsia="新細明體"/>
          <w:b/>
          <w:color w:val="444444"/>
          <w:sz w:val="22"/>
        </w:rPr>
        <w:t>不宣稱可養成運動習慣</w:t>
      </w:r>
      <w:r>
        <w:rPr>
          <w:rFonts w:ascii="Times New Roman" w:hAnsi="Times New Roman" w:eastAsia="新細明體"/>
          <w:b w:val="0"/>
          <w:color w:val="444444"/>
          <w:sz w:val="22"/>
        </w:rPr>
        <w:t>；期程內將以「使用者接受提示後次一動作之改善幅度」作為可觀測之代理指標，該指標僅需比較同一使用者之前後表現。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5. 對應永續發展目標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本作品呼應聯合國永續發展目標 SDG 3「良好健康與福祉」，具體對應於透過預防促進健康福祉之方向：提供可長期追蹤之運動過程指標（訓練頻率、累計時間、達標率、常見錯誤趨勢、連續天數），使使用者得以觀察並調整自身之運動行為。世界衛生組織建議成人每週應累積 150 至 300 分鐘中等強度有氧活動，並每週至少兩天從事肌力訓練（World Health Organization, 2020）。</w:t>
      </w:r>
    </w:p>
    <w:p>
      <w:pPr>
        <w:spacing w:after="80"/>
        <w:ind w:left="425"/>
      </w:pPr>
      <w:r>
        <w:rPr>
          <w:rFonts w:ascii="Times New Roman" w:hAnsi="Times New Roman" w:eastAsia="新細明體"/>
          <w:b/>
          <w:color w:val="444444"/>
          <w:sz w:val="22"/>
        </w:rPr>
        <w:t>界線說明</w:t>
      </w:r>
      <w:r>
        <w:rPr>
          <w:rFonts w:ascii="Times New Roman" w:hAnsi="Times New Roman" w:eastAsia="新細明體"/>
          <w:b w:val="0"/>
          <w:color w:val="444444"/>
          <w:sz w:val="22"/>
        </w:rPr>
        <w:t>｜此對應屬設計目標，不代表已產生公共衛生、臨床或醫療成果。本作品所提供者為過程指標，非健康結果指標。</w:t>
      </w:r>
    </w:p>
    <w:p>
      <w:pPr>
        <w:keepNext/>
        <w:spacing w:before="280" w:after="120"/>
      </w:pPr>
      <w:r>
        <w:rPr>
          <w:rFonts w:ascii="Times New Roman" w:hAnsi="Times New Roman" w:eastAsia="標楷體"/>
          <w:b/>
          <w:color w:val="000000"/>
          <w:sz w:val="26"/>
        </w:rPr>
        <w:t>6. 技術與方法論之示範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本作品於兩項面向提出同類作品少見之作法。其一為可解釋之規則式判定：在深度學習成為預設選項之情況下，選擇規則式架構以換取指出錯誤所在之能力。其二為判定依據之三級溯源制度：每項技術參數均標明知識來源等級，使技術主張得以追溯與檢驗。</w:t>
      </w: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（四）效益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動作品質效益</w:t>
      </w:r>
      <w:r>
        <w:rPr>
          <w:rFonts w:ascii="Times New Roman" w:hAnsi="Times New Roman" w:eastAsia="新細明體"/>
          <w:b w:val="0"/>
          <w:color w:val="000000"/>
          <w:sz w:val="24"/>
        </w:rPr>
        <w:t>｜使用者於訓練當下即可得知動作錯誤所在與修正方式，而非事後僅取得次數統計。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參與動機效益</w:t>
      </w:r>
      <w:r>
        <w:rPr>
          <w:rFonts w:ascii="Times New Roman" w:hAnsi="Times New Roman" w:eastAsia="新細明體"/>
          <w:b w:val="0"/>
          <w:color w:val="000000"/>
          <w:sz w:val="24"/>
        </w:rPr>
        <w:t>｜島嶼建設將抽象之訓練累積轉為可見成果；連續天數與週目標提供近程與中程目標。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可近性效益</w:t>
      </w:r>
      <w:r>
        <w:rPr>
          <w:rFonts w:ascii="Times New Roman" w:hAnsi="Times New Roman" w:eastAsia="新細明體"/>
          <w:b w:val="0"/>
          <w:color w:val="000000"/>
          <w:sz w:val="24"/>
        </w:rPr>
        <w:t>｜僅需一台具鏡頭之裝置與瀏覽器，無須器材、場地、安裝與交通。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隱私效益</w:t>
      </w:r>
      <w:r>
        <w:rPr>
          <w:rFonts w:ascii="Times New Roman" w:hAnsi="Times New Roman" w:eastAsia="新細明體"/>
          <w:b w:val="0"/>
          <w:color w:val="000000"/>
          <w:sz w:val="24"/>
        </w:rPr>
        <w:t>｜影像全程不離開使用者裝置，不上傳亦不儲存，解除使用鏡頭之隱私疑慮。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無障礙效益</w:t>
      </w:r>
      <w:r>
        <w:rPr>
          <w:rFonts w:ascii="Times New Roman" w:hAnsi="Times New Roman" w:eastAsia="新細明體"/>
          <w:b w:val="0"/>
          <w:color w:val="000000"/>
          <w:sz w:val="24"/>
        </w:rPr>
        <w:t>｜提供高對比與單色兩種替代顯示模式，使核心功能不因使用者之色覺條件而失效。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成本效益</w:t>
      </w:r>
      <w:r>
        <w:rPr>
          <w:rFonts w:ascii="Times New Roman" w:hAnsi="Times New Roman" w:eastAsia="新細明體"/>
          <w:b w:val="0"/>
          <w:color w:val="000000"/>
          <w:sz w:val="24"/>
        </w:rPr>
        <w:t>｜使用者端硬體、安裝、伺服器與技術授權成本均為零；所採技術（MediaPipe、Three.js、Chart.js）皆為開源。</w:t>
      </w:r>
      <w:r>
        <w:rPr>
          <w:rFonts w:ascii="Times New Roman" w:hAnsi="Times New Roman" w:eastAsia="新細明體"/>
          <w:b/>
          <w:color w:val="000000"/>
          <w:sz w:val="24"/>
        </w:rPr>
        <w:t>全案不依賴任何付費服務</w:t>
      </w:r>
      <w:r>
        <w:rPr>
          <w:rFonts w:ascii="Times New Roman" w:hAnsi="Times New Roman" w:eastAsia="新細明體"/>
          <w:b w:val="0"/>
          <w:color w:val="000000"/>
          <w:sz w:val="24"/>
        </w:rPr>
        <w:t>，作品於競賽結束後仍可持續維護與散布，並具備於校園及社區佈建之可行性。</w:t>
      </w:r>
    </w:p>
    <w:p>
      <w:pPr>
        <w:jc w:val="both"/>
      </w:pPr>
      <w:r>
        <w:rPr>
          <w:rFonts w:ascii="Times New Roman" w:hAnsi="Times New Roman" w:eastAsia="新細明體"/>
          <w:b/>
          <w:color w:val="000000"/>
          <w:sz w:val="24"/>
        </w:rPr>
        <w:t>教學應用效益</w:t>
      </w:r>
      <w:r>
        <w:rPr>
          <w:rFonts w:ascii="Times New Roman" w:hAnsi="Times New Roman" w:eastAsia="新細明體"/>
          <w:b w:val="0"/>
          <w:color w:val="000000"/>
          <w:sz w:val="24"/>
        </w:rPr>
        <w:t>｜判定規則可完整說明，且不涉及學生影像之保存，適合教學場域使用。</w:t>
      </w:r>
    </w:p>
    <w:p>
      <w:pPr>
        <w:spacing w:after="80"/>
        <w:ind w:left="425"/>
      </w:pPr>
      <w:r>
        <w:rPr>
          <w:rFonts w:ascii="Times New Roman" w:hAnsi="Times New Roman" w:eastAsia="新細明體"/>
          <w:b/>
          <w:color w:val="444444"/>
          <w:sz w:val="22"/>
        </w:rPr>
        <w:t>效益判定原則</w:t>
      </w:r>
      <w:r>
        <w:rPr>
          <w:rFonts w:ascii="Times New Roman" w:hAnsi="Times New Roman" w:eastAsia="新細明體"/>
          <w:b w:val="0"/>
          <w:color w:val="444444"/>
          <w:sz w:val="22"/>
        </w:rPr>
        <w:t>｜本章所列未完成項目均為規劃內容，未新增任何量化成效、使用者規模或營運指標。各項效益須於功能完成並接受可重現測試後，方依實際資料陳述。</w:t>
      </w:r>
    </w:p>
    <w:p>
      <w:pPr>
        <w:spacing w:before="40" w:after="40"/>
      </w:pPr>
    </w:p>
    <w:p>
      <w:pPr>
        <w:keepNext/>
        <w:spacing w:before="280" w:after="120"/>
        <w:pBdr>
          <w:bottom w:val="single" w:sz="4" w:space="2" w:color="000000"/>
        </w:pBdr>
      </w:pPr>
      <w:r>
        <w:rPr>
          <w:rFonts w:ascii="Times New Roman" w:hAnsi="Times New Roman" w:eastAsia="標楷體"/>
          <w:b/>
          <w:color w:val="000000"/>
          <w:sz w:val="30"/>
        </w:rPr>
        <w:t>本章引用文獻（APA 第 7 版，請併入參考文獻章節）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Bazarevsky, V., Grishchenko, I., Raveendran, K., Zhu, T., Zhang, F., &amp; Grundmann, M. (2020). *BlazePose: On-device real-time body pose tracking* (arXiv:2006.10204). arXiv. https://doi.org/10.48550/arXiv.2006.10204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Casiez, G., Roussel, N., &amp; Vogel, D. (2012). 1 € filter: A simple speed-based low-pass filter for noisy input in interactive systems. In *Proceedings of the SIGCHI Conference on Human Factors in Computing Systems* (pp. 2527–2530). https://doi.org/10.1145/2207676.2208639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Conroy, D. E., Yang, C.-H., &amp; Maher, J. P. (2014). Behavior change techniques in top-ranked mobile apps for physical activity. *American Journal of Preventive Medicine, 46*(6), 649–652. https://doi.org/10.1016/j.amepre.2014.01.010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Escamilla, R. F. (2001). Knee biomechanics of the dynamic squat exercise. *Medicine &amp; Science in Sports &amp; Exercise, 33*(1), 127–141. https://doi.org/10.1097/00005768-200101000-00020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Jaiswal, A., Chauhan, G., &amp; Srivastava, N. (2023). Using learnable physics for real-time exercise form recommendations. In *Proceedings of the 17th ACM Conference on Recommender Systems* (pp. 688–695). https://doi.org/10.1145/3604915.3608808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Locke, E. A., &amp; Latham, G. P. (2002). Building a practically useful theory of goal setting and task motivation: A 35-year odyssey. *American Psychologist, 57*(9), 705–717. https://doi.org/10.1037/0003-066X.57.9.705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Lugaresi, C., Tang, J., Nash, H., McClanahan, C., Uboweja, E., Hays, M., Zhang, F., Chang, C.-L., Yong, M. G., Lee, J., Chang, W.-T., Hua, W., Georg, M., &amp; Grundmann, M. (2019). *MediaPipe: A framework for building perception pipelines* (arXiv:1906.08172). arXiv. https://doi.org/10.48550/arXiv.1906.08172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Mazeas, A., Duclos, M., Pereira, B., &amp; Chalabaev, A. (2022). Evaluating the effectiveness of gamification on physical activity: Systematic review and meta-analysis of randomized controlled trials. *Journal of Medical Internet Research, 24*(1), Article e26779. https://doi.org/10.2196/26779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Okabe, M., &amp; Ito, K. (2008). *Color universal design (CUD): How to make figures and presentations that are friendly to colorblind people*. Jikei Medical School / University of Tokyo.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Ryan, R. M., &amp; Deci, E. L. (2000). Self-determination theory and the facilitation of intrinsic motivation, social development, and well-being. *American Psychologist, 55*(1), 68–78. https://doi.org/10.1037/0003-066X.55.1.68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Schoenfeld, B. J. (2010). Squatting kinematics and kinetics and their application to exercise performance. *Journal of Strength and Conditioning Research, 24*(12), 3497–3506. https://doi.org/10.1519/JSC.0b013e3181bac2d7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Wong, B. (2011). Points of view: Color blindness. *Nature Methods, 8*(6), 441. https://doi.org/10.1038/nmeth.1618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World Health Organization. (2020). *WHO guidelines on physical activity and sedentary behaviour*. https://www.who.int/publications/i/item/9789240015128</w:t>
      </w:r>
    </w:p>
    <w:p>
      <w:pPr>
        <w:jc w:val="both"/>
      </w:pPr>
      <w:r>
        <w:rPr>
          <w:rFonts w:ascii="Times New Roman" w:hAnsi="Times New Roman" w:eastAsia="新細明體"/>
          <w:b w:val="0"/>
          <w:color w:val="000000"/>
          <w:sz w:val="24"/>
        </w:rPr>
        <w:t>教育部體育署（2024）。《中華民國 113 年運動現況調查結案報告書》。世新大學執行。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