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153862"/>
            <wp:docPr id="1" name="Picture 1"/>
            <wp:cNvGraphicFramePr>
              <a:graphicFrameLocks noChangeAspect="1"/>
            </wp:cNvGraphicFramePr>
            <a:graphic>
              <a:graphicData uri="http://schemas.openxmlformats.org/drawingml/2006/picture">
                <pic:pic>
                  <pic:nvPicPr>
                    <pic:cNvPr id="0" name="fig1_arch.png"/>
                    <pic:cNvPicPr/>
                  </pic:nvPicPr>
                  <pic:blipFill>
                    <a:blip r:embed="rId9"/>
                    <a:stretch>
                      <a:fillRect/>
                    </a:stretch>
                  </pic:blipFill>
                  <pic:spPr>
                    <a:xfrm>
                      <a:off x="0" y="0"/>
                      <a:ext cx="5580000" cy="4153862"/>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3-1　系統架構：裝置端 AI 感知 ＋ 可解釋規則判定</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BF" w14:textId="77777777" w:rsidR="00D44DCB" w:rsidRDefault="00000000">
      <w:pPr>
        <w:spacing w:after="120" w:line="360" w:lineRule="auto"/>
        <w:jc w:val="center"/>
      </w:pPr>
      <w:r>
        <w:drawing>
          <wp:inline xmlns:a="http://schemas.openxmlformats.org/drawingml/2006/main" xmlns:pic="http://schemas.openxmlformats.org/drawingml/2006/picture">
            <wp:extent cx="5580000" cy="4534516"/>
            <wp:docPr id="2" name="Picture 2"/>
            <wp:cNvGraphicFramePr>
              <a:graphicFrameLocks noChangeAspect="1"/>
            </wp:cNvGraphicFramePr>
            <a:graphic>
              <a:graphicData uri="http://schemas.openxmlformats.org/drawingml/2006/picture">
                <pic:pic>
                  <pic:nvPicPr>
                    <pic:cNvPr id="0" name="fig2_flow.png"/>
                    <pic:cNvPicPr/>
                  </pic:nvPicPr>
                  <pic:blipFill>
                    <a:blip r:embed="rId10"/>
                    <a:stretch>
                      <a:fillRect/>
                    </a:stretch>
                  </pic:blipFill>
                  <pic:spPr>
                    <a:xfrm>
                      <a:off x="0" y="0"/>
                      <a:ext cx="5580000" cy="4534516"/>
                    </a:xfrm>
                    <a:prstGeom prst="rect"/>
                  </pic:spPr>
                </pic:pic>
              </a:graphicData>
            </a:graphic>
          </wp:inline>
        </w:drawing>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圖 3-2　資料流：從鏡頭影像到訓練結算的八個處理階段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領域通行之教練慣例；未查得規範該項幾何門檻之成文標準</w:t>
            </w:r>
          </w:p>
        </w:tc>
        <w:tc>
          <w:tcPr>
            <w:tcW w:w="3600" w:type="dxa"/>
            <w:shd w:val="clear" w:color="auto" w:fill="D9E2F3"/>
            <w:tcMar>
              <w:top w:w="40" w:type="dxa"/>
              <w:left w:w="80" w:type="dxa"/>
              <w:bottom w:w="40" w:type="dxa"/>
              <w:right w:w="80" w:type="dxa"/>
            </w:tcMar>
          </w:tcPr>
          <w:p>
            <w:r>
              <w:t>標明為慣例並敘明查證範圍，不以文獻形式引用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詳下節校準說明）。Escamilla（2001）就動態深蹲之膝關節生物力學指出，對膝關節健康之運動者建議採平行蹲而非深蹲，因更大屈膝角度下半月板與交叉／側副韌帶之受傷風險可能較高；Schoenfeld（2010）亦以 partial／parallel／full 之深度分類比較各深度的力學負荷與肌肉活化</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度（上臂與地面平行），為體適能檢測之通行判準（FitnessGram® 90° push-up、President's Challenge right angle push-up、ACSM／YMCA 肌耐力檢測）</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膝抬至髖高（通行教學描述為大腿與地面平行）；此描述廣見於教練與體適能教學材料，惟未查得將其定為檢測標準之正式文件</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手過肩、腳距超過肩寬。通行教學描述多要求雙手於頭頂相碰，本系統門檻設為手腕高於肩，較通行描述寬鬆，係為吸收低角度鏡頭之視角畸變（校準理由同深蹲，詳下節）</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軀幹前傾阻擋</w:t>
            </w:r>
          </w:p>
        </w:tc>
        <w:tc>
          <w:tcPr>
            <w:tcW w:w="1600" w:type="dxa"/>
            <w:shd w:val="clear" w:color="auto" w:fill="D9E2F3"/>
            <w:tcMar>
              <w:top w:w="40" w:type="dxa"/>
              <w:left w:w="80" w:type="dxa"/>
              <w:bottom w:w="40" w:type="dxa"/>
              <w:right w:w="80" w:type="dxa"/>
            </w:tcMar>
          </w:tcPr>
          <w:p>
            <w:r>
              <w:t>用於區分自然前傾與彎腰代償之工程門檻，其取值係由實測校準而得，非引自任何運動標準</w:t>
            </w:r>
          </w:p>
        </w:tc>
        <w:tc>
          <w:tcPr>
            <w:tcW w:w="3600" w:type="dxa"/>
            <w:shd w:val="clear" w:color="auto" w:fill="D9E2F3"/>
            <w:tcMar>
              <w:top w:w="40" w:type="dxa"/>
              <w:left w:w="80" w:type="dxa"/>
              <w:bottom w:w="40" w:type="dxa"/>
              <w:right w:w="80" w:type="dxa"/>
            </w:tcMar>
          </w:tcPr>
          <w:p>
            <w:r>
              <w:t>III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此類校準值屬工程判斷，其適切性須以真人樣本驗證後方能確認；在驗證完成前，本作品不宣稱該門檻已達最適設定。</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本作品建立三階段驗證架構，各階段之外部性逐級提高。</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三階段驗證架構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BB" w14:textId="77777777" w:rsidR="00D44DCB" w:rsidRDefault="00000000">
      <w:pPr>
        <w:pStyle w:val="2"/>
        <w:spacing w:before="240" w:after="160" w:line="360" w:lineRule="auto"/>
      </w:pPr>
      <w:r>
        <w:rPr>
          <w:rFonts w:ascii="標楷體" w:eastAsia="標楷體" w:hAnsi="標楷體" w:cs="標楷體"/>
          <w:b/>
          <w:bCs/>
        </w:rPr>
        <w:t>3. 階段三：真人樣本驗證（規劃中）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今日任務 → 一鍵進入訓練 → 即時判定與矯正 → 結算（僅有效次數換得資源）　↑                                              ↓　下一個目標 ← 島嶼建設消費 ← 獎勵轉換演出 ←──────────┘</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驗證產生」在架構層面之實現——非依約定，而是以介面設計使違規成為不可能。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4"/>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jc w:val="both"/>
      </w:pPr>
      <w:r>
        <w:rPr>
          <w:rFonts w:ascii="新細明體" w:eastAsia="新細明體" w:hAnsi="新細明體" w:cs="新細明體"/>
          <w:b/>
          <w:bCs/>
          <w:sz w:val="24"/>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24"/>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numPr>
          <w:ilvl w:val="0"/>
          <w:numId w:val="1"/>
        </w:numPr>
        <w:spacing w:after="80" w:line="360" w:lineRule="auto"/>
        <w:jc w:val="both"/>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