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CKM Stage Transition, Not Events: Early GLP-1 Therapy in Stages 1-2 for Primary Care Prevention</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w:t>
            </w:r>
            <w:r>
              <w:rPr>
                <w:rFonts w:ascii="Arial" w:hAnsi="Arial" w:cs="Arial"/>
                <w:sz w:val="20"/>
              </w:rPr>
              <w:t xml:space="preserve"> Using NIH All of Us data, we will estimate whether initiating a GLP-1 receptor agonist (GLP-1 RA) is associated with movement to a lower cardiovascular-kidney-metabolic (CKM) stage, or slower progression, in adults at CKM stage 1-2: stage transition, an endpoint no pivotal GLP-1 RA trial measured.</w:t>
            </w:r>
          </w:p>
          <w:p>
            <w:pPr>
              <w:spacing w:before="20" w:after="20"/>
              <w:rPr>
                <w:rFonts w:ascii="Arial" w:hAnsi="Arial" w:cs="Arial"/>
                <w:sz w:val="20"/>
              </w:rPr>
            </w:pPr>
            <w:r>
              <w:rPr>
                <w:rFonts w:ascii="Arial" w:hAnsi="Arial" w:cs="Arial"/>
                <w:b/>
                <w:sz w:val="20"/>
              </w:rPr>
              <w:t xml:space="preserve">b)</w:t>
            </w:r>
            <w:r>
              <w:rPr>
                <w:rFonts w:ascii="Arial" w:hAnsi="Arial" w:cs="Arial"/>
                <w:sz w:val="20"/>
              </w:rPr>
              <w:t xml:space="preserve"> The 2026 AHA/ACC/ADA/ASN guideline makes preventing progression and promoting regression the goal of CKM care, yet SELECT, FLOW and SUMMIT enrolled stage 3-4 patients counting events; ongoing DASH-CKMH targets sex-based heterogeneity. Early stages in primary care remain unstudied. Since May and July 2026, Medicaid's BALANCE Model and Medicare's GLP-1 Bridge have expanded access for mostly stage 1-2 adults, scaling prescribing ahead of evidence.</w:t>
            </w:r>
          </w:p>
          <w:p>
            <w:pPr>
              <w:spacing w:before="20" w:after="20"/>
              <w:rPr>
                <w:rFonts w:ascii="Arial" w:hAnsi="Arial" w:cs="Arial"/>
                <w:sz w:val="20"/>
              </w:rPr>
            </w:pPr>
            <w:r>
              <w:rPr>
                <w:rFonts w:ascii="Arial" w:hAnsi="Arial" w:cs="Arial"/>
                <w:b/>
                <w:sz w:val="20"/>
              </w:rPr>
              <w:t xml:space="preserve">c)</w:t>
            </w:r>
            <w:r>
              <w:rPr>
                <w:rFonts w:ascii="Arial" w:hAnsi="Arial" w:cs="Arial"/>
                <w:sz w:val="20"/>
              </w:rPr>
              <w:t xml:space="preserve"> (1) Extend cross-sectional CKM staging into a serial, time-updated stage variable and count initiators; (2) estimate GLP-1 RA initiation's association with stage progression and regression; (3) test pre-specified modification by race/ethnicity and insurance.</w:t>
            </w:r>
          </w:p>
          <w:p>
            <w:pPr>
              <w:spacing w:before="20" w:after="20"/>
              <w:rPr>
                <w:rFonts w:ascii="Arial" w:hAnsi="Arial" w:cs="Arial"/>
                <w:sz w:val="20"/>
              </w:rPr>
            </w:pPr>
            <w:r>
              <w:rPr>
                <w:rFonts w:ascii="Arial" w:hAnsi="Arial" w:cs="Arial"/>
                <w:b/>
                <w:sz w:val="20"/>
              </w:rPr>
              <w:t xml:space="preserve">d)</w:t>
            </w:r>
            <w:r>
              <w:rPr>
                <w:rFonts w:ascii="Arial" w:hAnsi="Arial" w:cs="Arial"/>
                <w:sz w:val="20"/>
              </w:rPr>
              <w:t xml:space="preserve"> Eligible: adults staged CKM 1-2 with baseline labs, no prior-year GLP-1 RA. Strategies: GLP-1 RA (tirzepatide included) versus DPP-4 inhibitor (no MACE benefit) in type 2 diabetes, otherwise versus non-incretin anti-obesity medication; a secondary comparator adds sulfonylureas, bracketing weight-gain bias. Time zero: first fill; 90-day grace period, clone-censoring and censoring weights remove immortal time; propensity-score overlap weighting approximates randomized assignment, SGLT2 inhibitors time-varying. Re-staged six-monthly; progression is primary, regression a lower stage at two consecutive assessments on reversible components; stage 3 by PREVENT risk; death competes (multistate model). Observational intention-to-treat; per-protocol censoring 60-day gaps; E-values bound unmeasured confounding.</w:t>
            </w:r>
          </w:p>
          <w:p>
            <w:pPr>
              <w:spacing w:before="20" w:after="20"/>
              <w:rPr>
                <w:rFonts w:ascii="Arial" w:hAnsi="Arial" w:cs="Arial"/>
                <w:sz w:val="20"/>
              </w:rPr>
            </w:pPr>
            <w:r>
              <w:rPr>
                <w:rFonts w:ascii="Arial" w:hAnsi="Arial" w:cs="Arial"/>
                <w:b/>
                <w:sz w:val="20"/>
              </w:rPr>
              <w:t xml:space="preserve">e)</w:t>
            </w:r>
            <w:r>
              <w:rPr>
                <w:rFonts w:ascii="Arial" w:hAnsi="Arial" w:cs="Arial"/>
                <w:sz w:val="20"/>
              </w:rPr>
              <w:t xml:space="preserve"> Two-thirds of staged All of Us participants fall at stages 1-2; from 400,000+ participants with linked records we draw initiators and comparators. We anticipate several thousand stage 2 and several hundred stage 1 initiators; stage 1 pools with stage 2 below 500. Records extend to about 2023, so we analyze earlier initiators; transitions accrue years before events.</w:t>
            </w:r>
          </w:p>
          <w:p>
            <w:pPr>
              <w:spacing w:before="20" w:after="20"/>
              <w:rPr>
                <w:rFonts w:ascii="Arial" w:hAnsi="Arial" w:cs="Arial"/>
                <w:sz w:val="20"/>
              </w:rPr>
            </w:pPr>
            <w:r>
              <w:rPr>
                <w:rFonts w:ascii="Arial" w:hAnsi="Arial" w:cs="Arial"/>
                <w:b/>
                <w:sz w:val="20"/>
              </w:rPr>
              <w:t xml:space="preserve">f)</w:t>
            </w:r>
            <w:r>
              <w:rPr>
                <w:rFonts w:ascii="Arial" w:hAnsi="Arial" w:cs="Arial"/>
                <w:sz w:val="20"/>
              </w:rPr>
              <w:t xml:space="preserve"> Family physicians gain stage-specific progression and regression rates. An association robust to E-values would justify a randomized trial of earlier initiation; a robust null would argue against earlier use ahead of trial evidence, prioritizing stages 3-4. Our cohort includes the Black, Hispanic and lower-income adults carrying the heaviest cardiorenal burden, whom trials under-enroll.</w:t>
            </w:r>
          </w:p>
          <w:p>
            <w:pPr>
              <w:spacing w:before="20" w:after="20"/>
              <w:rPr>
                <w:rFonts w:ascii="Arial" w:hAnsi="Arial" w:cs="Arial"/>
                <w:sz w:val="20"/>
              </w:rPr>
            </w:pPr>
            <w:r>
              <w:rPr>
                <w:rFonts w:ascii="Arial" w:hAnsi="Arial" w:cs="Arial"/>
                <w:b/>
                <w:sz w:val="20"/>
              </w:rPr>
              <w:t xml:space="preserve">g)</w:t>
            </w:r>
            <w:r>
              <w:rPr>
                <w:rFonts w:ascii="Arial" w:hAnsi="Arial" w:cs="Arial"/>
                <w:sz w:val="20"/>
              </w:rPr>
              <w:t xml:space="preserve"> Audiences: family physicians and cardiorenal researchers. Abstracts at AAFP FMX and AHA Sessions (thousands of clinicians each); a practice brief; a one-page stage-transition chart; staging code released to thousands of All of Us investigators.</w:t>
            </w:r>
          </w:p>
          <w:p>
            <w:pPr>
              <w:spacing w:before="20" w:after="20"/>
              <w:rPr>
                <w:rFonts w:ascii="Arial" w:hAnsi="Arial" w:cs="Arial"/>
                <w:sz w:val="20"/>
              </w:rPr>
            </w:pPr>
            <w:r>
              <w:rPr>
                <w:rFonts w:ascii="Arial" w:hAnsi="Arial" w:cs="Arial"/>
                <w:b/>
                <w:sz w:val="20"/>
              </w:rPr>
              <w:t xml:space="preserve">h)</w:t>
            </w:r>
            <w:r>
              <w:rPr>
                <w:rFonts w:ascii="Arial" w:hAnsi="Arial" w:cs="Arial"/>
                <w:sz w:val="20"/>
              </w:rPr>
              <w:t xml:space="preserve"> Dr. Yong Eun, the board-certified primary care internist who sees these stage 1-2 patients at NYC H+H/Harlem and first-authored our Neurology (2026) semaglutide paper, supports this project and will co-lead the analysis; Dr. Marie S. Thearle adds cardiometabolic expertise.</w:t>
            </w:r>
          </w:p>
          <w:p>
            <w:pPr>
              <w:spacing w:before="20" w:after="20"/>
              <w:rPr>
                <w:rFonts w:ascii="Arial" w:hAnsi="Arial" w:cs="Arial"/>
                <w:sz w:val="20"/>
              </w:rPr>
            </w:pPr>
            <w:r>
              <w:rPr>
                <w:rFonts w:ascii="Arial" w:hAnsi="Arial" w:cs="Arial"/>
                <w:b/>
                <w:sz w:val="20"/>
              </w:rPr>
              <w:t xml:space="preserve">i)</w:t>
            </w:r>
            <w:r>
              <w:rPr>
                <w:rFonts w:ascii="Arial" w:hAnsi="Arial" w:cs="Arial"/>
                <w:sz w:val="20"/>
              </w:rPr>
              <w:t xml:space="preserve"> 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p>
          <w:p w14:paraId="09F7963A" w14:textId="77777777" w:rsidR="0001560B" w:rsidRPr="004D0C3C" w:rsidRDefault="0001560B" w:rsidP="00F01F53">
            <w:pPr>
              <w:spacing w:before="40"/>
              <w:rPr>
                <w:rFonts w:ascii="Arial" w:hAnsi="Arial" w:cs="Arial"/>
              </w:rPr>
            </w:pP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