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i w:val="false"/>
          <w:iCs w:val="false"/>
          <w:color w:val="C00000"/>
          <w:sz w:val="19"/>
          <w:szCs w:val="19"/>
        </w:rPr>
        <w:t xml:space="preserve">Bayer / AAFP REACH Awards</w:t>
      </w:r>
    </w:p>
    <w:p>
      <w:pPr>
        <w:spacing w:after="60"/>
      </w:pPr>
      <w:r>
        <w:rPr>
          <w:rFonts w:ascii="Arial" w:cs="Arial" w:eastAsia="Arial" w:hAnsi="Arial"/>
          <w:b/>
          <w:bCs/>
          <w:i w:val="false"/>
          <w:iCs w:val="false"/>
          <w:color w:val="1F3864"/>
          <w:sz w:val="34"/>
          <w:szCs w:val="34"/>
        </w:rPr>
        <w:t xml:space="preserve">Letter of Intent — Review Draft</w:t>
      </w:r>
    </w:p>
    <w:p>
      <w:pPr>
        <w:spacing w:after="200"/>
      </w:pPr>
      <w:r>
        <w:rPr>
          <w:rFonts w:ascii="Arial" w:cs="Arial" w:eastAsia="Arial" w:hAnsi="Arial"/>
          <w:b w:val="false"/>
          <w:bCs w:val="false"/>
          <w:i w:val="false"/>
          <w:iCs w:val="false"/>
          <w:color w:val="595959"/>
          <w:sz w:val="19"/>
          <w:szCs w:val="19"/>
        </w:rPr>
        <w:t xml:space="preserve">Applicant: </w:t>
      </w:r>
      <w:r>
        <w:rPr>
          <w:rFonts w:ascii="Arial" w:cs="Arial" w:eastAsia="Arial" w:hAnsi="Arial"/>
          <w:b/>
          <w:bCs/>
          <w:i w:val="false"/>
          <w:iCs w:val="false"/>
          <w:color w:val="000000"/>
          <w:sz w:val="19"/>
          <w:szCs w:val="19"/>
        </w:rPr>
        <w:t xml:space="preserve">Rhonda K. Trousdale, MD</w:t>
      </w:r>
      <w:r>
        <w:rPr>
          <w:rFonts w:ascii="Arial" w:cs="Arial" w:eastAsia="Arial" w:hAnsi="Arial"/>
          <w:b w:val="false"/>
          <w:bCs w:val="false"/>
          <w:i w:val="false"/>
          <w:iCs w:val="false"/>
          <w:color w:val="595959"/>
          <w:sz w:val="19"/>
          <w:szCs w:val="19"/>
        </w:rPr>
        <w:t xml:space="preserve">   |   Collaborator: </w:t>
      </w:r>
      <w:r>
        <w:rPr>
          <w:rFonts w:ascii="Arial" w:cs="Arial" w:eastAsia="Arial" w:hAnsi="Arial"/>
          <w:b/>
          <w:bCs/>
          <w:i w:val="false"/>
          <w:iCs w:val="false"/>
          <w:color w:val="000000"/>
          <w:sz w:val="19"/>
          <w:szCs w:val="19"/>
        </w:rPr>
        <w:t xml:space="preserve">Yong Eun, MD</w:t>
      </w:r>
      <w:r>
        <w:rPr>
          <w:rFonts w:ascii="Arial" w:cs="Arial" w:eastAsia="Arial" w:hAnsi="Arial"/>
          <w:b w:val="false"/>
          <w:bCs w:val="false"/>
          <w:i w:val="false"/>
          <w:iCs w:val="false"/>
          <w:color w:val="595959"/>
          <w:sz w:val="19"/>
          <w:szCs w:val="19"/>
        </w:rPr>
        <w:t xml:space="preserve">   |   Submission deadline: </w:t>
      </w:r>
      <w:r>
        <w:rPr>
          <w:rFonts w:ascii="Arial" w:cs="Arial" w:eastAsia="Arial" w:hAnsi="Arial"/>
          <w:b/>
          <w:bCs/>
          <w:i w:val="false"/>
          <w:iCs w:val="false"/>
          <w:color w:val="000000"/>
          <w:sz w:val="19"/>
          <w:szCs w:val="19"/>
        </w:rPr>
        <w:t xml:space="preserve">August 16, 2026</w:t>
      </w:r>
    </w:p>
    <w:p>
      <w:pPr>
        <w:pBdr>
          <w:top w:val="single" w:color="E8A33D" w:sz="4" w:space="6"/>
          <w:bottom w:val="single" w:color="E8A33D" w:sz="4" w:space="6"/>
          <w:left w:val="single" w:color="E8A33D" w:sz="12" w:space="6"/>
          <w:right w:val="single" w:color="E8A33D" w:sz="4" w:space="6"/>
        </w:pBdr>
        <w:shd w:fill="FFF4E5" w:color="auto" w:val="clear"/>
        <w:spacing w:after="160"/>
      </w:pPr>
      <w:r>
        <w:rPr>
          <w:rFonts w:ascii="Arial" w:cs="Arial" w:eastAsia="Arial" w:hAnsi="Arial"/>
          <w:b/>
          <w:bCs/>
          <w:i w:val="false"/>
          <w:iCs w:val="false"/>
          <w:color w:val="000000"/>
          <w:sz w:val="19"/>
          <w:szCs w:val="19"/>
        </w:rPr>
        <w:t xml:space="preserve">For review only. </w:t>
      </w:r>
      <w:r>
        <w:rPr>
          <w:rFonts w:ascii="Arial" w:cs="Arial" w:eastAsia="Arial" w:hAnsi="Arial"/>
          <w:b w:val="false"/>
          <w:bCs w:val="false"/>
          <w:i w:val="false"/>
          <w:iCs w:val="false"/>
          <w:color w:val="000000"/>
          <w:sz w:val="19"/>
          <w:szCs w:val="19"/>
        </w:rPr>
        <w:t xml:space="preserve">This is a readable copy of the research content for comment. The official submission is the filled REACH form (</w:t>
      </w:r>
      <w:r>
        <w:rPr>
          <w:rFonts w:ascii="Arial" w:cs="Arial" w:eastAsia="Arial" w:hAnsi="Arial"/>
          <w:b w:val="false"/>
          <w:bCs w:val="false"/>
          <w:i/>
          <w:iCs/>
          <w:color w:val="000000"/>
          <w:sz w:val="19"/>
          <w:szCs w:val="19"/>
        </w:rPr>
        <w:t xml:space="preserve">REACH_LOI_proposal_filled.docx</w:t>
      </w:r>
      <w:r>
        <w:rPr>
          <w:rFonts w:ascii="Arial" w:cs="Arial" w:eastAsia="Arial" w:hAnsi="Arial"/>
          <w:b w:val="false"/>
          <w:bCs w:val="false"/>
          <w:i w:val="false"/>
          <w:iCs w:val="false"/>
          <w:color w:val="000000"/>
          <w:sz w:val="19"/>
          <w:szCs w:val="19"/>
        </w:rPr>
        <w:t xml:space="preserve">), which carries this same text plus the applicant biographical section.</w:t>
      </w:r>
    </w:p>
    <w:p>
      <w:pPr>
        <w:pBdr>
          <w:bottom w:val="single" w:color="1F3864" w:sz="6" w:space="4"/>
        </w:pBdr>
        <w:spacing w:after="140" w:before="320"/>
      </w:pPr>
      <w:r>
        <w:rPr>
          <w:rFonts w:ascii="Arial" w:cs="Arial" w:eastAsia="Arial" w:hAnsi="Arial"/>
          <w:b/>
          <w:bCs/>
          <w:color w:val="1F3864"/>
          <w:sz w:val="26"/>
          <w:szCs w:val="26"/>
        </w:rPr>
        <w:t xml:space="preserve">Form compliance — verified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1900"/>
        <w:gridCol w:w="2100"/>
        <w:gridCol w:w="2200"/>
      </w:tblGrid>
      <w:tr>
        <w:trPr>
          <w:tblHeader/>
        </w:trPr>
        <w:tc>
          <w:tcPr>
            <w:tcW w:type="dxa" w:w="3400"/>
            <w:shd w:fill="1F3864" w:color="auto" w:val="clear"/>
            <w:tcMar>
              <w:top w:type="dxa" w:w="80"/>
              <w:left w:type="dxa" w:w="110"/>
              <w:bottom w:type="dxa" w:w="80"/>
              <w:right w:type="dxa" w:w="110"/>
            </w:tcMar>
          </w:tcPr>
          <w:p>
            <w:r>
              <w:rPr>
                <w:rFonts w:ascii="Arial" w:cs="Arial" w:eastAsia="Arial" w:hAnsi="Arial"/>
                <w:b/>
                <w:bCs/>
                <w:i w:val="false"/>
                <w:iCs w:val="false"/>
                <w:color w:val="FFFFFF"/>
                <w:sz w:val="19"/>
                <w:szCs w:val="19"/>
              </w:rPr>
              <w:t xml:space="preserve">Requirement</w:t>
            </w:r>
          </w:p>
        </w:tc>
        <w:tc>
          <w:tcPr>
            <w:tcW w:type="dxa" w:w="1900"/>
            <w:shd w:fill="1F3864" w:color="auto" w:val="clear"/>
            <w:tcMar>
              <w:top w:type="dxa" w:w="80"/>
              <w:left w:type="dxa" w:w="110"/>
              <w:bottom w:type="dxa" w:w="80"/>
              <w:right w:type="dxa" w:w="110"/>
            </w:tcMar>
          </w:tcPr>
          <w:p>
            <w:r>
              <w:rPr>
                <w:rFonts w:ascii="Arial" w:cs="Arial" w:eastAsia="Arial" w:hAnsi="Arial"/>
                <w:b/>
                <w:bCs/>
                <w:i w:val="false"/>
                <w:iCs w:val="false"/>
                <w:color w:val="FFFFFF"/>
                <w:sz w:val="19"/>
                <w:szCs w:val="19"/>
              </w:rPr>
              <w:t xml:space="preserve">Limit</w:t>
            </w:r>
          </w:p>
        </w:tc>
        <w:tc>
          <w:tcPr>
            <w:tcW w:type="dxa" w:w="2100"/>
            <w:shd w:fill="1F3864" w:color="auto" w:val="clear"/>
            <w:tcMar>
              <w:top w:type="dxa" w:w="80"/>
              <w:left w:type="dxa" w:w="110"/>
              <w:bottom w:type="dxa" w:w="80"/>
              <w:right w:type="dxa" w:w="110"/>
            </w:tcMar>
          </w:tcPr>
          <w:p>
            <w:r>
              <w:rPr>
                <w:rFonts w:ascii="Arial" w:cs="Arial" w:eastAsia="Arial" w:hAnsi="Arial"/>
                <w:b/>
                <w:bCs/>
                <w:i w:val="false"/>
                <w:iCs w:val="false"/>
                <w:color w:val="FFFFFF"/>
                <w:sz w:val="19"/>
                <w:szCs w:val="19"/>
              </w:rPr>
              <w:t xml:space="preserve">This draft</w:t>
            </w:r>
          </w:p>
        </w:tc>
        <w:tc>
          <w:tcPr>
            <w:tcW w:type="dxa" w:w="2200"/>
            <w:shd w:fill="1F3864" w:color="auto" w:val="clear"/>
            <w:tcMar>
              <w:top w:type="dxa" w:w="80"/>
              <w:left w:type="dxa" w:w="110"/>
              <w:bottom w:type="dxa" w:w="80"/>
              <w:right w:type="dxa" w:w="110"/>
            </w:tcMar>
          </w:tcPr>
          <w:p>
            <w:r>
              <w:rPr>
                <w:rFonts w:ascii="Arial" w:cs="Arial" w:eastAsia="Arial" w:hAnsi="Arial"/>
                <w:b/>
                <w:bCs/>
                <w:i w:val="false"/>
                <w:iCs w:val="false"/>
                <w:color w:val="FFFFFF"/>
                <w:sz w:val="19"/>
                <w:szCs w:val="19"/>
              </w:rPr>
              <w:t xml:space="preserve">Status</w:t>
            </w:r>
          </w:p>
        </w:tc>
      </w:tr>
      <w:tr>
        <w:trPr>
          <w:tblHeader w:val="false"/>
        </w:trPr>
        <w:tc>
          <w:tcPr>
            <w:tcW w:type="dxa" w:w="3400"/>
            <w:tcMar>
              <w:top w:type="dxa" w:w="80"/>
              <w:left w:type="dxa" w:w="110"/>
              <w:bottom w:type="dxa" w:w="80"/>
              <w:right w:type="dxa" w:w="110"/>
            </w:tcMar>
          </w:tcPr>
          <w:p>
            <w:r>
              <w:rPr>
                <w:rFonts w:ascii="Arial" w:cs="Arial" w:eastAsia="Arial" w:hAnsi="Arial"/>
                <w:b w:val="false"/>
                <w:bCs w:val="false"/>
                <w:i w:val="false"/>
                <w:iCs w:val="false"/>
                <w:color w:val="000000"/>
                <w:sz w:val="19"/>
                <w:szCs w:val="19"/>
              </w:rPr>
              <w:t xml:space="preserve">Title length (incl. spaces)</w:t>
            </w:r>
          </w:p>
        </w:tc>
        <w:tc>
          <w:tcPr>
            <w:tcW w:type="dxa" w:w="1900"/>
            <w:tcMar>
              <w:top w:type="dxa" w:w="80"/>
              <w:left w:type="dxa" w:w="110"/>
              <w:bottom w:type="dxa" w:w="80"/>
              <w:right w:type="dxa" w:w="110"/>
            </w:tcMar>
          </w:tcPr>
          <w:p>
            <w:r>
              <w:rPr>
                <w:rFonts w:ascii="Arial" w:cs="Arial" w:eastAsia="Arial" w:hAnsi="Arial"/>
                <w:b w:val="false"/>
                <w:bCs w:val="false"/>
                <w:i w:val="false"/>
                <w:iCs w:val="false"/>
                <w:color w:val="000000"/>
                <w:sz w:val="19"/>
                <w:szCs w:val="19"/>
              </w:rPr>
              <w:t xml:space="preserve">100 characters</w:t>
            </w:r>
          </w:p>
        </w:tc>
        <w:tc>
          <w:tcPr>
            <w:tcW w:type="dxa" w:w="2100"/>
            <w:tcMar>
              <w:top w:type="dxa" w:w="80"/>
              <w:left w:type="dxa" w:w="110"/>
              <w:bottom w:type="dxa" w:w="80"/>
              <w:right w:type="dxa" w:w="110"/>
            </w:tcMar>
          </w:tcPr>
          <w:p>
            <w:r>
              <w:rPr>
                <w:rFonts w:ascii="Arial" w:cs="Arial" w:eastAsia="Arial" w:hAnsi="Arial"/>
                <w:b w:val="false"/>
                <w:bCs w:val="false"/>
                <w:i w:val="false"/>
                <w:iCs w:val="false"/>
                <w:color w:val="000000"/>
                <w:sz w:val="19"/>
                <w:szCs w:val="19"/>
              </w:rPr>
              <w:t xml:space="preserve">95 characters</w:t>
            </w:r>
          </w:p>
        </w:tc>
        <w:tc>
          <w:tcPr>
            <w:tcW w:type="dxa" w:w="2200"/>
            <w:tcMar>
              <w:top w:type="dxa" w:w="80"/>
              <w:left w:type="dxa" w:w="110"/>
              <w:bottom w:type="dxa" w:w="80"/>
              <w:right w:type="dxa" w:w="110"/>
            </w:tcMar>
          </w:tcPr>
          <w:p>
            <w:r>
              <w:rPr>
                <w:rFonts w:ascii="Arial" w:cs="Arial" w:eastAsia="Arial" w:hAnsi="Arial"/>
                <w:b w:val="false"/>
                <w:bCs w:val="false"/>
                <w:i w:val="false"/>
                <w:iCs w:val="false"/>
                <w:color w:val="000000"/>
                <w:sz w:val="19"/>
                <w:szCs w:val="19"/>
              </w:rPr>
              <w:t xml:space="preserve">PASS — 5 to spare</w:t>
            </w:r>
          </w:p>
        </w:tc>
      </w:tr>
      <w:tr>
        <w:trPr>
          <w:tblHeader w:val="false"/>
        </w:trPr>
        <w:tc>
          <w:tcPr>
            <w:tcW w:type="dxa" w:w="3400"/>
            <w:shd w:fill="F2F5FA" w:color="auto" w:val="clear"/>
            <w:tcMar>
              <w:top w:type="dxa" w:w="80"/>
              <w:left w:type="dxa" w:w="110"/>
              <w:bottom w:type="dxa" w:w="80"/>
              <w:right w:type="dxa" w:w="110"/>
            </w:tcMar>
          </w:tcPr>
          <w:p>
            <w:r>
              <w:rPr>
                <w:rFonts w:ascii="Arial" w:cs="Arial" w:eastAsia="Arial" w:hAnsi="Arial"/>
                <w:b w:val="false"/>
                <w:bCs w:val="false"/>
                <w:i w:val="false"/>
                <w:iCs w:val="false"/>
                <w:color w:val="000000"/>
                <w:sz w:val="19"/>
                <w:szCs w:val="19"/>
              </w:rPr>
              <w:t xml:space="preserve">Description length</w:t>
            </w:r>
          </w:p>
        </w:tc>
        <w:tc>
          <w:tcPr>
            <w:tcW w:type="dxa" w:w="1900"/>
            <w:shd w:fill="F2F5FA" w:color="auto" w:val="clear"/>
            <w:tcMar>
              <w:top w:type="dxa" w:w="80"/>
              <w:left w:type="dxa" w:w="110"/>
              <w:bottom w:type="dxa" w:w="80"/>
              <w:right w:type="dxa" w:w="110"/>
            </w:tcMar>
          </w:tcPr>
          <w:p>
            <w:r>
              <w:rPr>
                <w:rFonts w:ascii="Arial" w:cs="Arial" w:eastAsia="Arial" w:hAnsi="Arial"/>
                <w:b w:val="false"/>
                <w:bCs w:val="false"/>
                <w:i w:val="false"/>
                <w:iCs w:val="false"/>
                <w:color w:val="000000"/>
                <w:sz w:val="19"/>
                <w:szCs w:val="19"/>
              </w:rPr>
              <w:t xml:space="preserve">500 words</w:t>
            </w:r>
          </w:p>
        </w:tc>
        <w:tc>
          <w:tcPr>
            <w:tcW w:type="dxa" w:w="2100"/>
            <w:shd w:fill="F2F5FA" w:color="auto" w:val="clear"/>
            <w:tcMar>
              <w:top w:type="dxa" w:w="80"/>
              <w:left w:type="dxa" w:w="110"/>
              <w:bottom w:type="dxa" w:w="80"/>
              <w:right w:type="dxa" w:w="110"/>
            </w:tcMar>
          </w:tcPr>
          <w:p>
            <w:r>
              <w:rPr>
                <w:rFonts w:ascii="Arial" w:cs="Arial" w:eastAsia="Arial" w:hAnsi="Arial"/>
                <w:b w:val="false"/>
                <w:bCs w:val="false"/>
                <w:i w:val="false"/>
                <w:iCs w:val="false"/>
                <w:color w:val="000000"/>
                <w:sz w:val="19"/>
                <w:szCs w:val="19"/>
              </w:rPr>
              <w:t xml:space="preserve">498 words</w:t>
            </w:r>
          </w:p>
        </w:tc>
        <w:tc>
          <w:tcPr>
            <w:tcW w:type="dxa" w:w="2200"/>
            <w:shd w:fill="F2F5FA" w:color="auto" w:val="clear"/>
            <w:tcMar>
              <w:top w:type="dxa" w:w="80"/>
              <w:left w:type="dxa" w:w="110"/>
              <w:bottom w:type="dxa" w:w="80"/>
              <w:right w:type="dxa" w:w="110"/>
            </w:tcMar>
          </w:tcPr>
          <w:p>
            <w:r>
              <w:rPr>
                <w:rFonts w:ascii="Arial" w:cs="Arial" w:eastAsia="Arial" w:hAnsi="Arial"/>
                <w:b w:val="false"/>
                <w:bCs w:val="false"/>
                <w:i w:val="false"/>
                <w:iCs w:val="false"/>
                <w:color w:val="000000"/>
                <w:sz w:val="19"/>
                <w:szCs w:val="19"/>
              </w:rPr>
              <w:t xml:space="preserve">PASS — 2 to spare</w:t>
            </w:r>
          </w:p>
        </w:tc>
      </w:tr>
      <w:tr>
        <w:trPr>
          <w:tblHeader w:val="false"/>
        </w:trPr>
        <w:tc>
          <w:tcPr>
            <w:tcW w:type="dxa" w:w="3400"/>
            <w:tcMar>
              <w:top w:type="dxa" w:w="80"/>
              <w:left w:type="dxa" w:w="110"/>
              <w:bottom w:type="dxa" w:w="80"/>
              <w:right w:type="dxa" w:w="110"/>
            </w:tcMar>
          </w:tcPr>
          <w:p>
            <w:r>
              <w:rPr>
                <w:rFonts w:ascii="Arial" w:cs="Arial" w:eastAsia="Arial" w:hAnsi="Arial"/>
                <w:b w:val="false"/>
                <w:bCs w:val="false"/>
                <w:i w:val="false"/>
                <w:iCs w:val="false"/>
                <w:color w:val="000000"/>
                <w:sz w:val="19"/>
                <w:szCs w:val="19"/>
              </w:rPr>
              <w:t xml:space="preserve">Required headings a) through i)</w:t>
            </w:r>
          </w:p>
        </w:tc>
        <w:tc>
          <w:tcPr>
            <w:tcW w:type="dxa" w:w="1900"/>
            <w:tcMar>
              <w:top w:type="dxa" w:w="80"/>
              <w:left w:type="dxa" w:w="110"/>
              <w:bottom w:type="dxa" w:w="80"/>
              <w:right w:type="dxa" w:w="110"/>
            </w:tcMar>
          </w:tcPr>
          <w:p>
            <w:r>
              <w:rPr>
                <w:rFonts w:ascii="Arial" w:cs="Arial" w:eastAsia="Arial" w:hAnsi="Arial"/>
                <w:b w:val="false"/>
                <w:bCs w:val="false"/>
                <w:i w:val="false"/>
                <w:iCs w:val="false"/>
                <w:color w:val="000000"/>
                <w:sz w:val="19"/>
                <w:szCs w:val="19"/>
              </w:rPr>
              <w:t xml:space="preserve">All nine, in order</w:t>
            </w:r>
          </w:p>
        </w:tc>
        <w:tc>
          <w:tcPr>
            <w:tcW w:type="dxa" w:w="2100"/>
            <w:tcMar>
              <w:top w:type="dxa" w:w="80"/>
              <w:left w:type="dxa" w:w="110"/>
              <w:bottom w:type="dxa" w:w="80"/>
              <w:right w:type="dxa" w:w="110"/>
            </w:tcMar>
          </w:tcPr>
          <w:p>
            <w:r>
              <w:rPr>
                <w:rFonts w:ascii="Arial" w:cs="Arial" w:eastAsia="Arial" w:hAnsi="Arial"/>
                <w:b w:val="false"/>
                <w:bCs w:val="false"/>
                <w:i w:val="false"/>
                <w:iCs w:val="false"/>
                <w:color w:val="000000"/>
                <w:sz w:val="19"/>
                <w:szCs w:val="19"/>
              </w:rPr>
              <w:t xml:space="preserve">9 of 9, in order</w:t>
            </w:r>
          </w:p>
        </w:tc>
        <w:tc>
          <w:tcPr>
            <w:tcW w:type="dxa" w:w="2200"/>
            <w:tcMar>
              <w:top w:type="dxa" w:w="80"/>
              <w:left w:type="dxa" w:w="110"/>
              <w:bottom w:type="dxa" w:w="80"/>
              <w:right w:type="dxa" w:w="110"/>
            </w:tcMar>
          </w:tcPr>
          <w:p>
            <w:r>
              <w:rPr>
                <w:rFonts w:ascii="Arial" w:cs="Arial" w:eastAsia="Arial" w:hAnsi="Arial"/>
                <w:b w:val="false"/>
                <w:bCs w:val="false"/>
                <w:i w:val="false"/>
                <w:iCs w:val="false"/>
                <w:color w:val="000000"/>
                <w:sz w:val="19"/>
                <w:szCs w:val="19"/>
              </w:rPr>
              <w:t xml:space="preserve">PASS</w:t>
            </w:r>
          </w:p>
        </w:tc>
      </w:tr>
      <w:tr>
        <w:trPr>
          <w:tblHeader w:val="false"/>
        </w:trPr>
        <w:tc>
          <w:tcPr>
            <w:tcW w:type="dxa" w:w="3400"/>
            <w:shd w:fill="F2F5FA" w:color="auto" w:val="clear"/>
            <w:tcMar>
              <w:top w:type="dxa" w:w="80"/>
              <w:left w:type="dxa" w:w="110"/>
              <w:bottom w:type="dxa" w:w="80"/>
              <w:right w:type="dxa" w:w="110"/>
            </w:tcMar>
          </w:tcPr>
          <w:p>
            <w:r>
              <w:rPr>
                <w:rFonts w:ascii="Arial" w:cs="Arial" w:eastAsia="Arial" w:hAnsi="Arial"/>
                <w:b w:val="false"/>
                <w:bCs w:val="false"/>
                <w:i w:val="false"/>
                <w:iCs w:val="false"/>
                <w:color w:val="000000"/>
                <w:sz w:val="19"/>
                <w:szCs w:val="19"/>
              </w:rPr>
              <w:t xml:space="preserve">Project duration</w:t>
            </w:r>
          </w:p>
        </w:tc>
        <w:tc>
          <w:tcPr>
            <w:tcW w:type="dxa" w:w="1900"/>
            <w:shd w:fill="F2F5FA" w:color="auto" w:val="clear"/>
            <w:tcMar>
              <w:top w:type="dxa" w:w="80"/>
              <w:left w:type="dxa" w:w="110"/>
              <w:bottom w:type="dxa" w:w="80"/>
              <w:right w:type="dxa" w:w="110"/>
            </w:tcMar>
          </w:tcPr>
          <w:p>
            <w:r>
              <w:rPr>
                <w:rFonts w:ascii="Arial" w:cs="Arial" w:eastAsia="Arial" w:hAnsi="Arial"/>
                <w:b w:val="false"/>
                <w:bCs w:val="false"/>
                <w:i w:val="false"/>
                <w:iCs w:val="false"/>
                <w:color w:val="000000"/>
                <w:sz w:val="19"/>
                <w:szCs w:val="19"/>
              </w:rPr>
              <w:t xml:space="preserve">1 year</w:t>
            </w:r>
          </w:p>
        </w:tc>
        <w:tc>
          <w:tcPr>
            <w:tcW w:type="dxa" w:w="2100"/>
            <w:shd w:fill="F2F5FA" w:color="auto" w:val="clear"/>
            <w:tcMar>
              <w:top w:type="dxa" w:w="80"/>
              <w:left w:type="dxa" w:w="110"/>
              <w:bottom w:type="dxa" w:w="80"/>
              <w:right w:type="dxa" w:w="110"/>
            </w:tcMar>
          </w:tcPr>
          <w:p>
            <w:r>
              <w:rPr>
                <w:rFonts w:ascii="Arial" w:cs="Arial" w:eastAsia="Arial" w:hAnsi="Arial"/>
                <w:b w:val="false"/>
                <w:bCs w:val="false"/>
                <w:i w:val="false"/>
                <w:iCs w:val="false"/>
                <w:color w:val="000000"/>
                <w:sz w:val="19"/>
                <w:szCs w:val="19"/>
              </w:rPr>
              <w:t xml:space="preserve">12 months</w:t>
            </w:r>
          </w:p>
        </w:tc>
        <w:tc>
          <w:tcPr>
            <w:tcW w:type="dxa" w:w="2200"/>
            <w:shd w:fill="F2F5FA" w:color="auto" w:val="clear"/>
            <w:tcMar>
              <w:top w:type="dxa" w:w="80"/>
              <w:left w:type="dxa" w:w="110"/>
              <w:bottom w:type="dxa" w:w="80"/>
              <w:right w:type="dxa" w:w="110"/>
            </w:tcMar>
          </w:tcPr>
          <w:p>
            <w:r>
              <w:rPr>
                <w:rFonts w:ascii="Arial" w:cs="Arial" w:eastAsia="Arial" w:hAnsi="Arial"/>
                <w:b w:val="false"/>
                <w:bCs w:val="false"/>
                <w:i w:val="false"/>
                <w:iCs w:val="false"/>
                <w:color w:val="000000"/>
                <w:sz w:val="19"/>
                <w:szCs w:val="19"/>
              </w:rPr>
              <w:t xml:space="preserve">PASS</w:t>
            </w:r>
          </w:p>
        </w:tc>
      </w:tr>
      <w:tr>
        <w:trPr>
          <w:tblHeader w:val="false"/>
        </w:trPr>
        <w:tc>
          <w:tcPr>
            <w:tcW w:type="dxa" w:w="3400"/>
            <w:tcMar>
              <w:top w:type="dxa" w:w="80"/>
              <w:left w:type="dxa" w:w="110"/>
              <w:bottom w:type="dxa" w:w="80"/>
              <w:right w:type="dxa" w:w="110"/>
            </w:tcMar>
          </w:tcPr>
          <w:p>
            <w:r>
              <w:rPr>
                <w:rFonts w:ascii="Arial" w:cs="Arial" w:eastAsia="Arial" w:hAnsi="Arial"/>
                <w:b w:val="false"/>
                <w:bCs w:val="false"/>
                <w:i w:val="false"/>
                <w:iCs w:val="false"/>
                <w:color w:val="000000"/>
                <w:sz w:val="19"/>
                <w:szCs w:val="19"/>
              </w:rPr>
              <w:t xml:space="preserve">Award requested</w:t>
            </w:r>
          </w:p>
        </w:tc>
        <w:tc>
          <w:tcPr>
            <w:tcW w:type="dxa" w:w="1900"/>
            <w:tcMar>
              <w:top w:type="dxa" w:w="80"/>
              <w:left w:type="dxa" w:w="110"/>
              <w:bottom w:type="dxa" w:w="80"/>
              <w:right w:type="dxa" w:w="110"/>
            </w:tcMar>
          </w:tcPr>
          <w:p>
            <w:r>
              <w:rPr>
                <w:rFonts w:ascii="Arial" w:cs="Arial" w:eastAsia="Arial" w:hAnsi="Arial"/>
                <w:b w:val="false"/>
                <w:bCs w:val="false"/>
                <w:i w:val="false"/>
                <w:iCs w:val="false"/>
                <w:color w:val="000000"/>
                <w:sz w:val="19"/>
                <w:szCs w:val="19"/>
              </w:rPr>
              <w:t xml:space="preserve">Max $20,000</w:t>
            </w:r>
          </w:p>
        </w:tc>
        <w:tc>
          <w:tcPr>
            <w:tcW w:type="dxa" w:w="2100"/>
            <w:tcMar>
              <w:top w:type="dxa" w:w="80"/>
              <w:left w:type="dxa" w:w="110"/>
              <w:bottom w:type="dxa" w:w="80"/>
              <w:right w:type="dxa" w:w="110"/>
            </w:tcMar>
          </w:tcPr>
          <w:p>
            <w:r>
              <w:rPr>
                <w:rFonts w:ascii="Arial" w:cs="Arial" w:eastAsia="Arial" w:hAnsi="Arial"/>
                <w:b w:val="false"/>
                <w:bCs w:val="false"/>
                <w:i w:val="false"/>
                <w:iCs w:val="false"/>
                <w:color w:val="000000"/>
                <w:sz w:val="19"/>
                <w:szCs w:val="19"/>
              </w:rPr>
              <w:t xml:space="preserve">To be finalized</w:t>
            </w:r>
          </w:p>
        </w:tc>
        <w:tc>
          <w:tcPr>
            <w:tcW w:type="dxa" w:w="2200"/>
            <w:tcMar>
              <w:top w:type="dxa" w:w="80"/>
              <w:left w:type="dxa" w:w="110"/>
              <w:bottom w:type="dxa" w:w="80"/>
              <w:right w:type="dxa" w:w="110"/>
            </w:tcMar>
          </w:tcPr>
          <w:p>
            <w:r>
              <w:rPr>
                <w:rFonts w:ascii="Arial" w:cs="Arial" w:eastAsia="Arial" w:hAnsi="Arial"/>
                <w:b w:val="false"/>
                <w:bCs w:val="false"/>
                <w:i w:val="false"/>
                <w:iCs w:val="false"/>
                <w:color w:val="000000"/>
                <w:sz w:val="19"/>
                <w:szCs w:val="19"/>
              </w:rPr>
              <w:t xml:space="preserve">ACTION NEEDED</w:t>
            </w:r>
          </w:p>
        </w:tc>
      </w:tr>
    </w:tbl>
    <w:p>
      <w:pPr>
        <w:spacing w:after="120" w:before="60" w:line="276"/>
        <w:jc w:val="left"/>
      </w:pPr>
      <w:r>
        <w:rPr>
          <w:rFonts w:ascii="Arial" w:cs="Arial" w:eastAsia="Arial" w:hAnsi="Arial"/>
          <w:b w:val="false"/>
          <w:bCs w:val="false"/>
          <w:i/>
          <w:iCs/>
          <w:color w:val="595959"/>
          <w:sz w:val="17"/>
          <w:szCs w:val="17"/>
        </w:rPr>
        <w:t xml:space="preserve">Word count follows the Microsoft Word convention (whitespace-delimited tokens; hyphenated and slash-joined terms count as one word) and includes the nine a)–i) markers.</w:t>
      </w:r>
    </w:p>
    <w:p>
      <w:pPr>
        <w:pBdr>
          <w:bottom w:val="single" w:color="1F3864" w:sz="6" w:space="4"/>
        </w:pBdr>
        <w:spacing w:after="140" w:before="320"/>
      </w:pPr>
      <w:r>
        <w:rPr>
          <w:rFonts w:ascii="Arial" w:cs="Arial" w:eastAsia="Arial" w:hAnsi="Arial"/>
          <w:b/>
          <w:bCs/>
          <w:color w:val="1F3864"/>
          <w:sz w:val="26"/>
          <w:szCs w:val="26"/>
        </w:rPr>
        <w:t xml:space="preserve">Proposed project title</w:t>
      </w:r>
    </w:p>
    <w:p>
      <w:pPr>
        <w:pBdr>
          <w:left w:val="single" w:color="1F3864" w:sz="16" w:space="8"/>
        </w:pBdr>
        <w:shd w:fill="F2F5FA" w:color="auto" w:val="clear"/>
        <w:spacing w:after="80" w:before="80"/>
      </w:pPr>
      <w:r>
        <w:rPr>
          <w:rFonts w:ascii="Arial" w:cs="Arial" w:eastAsia="Arial" w:hAnsi="Arial"/>
          <w:b/>
          <w:bCs/>
          <w:i w:val="false"/>
          <w:iCs w:val="false"/>
          <w:color w:val="1F3864"/>
          <w:sz w:val="24"/>
          <w:szCs w:val="24"/>
        </w:rPr>
        <w:t xml:space="preserve">CKM Stage Transition, Not Events: Early GLP-1 Therapy in Stages 1-2 for Primary Care Prevention</w:t>
      </w:r>
    </w:p>
    <w:p>
      <w:pPr>
        <w:spacing w:after="120" w:before="60" w:line="276"/>
        <w:jc w:val="left"/>
      </w:pPr>
      <w:r>
        <w:rPr>
          <w:rFonts w:ascii="Arial" w:cs="Arial" w:eastAsia="Arial" w:hAnsi="Arial"/>
          <w:b w:val="false"/>
          <w:bCs w:val="false"/>
          <w:i/>
          <w:iCs/>
          <w:color w:val="595959"/>
          <w:sz w:val="17"/>
          <w:szCs w:val="17"/>
        </w:rPr>
        <w:t xml:space="preserve">95 of 100 characters. The title leads with the differentiator — stage transition rather than cardiovascular events — so a reviewer sees what is new before anything else.</w:t>
      </w:r>
    </w:p>
    <w:p>
      <w:pPr>
        <w:pBdr>
          <w:bottom w:val="single" w:color="1F3864" w:sz="6" w:space="4"/>
        </w:pBdr>
        <w:spacing w:after="140" w:before="320"/>
      </w:pPr>
      <w:r>
        <w:rPr>
          <w:rFonts w:ascii="Arial" w:cs="Arial" w:eastAsia="Arial" w:hAnsi="Arial"/>
          <w:b/>
          <w:bCs/>
          <w:color w:val="1F3864"/>
          <w:sz w:val="26"/>
          <w:szCs w:val="26"/>
        </w:rPr>
        <w:t xml:space="preserve">Project description (498 of 500 words)</w:t>
      </w:r>
    </w:p>
    <w:p>
      <w:pPr>
        <w:spacing w:after="120" w:before="60" w:line="276"/>
        <w:jc w:val="left"/>
      </w:pPr>
      <w:r>
        <w:rPr>
          <w:rFonts w:ascii="Arial" w:cs="Arial" w:eastAsia="Arial" w:hAnsi="Arial"/>
          <w:b w:val="false"/>
          <w:bCs w:val="false"/>
          <w:i w:val="false"/>
          <w:iCs w:val="false"/>
          <w:color w:val="595959"/>
          <w:sz w:val="18"/>
          <w:szCs w:val="18"/>
        </w:rPr>
        <w:t xml:space="preserve">The form requires these nine headings. Each is shown with the question it must answer and its word count, so you can see where the budget is spent.</w:t>
      </w:r>
    </w:p>
    <w:p>
      <w:pPr>
        <w:spacing w:after="40" w:before="220"/>
      </w:pPr>
      <w:r>
        <w:rPr>
          <w:rFonts w:ascii="Arial" w:cs="Arial" w:eastAsia="Arial" w:hAnsi="Arial"/>
          <w:b/>
          <w:bCs/>
          <w:i w:val="false"/>
          <w:iCs w:val="false"/>
          <w:color w:val="1F3864"/>
          <w:sz w:val="22"/>
          <w:szCs w:val="22"/>
        </w:rPr>
        <w:t xml:space="preserve">a) Project purpose</w:t>
      </w:r>
      <w:r>
        <w:rPr>
          <w:rFonts w:ascii="Arial" w:cs="Arial" w:eastAsia="Arial" w:hAnsi="Arial"/>
          <w:b w:val="false"/>
          <w:bCs w:val="false"/>
          <w:i w:val="false"/>
          <w:iCs w:val="false"/>
          <w:color w:val="595959"/>
          <w:sz w:val="17"/>
          <w:szCs w:val="17"/>
        </w:rPr>
        <w:t xml:space="preserve">   47 words</w:t>
      </w:r>
    </w:p>
    <w:p>
      <w:pPr>
        <w:spacing w:after="70"/>
      </w:pPr>
      <w:r>
        <w:rPr>
          <w:rFonts w:ascii="Arial" w:cs="Arial" w:eastAsia="Arial" w:hAnsi="Arial"/>
          <w:b w:val="false"/>
          <w:bCs w:val="false"/>
          <w:i/>
          <w:iCs/>
          <w:color w:val="595959"/>
          <w:sz w:val="17"/>
          <w:szCs w:val="17"/>
        </w:rPr>
        <w:t xml:space="preserve">Form asks: what are you doing?</w:t>
      </w:r>
    </w:p>
    <w:p>
      <w:pPr>
        <w:spacing w:after="60" w:line="276"/>
      </w:pPr>
      <w:r>
        <w:rPr>
          <w:rFonts w:ascii="Arial" w:cs="Arial" w:eastAsia="Arial" w:hAnsi="Arial"/>
          <w:b w:val="false"/>
          <w:bCs w:val="false"/>
          <w:i w:val="false"/>
          <w:iCs w:val="false"/>
          <w:color w:val="000000"/>
          <w:sz w:val="20"/>
          <w:szCs w:val="20"/>
        </w:rPr>
        <w:t xml:space="preserve">Using NIH All of Us data, we will estimate whether initiating a GLP-1 receptor agonist (GLP-1 RA) is associated with movement to a lower cardiovascular-kidney-metabolic (CKM) stage, or slower progression, in adults at CKM stage 1-2: stage transition, an endpoint no pivotal GLP-1 RA trial measured.</w:t>
      </w:r>
    </w:p>
    <w:p>
      <w:pPr>
        <w:spacing w:after="40" w:before="220"/>
      </w:pPr>
      <w:r>
        <w:rPr>
          <w:rFonts w:ascii="Arial" w:cs="Arial" w:eastAsia="Arial" w:hAnsi="Arial"/>
          <w:b/>
          <w:bCs/>
          <w:i w:val="false"/>
          <w:iCs w:val="false"/>
          <w:color w:val="1F3864"/>
          <w:sz w:val="22"/>
          <w:szCs w:val="22"/>
        </w:rPr>
        <w:t xml:space="preserve">b) Rationale</w:t>
      </w:r>
      <w:r>
        <w:rPr>
          <w:rFonts w:ascii="Arial" w:cs="Arial" w:eastAsia="Arial" w:hAnsi="Arial"/>
          <w:b w:val="false"/>
          <w:bCs w:val="false"/>
          <w:i w:val="false"/>
          <w:iCs w:val="false"/>
          <w:color w:val="595959"/>
          <w:sz w:val="17"/>
          <w:szCs w:val="17"/>
        </w:rPr>
        <w:t xml:space="preserve">   64 words</w:t>
      </w:r>
    </w:p>
    <w:p>
      <w:pPr>
        <w:spacing w:after="70"/>
      </w:pPr>
      <w:r>
        <w:rPr>
          <w:rFonts w:ascii="Arial" w:cs="Arial" w:eastAsia="Arial" w:hAnsi="Arial"/>
          <w:b w:val="false"/>
          <w:bCs w:val="false"/>
          <w:i/>
          <w:iCs/>
          <w:color w:val="595959"/>
          <w:sz w:val="17"/>
          <w:szCs w:val="17"/>
        </w:rPr>
        <w:t xml:space="preserve">Form asks: why is this important?</w:t>
      </w:r>
    </w:p>
    <w:p>
      <w:pPr>
        <w:spacing w:after="60" w:line="276"/>
      </w:pPr>
      <w:r>
        <w:rPr>
          <w:rFonts w:ascii="Arial" w:cs="Arial" w:eastAsia="Arial" w:hAnsi="Arial"/>
          <w:b w:val="false"/>
          <w:bCs w:val="false"/>
          <w:i w:val="false"/>
          <w:iCs w:val="false"/>
          <w:color w:val="000000"/>
          <w:sz w:val="20"/>
          <w:szCs w:val="20"/>
        </w:rPr>
        <w:t xml:space="preserve">The 2026 AHA/ACC/ADA/ASN guideline makes preventing progression and promoting regression the goal of CKM care, yet SELECT, FLOW and SUMMIT enrolled stage 3-4 patients counting events; ongoing DASH-CKMH targets sex-based heterogeneity. Early stages in primary care remain unstudied. Since May and July 2026, Medicaid's BALANCE Model and Medicare's GLP-1 Bridge have expanded access for mostly stage 1-2 adults, scaling prescribing ahead of evidence.</w:t>
      </w:r>
    </w:p>
    <w:p>
      <w:pPr>
        <w:spacing w:after="40" w:before="220"/>
      </w:pPr>
      <w:r>
        <w:rPr>
          <w:rFonts w:ascii="Arial" w:cs="Arial" w:eastAsia="Arial" w:hAnsi="Arial"/>
          <w:b/>
          <w:bCs/>
          <w:i w:val="false"/>
          <w:iCs w:val="false"/>
          <w:color w:val="1F3864"/>
          <w:sz w:val="22"/>
          <w:szCs w:val="22"/>
        </w:rPr>
        <w:t xml:space="preserve">c) Objectives</w:t>
      </w:r>
      <w:r>
        <w:rPr>
          <w:rFonts w:ascii="Arial" w:cs="Arial" w:eastAsia="Arial" w:hAnsi="Arial"/>
          <w:b w:val="false"/>
          <w:bCs w:val="false"/>
          <w:i w:val="false"/>
          <w:iCs w:val="false"/>
          <w:color w:val="595959"/>
          <w:sz w:val="17"/>
          <w:szCs w:val="17"/>
        </w:rPr>
        <w:t xml:space="preserve">   34 words</w:t>
      </w:r>
    </w:p>
    <w:p>
      <w:pPr>
        <w:spacing w:after="70"/>
      </w:pPr>
      <w:r>
        <w:rPr>
          <w:rFonts w:ascii="Arial" w:cs="Arial" w:eastAsia="Arial" w:hAnsi="Arial"/>
          <w:b w:val="false"/>
          <w:bCs w:val="false"/>
          <w:i/>
          <w:iCs/>
          <w:color w:val="595959"/>
          <w:sz w:val="17"/>
          <w:szCs w:val="17"/>
        </w:rPr>
        <w:t xml:space="preserve">Form asks: what do you hope to achieve?</w:t>
      </w:r>
    </w:p>
    <w:p>
      <w:pPr>
        <w:spacing w:after="60" w:line="276"/>
      </w:pPr>
      <w:r>
        <w:rPr>
          <w:rFonts w:ascii="Arial" w:cs="Arial" w:eastAsia="Arial" w:hAnsi="Arial"/>
          <w:b w:val="false"/>
          <w:bCs w:val="false"/>
          <w:i w:val="false"/>
          <w:iCs w:val="false"/>
          <w:color w:val="000000"/>
          <w:sz w:val="20"/>
          <w:szCs w:val="20"/>
        </w:rPr>
        <w:t xml:space="preserve">(1) Extend cross-sectional CKM staging into a serial, time-updated stage variable and count initiators; (2) estimate GLP-1 RA initiation's association with stage progression and regression; (3) test pre-specified modification by race/ethnicity and insurance.</w:t>
      </w:r>
    </w:p>
    <w:p>
      <w:pPr>
        <w:spacing w:after="40" w:before="220"/>
      </w:pPr>
      <w:r>
        <w:rPr>
          <w:rFonts w:ascii="Arial" w:cs="Arial" w:eastAsia="Arial" w:hAnsi="Arial"/>
          <w:b/>
          <w:bCs/>
          <w:i w:val="false"/>
          <w:iCs w:val="false"/>
          <w:color w:val="1F3864"/>
          <w:sz w:val="22"/>
          <w:szCs w:val="22"/>
        </w:rPr>
        <w:t xml:space="preserve">d) Summary of methods</w:t>
      </w:r>
      <w:r>
        <w:rPr>
          <w:rFonts w:ascii="Arial" w:cs="Arial" w:eastAsia="Arial" w:hAnsi="Arial"/>
          <w:b w:val="false"/>
          <w:bCs w:val="false"/>
          <w:i w:val="false"/>
          <w:iCs w:val="false"/>
          <w:color w:val="595959"/>
          <w:sz w:val="17"/>
          <w:szCs w:val="17"/>
        </w:rPr>
        <w:t xml:space="preserve">   100 words</w:t>
      </w:r>
    </w:p>
    <w:p>
      <w:pPr>
        <w:spacing w:after="70"/>
      </w:pPr>
      <w:r>
        <w:rPr>
          <w:rFonts w:ascii="Arial" w:cs="Arial" w:eastAsia="Arial" w:hAnsi="Arial"/>
          <w:b w:val="false"/>
          <w:bCs w:val="false"/>
          <w:i/>
          <w:iCs/>
          <w:color w:val="595959"/>
          <w:sz w:val="17"/>
          <w:szCs w:val="17"/>
        </w:rPr>
        <w:t xml:space="preserve">Form asks: how will you carry this out?</w:t>
      </w:r>
    </w:p>
    <w:p>
      <w:pPr>
        <w:spacing w:after="60" w:line="276"/>
      </w:pPr>
      <w:r>
        <w:rPr>
          <w:rFonts w:ascii="Arial" w:cs="Arial" w:eastAsia="Arial" w:hAnsi="Arial"/>
          <w:b w:val="false"/>
          <w:bCs w:val="false"/>
          <w:i w:val="false"/>
          <w:iCs w:val="false"/>
          <w:color w:val="000000"/>
          <w:sz w:val="20"/>
          <w:szCs w:val="20"/>
        </w:rPr>
        <w:t xml:space="preserve">Eligible: adults staged CKM 1-2 with baseline labs, no prior-year GLP-1 RA. Strategies: GLP-1 RA (tirzepatide included) versus DPP-4 inhibitor (no MACE benefit) in type 2 diabetes, otherwise versus non-incretin anti-obesity medication; a secondary comparator adds sulfonylureas, bracketing weight-gain bias. Time zero: first fill; 90-day grace period, clone-censoring and censoring weights remove immortal time; propensity-score overlap weighting approximates randomized assignment, SGLT2i balanced at baseline. Re-staged six-monthly; progression is primary, regression a lower stage at two consecutive assessments on reversible components; stage 3 by PREVENT risk; death competes (multistate model). Observational intention-to-treat; per-protocol censoring 60-day gaps; E-values bound unmeasured confounding.</w:t>
      </w:r>
    </w:p>
    <w:p>
      <w:pPr>
        <w:spacing w:after="40" w:before="220"/>
      </w:pPr>
      <w:r>
        <w:rPr>
          <w:rFonts w:ascii="Arial" w:cs="Arial" w:eastAsia="Arial" w:hAnsi="Arial"/>
          <w:b/>
          <w:bCs/>
          <w:i w:val="false"/>
          <w:iCs w:val="false"/>
          <w:color w:val="1F3864"/>
          <w:sz w:val="22"/>
          <w:szCs w:val="22"/>
        </w:rPr>
        <w:t xml:space="preserve">e) Scope of project</w:t>
      </w:r>
      <w:r>
        <w:rPr>
          <w:rFonts w:ascii="Arial" w:cs="Arial" w:eastAsia="Arial" w:hAnsi="Arial"/>
          <w:b w:val="false"/>
          <w:bCs w:val="false"/>
          <w:i w:val="false"/>
          <w:iCs w:val="false"/>
          <w:color w:val="595959"/>
          <w:sz w:val="17"/>
          <w:szCs w:val="17"/>
        </w:rPr>
        <w:t xml:space="preserve">   58 words</w:t>
      </w:r>
    </w:p>
    <w:p>
      <w:pPr>
        <w:spacing w:after="70"/>
      </w:pPr>
      <w:r>
        <w:rPr>
          <w:rFonts w:ascii="Arial" w:cs="Arial" w:eastAsia="Arial" w:hAnsi="Arial"/>
          <w:b w:val="false"/>
          <w:bCs w:val="false"/>
          <w:i/>
          <w:iCs/>
          <w:color w:val="595959"/>
          <w:sz w:val="17"/>
          <w:szCs w:val="17"/>
        </w:rPr>
        <w:t xml:space="preserve">Form asks: how many patients will be involved?</w:t>
      </w:r>
    </w:p>
    <w:p>
      <w:pPr>
        <w:spacing w:after="60" w:line="276"/>
      </w:pPr>
      <w:r>
        <w:rPr>
          <w:rFonts w:ascii="Arial" w:cs="Arial" w:eastAsia="Arial" w:hAnsi="Arial"/>
          <w:b w:val="false"/>
          <w:bCs w:val="false"/>
          <w:i w:val="false"/>
          <w:iCs w:val="false"/>
          <w:color w:val="000000"/>
          <w:sz w:val="20"/>
          <w:szCs w:val="20"/>
        </w:rPr>
        <w:t xml:space="preserve">Two-thirds of staged All of Us participants fall at stages 1-2; from 400,000+ participants with linked records we draw initiators and comparators. We anticipate several thousand stage 2 and several hundred stage 1 initiators; stage 1 pools with stage 2 below 500. Records extend to about 2023, so we analyze earlier initiators; transitions accrue years before events.</w:t>
      </w:r>
    </w:p>
    <w:p>
      <w:pPr>
        <w:spacing w:after="40" w:before="220"/>
      </w:pPr>
      <w:r>
        <w:rPr>
          <w:rFonts w:ascii="Arial" w:cs="Arial" w:eastAsia="Arial" w:hAnsi="Arial"/>
          <w:b/>
          <w:bCs/>
          <w:i w:val="false"/>
          <w:iCs w:val="false"/>
          <w:color w:val="1F3864"/>
          <w:sz w:val="22"/>
          <w:szCs w:val="22"/>
        </w:rPr>
        <w:t xml:space="preserve">f) Expected outcomes and impact</w:t>
      </w:r>
      <w:r>
        <w:rPr>
          <w:rFonts w:ascii="Arial" w:cs="Arial" w:eastAsia="Arial" w:hAnsi="Arial"/>
          <w:b w:val="false"/>
          <w:bCs w:val="false"/>
          <w:i w:val="false"/>
          <w:iCs w:val="false"/>
          <w:color w:val="595959"/>
          <w:sz w:val="17"/>
          <w:szCs w:val="17"/>
        </w:rPr>
        <w:t xml:space="preserve">   54 words</w:t>
      </w:r>
    </w:p>
    <w:p>
      <w:pPr>
        <w:spacing w:after="70"/>
      </w:pPr>
      <w:r>
        <w:rPr>
          <w:rFonts w:ascii="Arial" w:cs="Arial" w:eastAsia="Arial" w:hAnsi="Arial"/>
          <w:b w:val="false"/>
          <w:bCs w:val="false"/>
          <w:i/>
          <w:iCs/>
          <w:color w:val="595959"/>
          <w:sz w:val="17"/>
          <w:szCs w:val="17"/>
        </w:rPr>
        <w:t xml:space="preserve">Form asks: what difference will this make in CKM healthcare?</w:t>
      </w:r>
    </w:p>
    <w:p>
      <w:pPr>
        <w:spacing w:after="60" w:line="276"/>
      </w:pPr>
      <w:r>
        <w:rPr>
          <w:rFonts w:ascii="Arial" w:cs="Arial" w:eastAsia="Arial" w:hAnsi="Arial"/>
          <w:b w:val="false"/>
          <w:bCs w:val="false"/>
          <w:i w:val="false"/>
          <w:iCs w:val="false"/>
          <w:color w:val="000000"/>
          <w:sz w:val="20"/>
          <w:szCs w:val="20"/>
        </w:rPr>
        <w:t xml:space="preserve">Family physicians gain stage-specific progression and regression rates. An association robust to E-values would justify a randomized trial of earlier initiation; a robust null would argue against earlier use ahead of trial evidence, prioritizing stages 3-4. Our cohort includes the Black, Hispanic and lower-income adults carrying the heaviest cardiorenal burden, whom trials under-enroll.</w:t>
      </w:r>
    </w:p>
    <w:p>
      <w:pPr>
        <w:spacing w:after="40" w:before="220"/>
      </w:pPr>
      <w:r>
        <w:rPr>
          <w:rFonts w:ascii="Arial" w:cs="Arial" w:eastAsia="Arial" w:hAnsi="Arial"/>
          <w:b/>
          <w:bCs/>
          <w:i w:val="false"/>
          <w:iCs w:val="false"/>
          <w:color w:val="1F3864"/>
          <w:sz w:val="22"/>
          <w:szCs w:val="22"/>
        </w:rPr>
        <w:t xml:space="preserve">g) Plans to share information</w:t>
      </w:r>
      <w:r>
        <w:rPr>
          <w:rFonts w:ascii="Arial" w:cs="Arial" w:eastAsia="Arial" w:hAnsi="Arial"/>
          <w:b w:val="false"/>
          <w:bCs w:val="false"/>
          <w:i w:val="false"/>
          <w:iCs w:val="false"/>
          <w:color w:val="595959"/>
          <w:sz w:val="17"/>
          <w:szCs w:val="17"/>
        </w:rPr>
        <w:t xml:space="preserve">   35 words</w:t>
      </w:r>
    </w:p>
    <w:p>
      <w:pPr>
        <w:spacing w:after="70"/>
      </w:pPr>
      <w:r>
        <w:rPr>
          <w:rFonts w:ascii="Arial" w:cs="Arial" w:eastAsia="Arial" w:hAnsi="Arial"/>
          <w:b w:val="false"/>
          <w:bCs w:val="false"/>
          <w:i/>
          <w:iCs/>
          <w:color w:val="595959"/>
          <w:sz w:val="17"/>
          <w:szCs w:val="17"/>
        </w:rPr>
        <w:t xml:space="preserve">Form asks: who is your audience, how big, and how will you reach them?</w:t>
      </w:r>
    </w:p>
    <w:p>
      <w:pPr>
        <w:spacing w:after="60" w:line="276"/>
      </w:pPr>
      <w:r>
        <w:rPr>
          <w:rFonts w:ascii="Arial" w:cs="Arial" w:eastAsia="Arial" w:hAnsi="Arial"/>
          <w:b w:val="false"/>
          <w:bCs w:val="false"/>
          <w:i w:val="false"/>
          <w:iCs w:val="false"/>
          <w:color w:val="000000"/>
          <w:sz w:val="20"/>
          <w:szCs w:val="20"/>
        </w:rPr>
        <w:t xml:space="preserve">Audiences: family physicians and cardiorenal researchers. Abstracts at AAFP FMX and AHA Sessions (thousands of clinicians each); a practice brief; a one-page stage-transition chart; staging code released to thousands of All of Us investigators.</w:t>
      </w:r>
    </w:p>
    <w:p>
      <w:pPr>
        <w:spacing w:after="40" w:before="220"/>
      </w:pPr>
      <w:r>
        <w:rPr>
          <w:rFonts w:ascii="Arial" w:cs="Arial" w:eastAsia="Arial" w:hAnsi="Arial"/>
          <w:b/>
          <w:bCs/>
          <w:i w:val="false"/>
          <w:iCs w:val="false"/>
          <w:color w:val="1F3864"/>
          <w:sz w:val="22"/>
          <w:szCs w:val="22"/>
        </w:rPr>
        <w:t xml:space="preserve">h) Collaboration</w:t>
      </w:r>
      <w:r>
        <w:rPr>
          <w:rFonts w:ascii="Arial" w:cs="Arial" w:eastAsia="Arial" w:hAnsi="Arial"/>
          <w:b w:val="false"/>
          <w:bCs w:val="false"/>
          <w:i w:val="false"/>
          <w:iCs w:val="false"/>
          <w:color w:val="595959"/>
          <w:sz w:val="17"/>
          <w:szCs w:val="17"/>
        </w:rPr>
        <w:t xml:space="preserve">   40 words</w:t>
      </w:r>
    </w:p>
    <w:p>
      <w:pPr>
        <w:spacing w:after="70"/>
      </w:pPr>
      <w:r>
        <w:rPr>
          <w:rFonts w:ascii="Arial" w:cs="Arial" w:eastAsia="Arial" w:hAnsi="Arial"/>
          <w:b w:val="false"/>
          <w:bCs w:val="false"/>
          <w:i/>
          <w:iCs/>
          <w:color w:val="595959"/>
          <w:sz w:val="17"/>
          <w:szCs w:val="17"/>
        </w:rPr>
        <w:t xml:space="preserve">Form asks: identify at least one person who supports your project</w:t>
      </w:r>
    </w:p>
    <w:p>
      <w:pPr>
        <w:spacing w:after="60" w:line="276"/>
      </w:pPr>
      <w:r>
        <w:rPr>
          <w:rFonts w:ascii="Arial" w:cs="Arial" w:eastAsia="Arial" w:hAnsi="Arial"/>
          <w:b w:val="false"/>
          <w:bCs w:val="false"/>
          <w:i w:val="false"/>
          <w:iCs w:val="false"/>
          <w:color w:val="000000"/>
          <w:sz w:val="20"/>
          <w:szCs w:val="20"/>
        </w:rPr>
        <w:t xml:space="preserve">Dr. Yong Eun, the board-certified primary care internist who sees these stage 1-2 patients at NYC H+H/Harlem and first-authored our Neurology (2026) semaglutide paper, supports this project and will co-lead the analysis; Dr. Marie S. Thearle adds cardiometabolic expertise.</w:t>
      </w:r>
    </w:p>
    <w:p>
      <w:pPr>
        <w:spacing w:after="40" w:before="220"/>
      </w:pPr>
      <w:r>
        <w:rPr>
          <w:rFonts w:ascii="Arial" w:cs="Arial" w:eastAsia="Arial" w:hAnsi="Arial"/>
          <w:b/>
          <w:bCs/>
          <w:i w:val="false"/>
          <w:iCs w:val="false"/>
          <w:color w:val="1F3864"/>
          <w:sz w:val="22"/>
          <w:szCs w:val="22"/>
        </w:rPr>
        <w:t xml:space="preserve">i) Capacity</w:t>
      </w:r>
      <w:r>
        <w:rPr>
          <w:rFonts w:ascii="Arial" w:cs="Arial" w:eastAsia="Arial" w:hAnsi="Arial"/>
          <w:b w:val="false"/>
          <w:bCs w:val="false"/>
          <w:i w:val="false"/>
          <w:iCs w:val="false"/>
          <w:color w:val="595959"/>
          <w:sz w:val="17"/>
          <w:szCs w:val="17"/>
        </w:rPr>
        <w:t xml:space="preserve">   66 words</w:t>
      </w:r>
    </w:p>
    <w:p>
      <w:pPr>
        <w:spacing w:after="70"/>
      </w:pPr>
      <w:r>
        <w:rPr>
          <w:rFonts w:ascii="Arial" w:cs="Arial" w:eastAsia="Arial" w:hAnsi="Arial"/>
          <w:b w:val="false"/>
          <w:bCs w:val="false"/>
          <w:i/>
          <w:iCs/>
          <w:color w:val="595959"/>
          <w:sz w:val="17"/>
          <w:szCs w:val="17"/>
        </w:rPr>
        <w:t xml:space="preserve">Form asks: can you and your organization complete the project?</w:t>
      </w:r>
    </w:p>
    <w:p>
      <w:pPr>
        <w:spacing w:after="60" w:line="276"/>
      </w:pPr>
      <w:r>
        <w:rPr>
          <w:rFonts w:ascii="Arial" w:cs="Arial" w:eastAsia="Arial" w:hAnsi="Arial"/>
          <w:b w:val="false"/>
          <w:bCs w:val="false"/>
          <w:i w:val="false"/>
          <w:iCs w:val="false"/>
          <w:color w:val="000000"/>
          <w:sz w:val="20"/>
          <w:szCs w:val="20"/>
        </w:rPr>
        <w:t xml:space="preserve">As ten-year Multi-PI of the NYC All of Us Consortium (35,000+ enrolled, 9 FTE) I was selected for a beta Workbench use case decomposing metabolic syndrome into components, analogous to CKM staging. I am Division Chief and Director of Research at NYC H+H/Harlem. As the endocrinologist these patients reach after progressing, I build evidence for clinicians upstream. Data are Workbench-ready: no recruitment or new collection.</w:t>
      </w:r>
    </w:p>
    <w:p>
      <w:r>
        <w:br w:type="page"/>
      </w:r>
    </w:p>
    <w:p>
      <w:pPr>
        <w:pBdr>
          <w:bottom w:val="single" w:color="1F3864" w:sz="6" w:space="4"/>
        </w:pBdr>
        <w:spacing w:after="140" w:before="320"/>
      </w:pPr>
      <w:r>
        <w:rPr>
          <w:rFonts w:ascii="Arial" w:cs="Arial" w:eastAsia="Arial" w:hAnsi="Arial"/>
          <w:b/>
          <w:bCs/>
          <w:color w:val="1F3864"/>
          <w:sz w:val="26"/>
          <w:szCs w:val="26"/>
        </w:rPr>
        <w:t xml:space="preserve">Independent review outcome</w:t>
      </w:r>
    </w:p>
    <w:p>
      <w:pPr>
        <w:spacing w:after="120" w:before="60" w:line="276"/>
        <w:jc w:val="left"/>
      </w:pPr>
      <w:r>
        <w:rPr>
          <w:rFonts w:ascii="Arial" w:cs="Arial" w:eastAsia="Arial" w:hAnsi="Arial"/>
          <w:b w:val="false"/>
          <w:bCs w:val="false"/>
          <w:i w:val="false"/>
          <w:iCs w:val="false"/>
          <w:color w:val="000000"/>
          <w:sz w:val="19"/>
          <w:szCs w:val="19"/>
        </w:rPr>
        <w:t xml:space="preserve">This draft was revised after a structured review in which four independent reviewers scored it against the three criteria the REACH Grants Review Committee actually uses, a rewrite was produced against their findings, and three verifiers checked compliance, factual accuracy, and re-scored the result.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200"/>
        <w:gridCol w:w="1700"/>
        <w:gridCol w:w="1700"/>
        <w:gridCol w:w="2000"/>
      </w:tblGrid>
      <w:tr>
        <w:trPr>
          <w:tblHeader/>
        </w:trPr>
        <w:tc>
          <w:tcPr>
            <w:tcW w:type="dxa" w:w="4200"/>
            <w:shd w:fill="1F3864" w:color="auto" w:val="clear"/>
            <w:tcMar>
              <w:top w:type="dxa" w:w="80"/>
              <w:left w:type="dxa" w:w="110"/>
              <w:bottom w:type="dxa" w:w="80"/>
              <w:right w:type="dxa" w:w="110"/>
            </w:tcMar>
          </w:tcPr>
          <w:p>
            <w:r>
              <w:rPr>
                <w:rFonts w:ascii="Arial" w:cs="Arial" w:eastAsia="Arial" w:hAnsi="Arial"/>
                <w:b/>
                <w:bCs/>
                <w:i w:val="false"/>
                <w:iCs w:val="false"/>
                <w:color w:val="FFFFFF"/>
                <w:sz w:val="19"/>
                <w:szCs w:val="19"/>
              </w:rPr>
              <w:t xml:space="preserve">REACH scoring criterion</w:t>
            </w:r>
          </w:p>
        </w:tc>
        <w:tc>
          <w:tcPr>
            <w:tcW w:type="dxa" w:w="1700"/>
            <w:shd w:fill="1F3864" w:color="auto" w:val="clear"/>
            <w:tcMar>
              <w:top w:type="dxa" w:w="80"/>
              <w:left w:type="dxa" w:w="110"/>
              <w:bottom w:type="dxa" w:w="80"/>
              <w:right w:type="dxa" w:w="110"/>
            </w:tcMar>
          </w:tcPr>
          <w:p>
            <w:r>
              <w:rPr>
                <w:rFonts w:ascii="Arial" w:cs="Arial" w:eastAsia="Arial" w:hAnsi="Arial"/>
                <w:b/>
                <w:bCs/>
                <w:i w:val="false"/>
                <w:iCs w:val="false"/>
                <w:color w:val="FFFFFF"/>
                <w:sz w:val="19"/>
                <w:szCs w:val="19"/>
              </w:rPr>
              <w:t xml:space="preserve">Before</w:t>
            </w:r>
          </w:p>
        </w:tc>
        <w:tc>
          <w:tcPr>
            <w:tcW w:type="dxa" w:w="1700"/>
            <w:shd w:fill="1F3864" w:color="auto" w:val="clear"/>
            <w:tcMar>
              <w:top w:type="dxa" w:w="80"/>
              <w:left w:type="dxa" w:w="110"/>
              <w:bottom w:type="dxa" w:w="80"/>
              <w:right w:type="dxa" w:w="110"/>
            </w:tcMar>
          </w:tcPr>
          <w:p>
            <w:r>
              <w:rPr>
                <w:rFonts w:ascii="Arial" w:cs="Arial" w:eastAsia="Arial" w:hAnsi="Arial"/>
                <w:b/>
                <w:bCs/>
                <w:i w:val="false"/>
                <w:iCs w:val="false"/>
                <w:color w:val="FFFFFF"/>
                <w:sz w:val="19"/>
                <w:szCs w:val="19"/>
              </w:rPr>
              <w:t xml:space="preserve">After</w:t>
            </w:r>
          </w:p>
        </w:tc>
        <w:tc>
          <w:tcPr>
            <w:tcW w:type="dxa" w:w="2000"/>
            <w:shd w:fill="1F3864" w:color="auto" w:val="clear"/>
            <w:tcMar>
              <w:top w:type="dxa" w:w="80"/>
              <w:left w:type="dxa" w:w="110"/>
              <w:bottom w:type="dxa" w:w="80"/>
              <w:right w:type="dxa" w:w="110"/>
            </w:tcMar>
          </w:tcPr>
          <w:p>
            <w:r>
              <w:rPr>
                <w:rFonts w:ascii="Arial" w:cs="Arial" w:eastAsia="Arial" w:hAnsi="Arial"/>
                <w:b/>
                <w:bCs/>
                <w:i w:val="false"/>
                <w:iCs w:val="false"/>
                <w:color w:val="FFFFFF"/>
                <w:sz w:val="19"/>
                <w:szCs w:val="19"/>
              </w:rPr>
              <w:t xml:space="preserve">Change</w:t>
            </w:r>
          </w:p>
        </w:tc>
      </w:tr>
      <w:tr>
        <w:trPr>
          <w:tblHeader w:val="false"/>
        </w:trPr>
        <w:tc>
          <w:tcPr>
            <w:tcW w:type="dxa" w:w="4200"/>
            <w:tcMar>
              <w:top w:type="dxa" w:w="80"/>
              <w:left w:type="dxa" w:w="110"/>
              <w:bottom w:type="dxa" w:w="80"/>
              <w:right w:type="dxa" w:w="110"/>
            </w:tcMar>
          </w:tcPr>
          <w:p>
            <w:r>
              <w:rPr>
                <w:rFonts w:ascii="Arial" w:cs="Arial" w:eastAsia="Arial" w:hAnsi="Arial"/>
                <w:b w:val="false"/>
                <w:bCs w:val="false"/>
                <w:i w:val="false"/>
                <w:iCs w:val="false"/>
                <w:color w:val="000000"/>
                <w:sz w:val="19"/>
                <w:szCs w:val="19"/>
              </w:rPr>
              <w:t xml:space="preserve">Innovation</w:t>
            </w:r>
          </w:p>
        </w:tc>
        <w:tc>
          <w:tcPr>
            <w:tcW w:type="dxa" w:w="1700"/>
            <w:tcMar>
              <w:top w:type="dxa" w:w="80"/>
              <w:left w:type="dxa" w:w="110"/>
              <w:bottom w:type="dxa" w:w="80"/>
              <w:right w:type="dxa" w:w="110"/>
            </w:tcMar>
          </w:tcPr>
          <w:p>
            <w:r>
              <w:rPr>
                <w:rFonts w:ascii="Arial" w:cs="Arial" w:eastAsia="Arial" w:hAnsi="Arial"/>
                <w:b w:val="false"/>
                <w:bCs w:val="false"/>
                <w:i w:val="false"/>
                <w:iCs w:val="false"/>
                <w:color w:val="000000"/>
                <w:sz w:val="19"/>
                <w:szCs w:val="19"/>
              </w:rPr>
              <w:t xml:space="preserve">5 / 9</w:t>
            </w:r>
          </w:p>
        </w:tc>
        <w:tc>
          <w:tcPr>
            <w:tcW w:type="dxa" w:w="1700"/>
            <w:tcMar>
              <w:top w:type="dxa" w:w="80"/>
              <w:left w:type="dxa" w:w="110"/>
              <w:bottom w:type="dxa" w:w="80"/>
              <w:right w:type="dxa" w:w="110"/>
            </w:tcMar>
          </w:tcPr>
          <w:p>
            <w:r>
              <w:rPr>
                <w:rFonts w:ascii="Arial" w:cs="Arial" w:eastAsia="Arial" w:hAnsi="Arial"/>
                <w:b w:val="false"/>
                <w:bCs w:val="false"/>
                <w:i w:val="false"/>
                <w:iCs w:val="false"/>
                <w:color w:val="000000"/>
                <w:sz w:val="19"/>
                <w:szCs w:val="19"/>
              </w:rPr>
              <w:t xml:space="preserve">7 / 9</w:t>
            </w:r>
          </w:p>
        </w:tc>
        <w:tc>
          <w:tcPr>
            <w:tcW w:type="dxa" w:w="2000"/>
            <w:tcMar>
              <w:top w:type="dxa" w:w="80"/>
              <w:left w:type="dxa" w:w="110"/>
              <w:bottom w:type="dxa" w:w="80"/>
              <w:right w:type="dxa" w:w="110"/>
            </w:tcMar>
          </w:tcPr>
          <w:p>
            <w:r>
              <w:rPr>
                <w:rFonts w:ascii="Arial" w:cs="Arial" w:eastAsia="Arial" w:hAnsi="Arial"/>
                <w:b w:val="false"/>
                <w:bCs w:val="false"/>
                <w:i w:val="false"/>
                <w:iCs w:val="false"/>
                <w:color w:val="000000"/>
                <w:sz w:val="19"/>
                <w:szCs w:val="19"/>
              </w:rPr>
              <w:t xml:space="preserve">improved</w:t>
            </w:r>
          </w:p>
        </w:tc>
      </w:tr>
      <w:tr>
        <w:trPr>
          <w:tblHeader w:val="false"/>
        </w:trPr>
        <w:tc>
          <w:tcPr>
            <w:tcW w:type="dxa" w:w="4200"/>
            <w:shd w:fill="F2F5FA" w:color="auto" w:val="clear"/>
            <w:tcMar>
              <w:top w:type="dxa" w:w="80"/>
              <w:left w:type="dxa" w:w="110"/>
              <w:bottom w:type="dxa" w:w="80"/>
              <w:right w:type="dxa" w:w="110"/>
            </w:tcMar>
          </w:tcPr>
          <w:p>
            <w:r>
              <w:rPr>
                <w:rFonts w:ascii="Arial" w:cs="Arial" w:eastAsia="Arial" w:hAnsi="Arial"/>
                <w:b w:val="false"/>
                <w:bCs w:val="false"/>
                <w:i w:val="false"/>
                <w:iCs w:val="false"/>
                <w:color w:val="000000"/>
                <w:sz w:val="19"/>
                <w:szCs w:val="19"/>
              </w:rPr>
              <w:t xml:space="preserve">Quality of research approach</w:t>
            </w:r>
          </w:p>
        </w:tc>
        <w:tc>
          <w:tcPr>
            <w:tcW w:type="dxa" w:w="1700"/>
            <w:shd w:fill="F2F5FA" w:color="auto" w:val="clear"/>
            <w:tcMar>
              <w:top w:type="dxa" w:w="80"/>
              <w:left w:type="dxa" w:w="110"/>
              <w:bottom w:type="dxa" w:w="80"/>
              <w:right w:type="dxa" w:w="110"/>
            </w:tcMar>
          </w:tcPr>
          <w:p>
            <w:r>
              <w:rPr>
                <w:rFonts w:ascii="Arial" w:cs="Arial" w:eastAsia="Arial" w:hAnsi="Arial"/>
                <w:b w:val="false"/>
                <w:bCs w:val="false"/>
                <w:i w:val="false"/>
                <w:iCs w:val="false"/>
                <w:color w:val="000000"/>
                <w:sz w:val="19"/>
                <w:szCs w:val="19"/>
              </w:rPr>
              <w:t xml:space="preserve">5 / 9</w:t>
            </w:r>
          </w:p>
        </w:tc>
        <w:tc>
          <w:tcPr>
            <w:tcW w:type="dxa" w:w="1700"/>
            <w:shd w:fill="F2F5FA" w:color="auto" w:val="clear"/>
            <w:tcMar>
              <w:top w:type="dxa" w:w="80"/>
              <w:left w:type="dxa" w:w="110"/>
              <w:bottom w:type="dxa" w:w="80"/>
              <w:right w:type="dxa" w:w="110"/>
            </w:tcMar>
          </w:tcPr>
          <w:p>
            <w:r>
              <w:rPr>
                <w:rFonts w:ascii="Arial" w:cs="Arial" w:eastAsia="Arial" w:hAnsi="Arial"/>
                <w:b w:val="false"/>
                <w:bCs w:val="false"/>
                <w:i w:val="false"/>
                <w:iCs w:val="false"/>
                <w:color w:val="000000"/>
                <w:sz w:val="19"/>
                <w:szCs w:val="19"/>
              </w:rPr>
              <w:t xml:space="preserve">7 / 9</w:t>
            </w:r>
          </w:p>
        </w:tc>
        <w:tc>
          <w:tcPr>
            <w:tcW w:type="dxa" w:w="2000"/>
            <w:shd w:fill="F2F5FA" w:color="auto" w:val="clear"/>
            <w:tcMar>
              <w:top w:type="dxa" w:w="80"/>
              <w:left w:type="dxa" w:w="110"/>
              <w:bottom w:type="dxa" w:w="80"/>
              <w:right w:type="dxa" w:w="110"/>
            </w:tcMar>
          </w:tcPr>
          <w:p>
            <w:r>
              <w:rPr>
                <w:rFonts w:ascii="Arial" w:cs="Arial" w:eastAsia="Arial" w:hAnsi="Arial"/>
                <w:b w:val="false"/>
                <w:bCs w:val="false"/>
                <w:i w:val="false"/>
                <w:iCs w:val="false"/>
                <w:color w:val="000000"/>
                <w:sz w:val="19"/>
                <w:szCs w:val="19"/>
              </w:rPr>
              <w:t xml:space="preserve">improved</w:t>
            </w:r>
          </w:p>
        </w:tc>
      </w:tr>
      <w:tr>
        <w:trPr>
          <w:tblHeader w:val="false"/>
        </w:trPr>
        <w:tc>
          <w:tcPr>
            <w:tcW w:type="dxa" w:w="4200"/>
            <w:tcMar>
              <w:top w:type="dxa" w:w="80"/>
              <w:left w:type="dxa" w:w="110"/>
              <w:bottom w:type="dxa" w:w="80"/>
              <w:right w:type="dxa" w:w="110"/>
            </w:tcMar>
          </w:tcPr>
          <w:p>
            <w:r>
              <w:rPr>
                <w:rFonts w:ascii="Arial" w:cs="Arial" w:eastAsia="Arial" w:hAnsi="Arial"/>
                <w:b w:val="false"/>
                <w:bCs w:val="false"/>
                <w:i w:val="false"/>
                <w:iCs w:val="false"/>
                <w:color w:val="000000"/>
                <w:sz w:val="19"/>
                <w:szCs w:val="19"/>
              </w:rPr>
              <w:t xml:space="preserve">Anticipated cardiorenal impact</w:t>
            </w:r>
          </w:p>
        </w:tc>
        <w:tc>
          <w:tcPr>
            <w:tcW w:type="dxa" w:w="1700"/>
            <w:tcMar>
              <w:top w:type="dxa" w:w="80"/>
              <w:left w:type="dxa" w:w="110"/>
              <w:bottom w:type="dxa" w:w="80"/>
              <w:right w:type="dxa" w:w="110"/>
            </w:tcMar>
          </w:tcPr>
          <w:p>
            <w:r>
              <w:rPr>
                <w:rFonts w:ascii="Arial" w:cs="Arial" w:eastAsia="Arial" w:hAnsi="Arial"/>
                <w:b w:val="false"/>
                <w:bCs w:val="false"/>
                <w:i w:val="false"/>
                <w:iCs w:val="false"/>
                <w:color w:val="000000"/>
                <w:sz w:val="19"/>
                <w:szCs w:val="19"/>
              </w:rPr>
              <w:t xml:space="preserve">6 / 9</w:t>
            </w:r>
          </w:p>
        </w:tc>
        <w:tc>
          <w:tcPr>
            <w:tcW w:type="dxa" w:w="1700"/>
            <w:tcMar>
              <w:top w:type="dxa" w:w="80"/>
              <w:left w:type="dxa" w:w="110"/>
              <w:bottom w:type="dxa" w:w="80"/>
              <w:right w:type="dxa" w:w="110"/>
            </w:tcMar>
          </w:tcPr>
          <w:p>
            <w:r>
              <w:rPr>
                <w:rFonts w:ascii="Arial" w:cs="Arial" w:eastAsia="Arial" w:hAnsi="Arial"/>
                <w:b w:val="false"/>
                <w:bCs w:val="false"/>
                <w:i w:val="false"/>
                <w:iCs w:val="false"/>
                <w:color w:val="000000"/>
                <w:sz w:val="19"/>
                <w:szCs w:val="19"/>
              </w:rPr>
              <w:t xml:space="preserve">7 / 9</w:t>
            </w:r>
          </w:p>
        </w:tc>
        <w:tc>
          <w:tcPr>
            <w:tcW w:type="dxa" w:w="2000"/>
            <w:tcMar>
              <w:top w:type="dxa" w:w="80"/>
              <w:left w:type="dxa" w:w="110"/>
              <w:bottom w:type="dxa" w:w="80"/>
              <w:right w:type="dxa" w:w="110"/>
            </w:tcMar>
          </w:tcPr>
          <w:p>
            <w:r>
              <w:rPr>
                <w:rFonts w:ascii="Arial" w:cs="Arial" w:eastAsia="Arial" w:hAnsi="Arial"/>
                <w:b w:val="false"/>
                <w:bCs w:val="false"/>
                <w:i w:val="false"/>
                <w:iCs w:val="false"/>
                <w:color w:val="000000"/>
                <w:sz w:val="19"/>
                <w:szCs w:val="19"/>
              </w:rPr>
              <w:t xml:space="preserve">improved</w:t>
            </w:r>
          </w:p>
        </w:tc>
      </w:tr>
      <w:tr>
        <w:trPr>
          <w:tblHeader w:val="false"/>
        </w:trPr>
        <w:tc>
          <w:tcPr>
            <w:tcW w:type="dxa" w:w="4200"/>
            <w:shd w:fill="F2F5FA" w:color="auto" w:val="clear"/>
            <w:tcMar>
              <w:top w:type="dxa" w:w="80"/>
              <w:left w:type="dxa" w:w="110"/>
              <w:bottom w:type="dxa" w:w="80"/>
              <w:right w:type="dxa" w:w="110"/>
            </w:tcMar>
          </w:tcPr>
          <w:p>
            <w:r>
              <w:rPr>
                <w:rFonts w:ascii="Arial" w:cs="Arial" w:eastAsia="Arial" w:hAnsi="Arial"/>
                <w:b w:val="false"/>
                <w:bCs w:val="false"/>
                <w:i w:val="false"/>
                <w:iCs w:val="false"/>
                <w:color w:val="000000"/>
                <w:sz w:val="19"/>
                <w:szCs w:val="19"/>
              </w:rPr>
              <w:t xml:space="preserve">Total</w:t>
            </w:r>
          </w:p>
        </w:tc>
        <w:tc>
          <w:tcPr>
            <w:tcW w:type="dxa" w:w="1700"/>
            <w:shd w:fill="F2F5FA" w:color="auto" w:val="clear"/>
            <w:tcMar>
              <w:top w:type="dxa" w:w="80"/>
              <w:left w:type="dxa" w:w="110"/>
              <w:bottom w:type="dxa" w:w="80"/>
              <w:right w:type="dxa" w:w="110"/>
            </w:tcMar>
          </w:tcPr>
          <w:p>
            <w:r>
              <w:rPr>
                <w:rFonts w:ascii="Arial" w:cs="Arial" w:eastAsia="Arial" w:hAnsi="Arial"/>
                <w:b w:val="false"/>
                <w:bCs w:val="false"/>
                <w:i w:val="false"/>
                <w:iCs w:val="false"/>
                <w:color w:val="000000"/>
                <w:sz w:val="19"/>
                <w:szCs w:val="19"/>
              </w:rPr>
              <w:t xml:space="preserve">16 / 27</w:t>
            </w:r>
          </w:p>
        </w:tc>
        <w:tc>
          <w:tcPr>
            <w:tcW w:type="dxa" w:w="1700"/>
            <w:shd w:fill="F2F5FA" w:color="auto" w:val="clear"/>
            <w:tcMar>
              <w:top w:type="dxa" w:w="80"/>
              <w:left w:type="dxa" w:w="110"/>
              <w:bottom w:type="dxa" w:w="80"/>
              <w:right w:type="dxa" w:w="110"/>
            </w:tcMar>
          </w:tcPr>
          <w:p>
            <w:r>
              <w:rPr>
                <w:rFonts w:ascii="Arial" w:cs="Arial" w:eastAsia="Arial" w:hAnsi="Arial"/>
                <w:b w:val="false"/>
                <w:bCs w:val="false"/>
                <w:i w:val="false"/>
                <w:iCs w:val="false"/>
                <w:color w:val="000000"/>
                <w:sz w:val="19"/>
                <w:szCs w:val="19"/>
              </w:rPr>
              <w:t xml:space="preserve">21 / 27</w:t>
            </w:r>
          </w:p>
        </w:tc>
        <w:tc>
          <w:tcPr>
            <w:tcW w:type="dxa" w:w="2000"/>
            <w:shd w:fill="F2F5FA" w:color="auto" w:val="clear"/>
            <w:tcMar>
              <w:top w:type="dxa" w:w="80"/>
              <w:left w:type="dxa" w:w="110"/>
              <w:bottom w:type="dxa" w:w="80"/>
              <w:right w:type="dxa" w:w="110"/>
            </w:tcMar>
          </w:tcPr>
          <w:p>
            <w:r>
              <w:rPr>
                <w:rFonts w:ascii="Arial" w:cs="Arial" w:eastAsia="Arial" w:hAnsi="Arial"/>
                <w:b w:val="false"/>
                <w:bCs w:val="false"/>
                <w:i w:val="false"/>
                <w:iCs w:val="false"/>
                <w:color w:val="000000"/>
                <w:sz w:val="19"/>
                <w:szCs w:val="19"/>
              </w:rPr>
              <w:t xml:space="preserve">+5</w:t>
            </w:r>
          </w:p>
        </w:tc>
      </w:tr>
    </w:tbl>
    <w:p>
      <w:pPr>
        <w:spacing w:after="120" w:before="60" w:line="276"/>
        <w:jc w:val="left"/>
      </w:pPr>
      <w:r>
        <w:rPr>
          <w:rFonts w:ascii="Arial" w:cs="Arial" w:eastAsia="Arial" w:hAnsi="Arial"/>
          <w:b w:val="false"/>
          <w:bCs w:val="false"/>
          <w:i/>
          <w:iCs/>
          <w:color w:val="595959"/>
          <w:sz w:val="18"/>
          <w:szCs w:val="18"/>
        </w:rPr>
        <w:t xml:space="preserve">The harshest reviewer initially scored the draft as a triage — rejected without discussion. Fifty-nine weaknesses were identified, fifteen of them critical.</w:t>
      </w:r>
    </w:p>
    <w:p>
      <w:pPr>
        <w:spacing w:after="80" w:before="200"/>
      </w:pPr>
      <w:r>
        <w:rPr>
          <w:rFonts w:ascii="Arial" w:cs="Arial" w:eastAsia="Arial" w:hAnsi="Arial"/>
          <w:b/>
          <w:bCs/>
          <w:i w:val="false"/>
          <w:iCs w:val="false"/>
          <w:color w:val="1F3864"/>
          <w:sz w:val="22"/>
          <w:szCs w:val="22"/>
        </w:rPr>
        <w:t xml:space="preserve">What changed, and why it matters</w:t>
      </w:r>
    </w:p>
    <w:p>
      <w:pPr>
        <w:pStyle w:val="ListParagraph"/>
        <w:numPr>
          <w:ilvl w:val="0"/>
          <w:numId w:val="1"/>
        </w:numPr>
        <w:spacing w:after="40" w:before="40" w:line="276"/>
      </w:pPr>
      <w:r>
        <w:rPr>
          <w:rFonts w:ascii="Arial" w:cs="Arial" w:eastAsia="Arial" w:hAnsi="Arial"/>
          <w:b/>
          <w:bCs/>
          <w:i w:val="false"/>
          <w:iCs w:val="false"/>
          <w:color w:val="000000"/>
          <w:sz w:val="19"/>
          <w:szCs w:val="19"/>
        </w:rPr>
        <w:t xml:space="preserve">The active comparator is now named. </w:t>
      </w:r>
      <w:r>
        <w:rPr>
          <w:rFonts w:ascii="Arial" w:cs="Arial" w:eastAsia="Arial" w:hAnsi="Arial"/>
          <w:b w:val="false"/>
          <w:bCs w:val="false"/>
          <w:i w:val="false"/>
          <w:iCs w:val="false"/>
          <w:color w:val="000000"/>
          <w:sz w:val="19"/>
          <w:szCs w:val="19"/>
        </w:rPr>
        <w:t xml:space="preserve">Previously the draft claimed an "active-comparator" design without identifying the comparator drug — a claim of rigor rather than rigor. It now specifies a DPP-4 inhibitor for patients with type 2 diabetes and a non-incretin anti-obesity medication otherwise.</w:t>
      </w:r>
    </w:p>
    <w:p>
      <w:pPr>
        <w:pStyle w:val="ListParagraph"/>
        <w:numPr>
          <w:ilvl w:val="0"/>
          <w:numId w:val="1"/>
        </w:numPr>
        <w:spacing w:after="40" w:before="40" w:line="276"/>
      </w:pPr>
      <w:r>
        <w:rPr>
          <w:rFonts w:ascii="Arial" w:cs="Arial" w:eastAsia="Arial" w:hAnsi="Arial"/>
          <w:b/>
          <w:bCs/>
          <w:i w:val="false"/>
          <w:iCs w:val="false"/>
          <w:color w:val="000000"/>
          <w:sz w:val="19"/>
          <w:szCs w:val="19"/>
        </w:rPr>
        <w:t xml:space="preserve">The outcome is now operationally defined. </w:t>
      </w:r>
      <w:r>
        <w:rPr>
          <w:rFonts w:ascii="Arial" w:cs="Arial" w:eastAsia="Arial" w:hAnsi="Arial"/>
          <w:b w:val="false"/>
          <w:bCs w:val="false"/>
          <w:i w:val="false"/>
          <w:iCs w:val="false"/>
          <w:color w:val="000000"/>
          <w:sz w:val="19"/>
          <w:szCs w:val="19"/>
        </w:rPr>
        <w:t xml:space="preserve">Staging a patient once is not the same as detecting a transition. The draft now specifies six-monthly re-staging, treats progression as primary, requires regression to be confirmed at two consecutive assessments on reversible components, and handles death as a competing risk in a multistate model.</w:t>
      </w:r>
    </w:p>
    <w:p>
      <w:pPr>
        <w:pStyle w:val="ListParagraph"/>
        <w:numPr>
          <w:ilvl w:val="0"/>
          <w:numId w:val="1"/>
        </w:numPr>
        <w:spacing w:after="40" w:before="40" w:line="276"/>
      </w:pPr>
      <w:r>
        <w:rPr>
          <w:rFonts w:ascii="Arial" w:cs="Arial" w:eastAsia="Arial" w:hAnsi="Arial"/>
          <w:b/>
          <w:bCs/>
          <w:i w:val="false"/>
          <w:iCs w:val="false"/>
          <w:color w:val="000000"/>
          <w:sz w:val="19"/>
          <w:szCs w:val="19"/>
        </w:rPr>
        <w:t xml:space="preserve">Feasibility is answered rather than deferred. </w:t>
      </w:r>
      <w:r>
        <w:rPr>
          <w:rFonts w:ascii="Arial" w:cs="Arial" w:eastAsia="Arial" w:hAnsi="Arial"/>
          <w:b w:val="false"/>
          <w:bCs w:val="false"/>
          <w:i w:val="false"/>
          <w:iCs w:val="false"/>
          <w:color w:val="000000"/>
          <w:sz w:val="19"/>
          <w:szCs w:val="19"/>
        </w:rPr>
        <w:t xml:space="preserve">The original promised to "confirm analyzable sample size," which reads as not yet knowing whether the study is possible. The draft now projects several thousand stage 2 and several hundred stage 1 initiators and states the pooling rule if stage 1 falls below 500.</w:t>
      </w:r>
    </w:p>
    <w:p>
      <w:pPr>
        <w:pStyle w:val="ListParagraph"/>
        <w:numPr>
          <w:ilvl w:val="0"/>
          <w:numId w:val="1"/>
        </w:numPr>
        <w:spacing w:after="40" w:before="40" w:line="276"/>
      </w:pPr>
      <w:r>
        <w:rPr>
          <w:rFonts w:ascii="Arial" w:cs="Arial" w:eastAsia="Arial" w:hAnsi="Arial"/>
          <w:b/>
          <w:bCs/>
          <w:i w:val="false"/>
          <w:iCs w:val="false"/>
          <w:color w:val="000000"/>
          <w:sz w:val="19"/>
          <w:szCs w:val="19"/>
        </w:rPr>
        <w:t xml:space="preserve">The crowded field is pre-empted. </w:t>
      </w:r>
      <w:r>
        <w:rPr>
          <w:rFonts w:ascii="Arial" w:cs="Arial" w:eastAsia="Arial" w:hAnsi="Arial"/>
          <w:b w:val="false"/>
          <w:bCs w:val="false"/>
          <w:i w:val="false"/>
          <w:iCs w:val="false"/>
          <w:color w:val="000000"/>
          <w:sz w:val="19"/>
          <w:szCs w:val="19"/>
        </w:rPr>
        <w:t xml:space="preserve">The draft now names the ongoing DASH-CKMH study and distinguishes this work from it, rather than leaving a reviewer to raise the objection.</w:t>
      </w:r>
    </w:p>
    <w:p>
      <w:pPr>
        <w:pStyle w:val="ListParagraph"/>
        <w:numPr>
          <w:ilvl w:val="0"/>
          <w:numId w:val="1"/>
        </w:numPr>
        <w:spacing w:after="40" w:before="40" w:line="276"/>
      </w:pPr>
      <w:r>
        <w:rPr>
          <w:rFonts w:ascii="Arial" w:cs="Arial" w:eastAsia="Arial" w:hAnsi="Arial"/>
          <w:b/>
          <w:bCs/>
          <w:i w:val="false"/>
          <w:iCs w:val="false"/>
          <w:color w:val="000000"/>
          <w:sz w:val="19"/>
          <w:szCs w:val="19"/>
        </w:rPr>
        <w:t xml:space="preserve">The data window is disclosed. </w:t>
      </w:r>
      <w:r>
        <w:rPr>
          <w:rFonts w:ascii="Arial" w:cs="Arial" w:eastAsia="Arial" w:hAnsi="Arial"/>
          <w:b w:val="false"/>
          <w:bCs w:val="false"/>
          <w:i w:val="false"/>
          <w:iCs w:val="false"/>
          <w:color w:val="000000"/>
          <w:sz w:val="19"/>
          <w:szCs w:val="19"/>
        </w:rPr>
        <w:t xml:space="preserve">Records extend to roughly 2023, which is stated plainly alongside the 2026 policy framing rather than left for a reviewer to discover.</w:t>
      </w:r>
    </w:p>
    <w:p>
      <w:pPr>
        <w:pStyle w:val="ListParagraph"/>
        <w:numPr>
          <w:ilvl w:val="0"/>
          <w:numId w:val="1"/>
        </w:numPr>
        <w:spacing w:after="40" w:before="40" w:line="276"/>
      </w:pPr>
      <w:r>
        <w:rPr>
          <w:rFonts w:ascii="Arial" w:cs="Arial" w:eastAsia="Arial" w:hAnsi="Arial"/>
          <w:b/>
          <w:bCs/>
          <w:i w:val="false"/>
          <w:iCs w:val="false"/>
          <w:color w:val="000000"/>
          <w:sz w:val="19"/>
          <w:szCs w:val="19"/>
        </w:rPr>
        <w:t xml:space="preserve">Overclaims were removed. </w:t>
      </w:r>
      <w:r>
        <w:rPr>
          <w:rFonts w:ascii="Arial" w:cs="Arial" w:eastAsia="Arial" w:hAnsi="Arial"/>
          <w:b w:val="false"/>
          <w:bCs w:val="false"/>
          <w:i w:val="false"/>
          <w:iCs w:val="false"/>
          <w:color w:val="000000"/>
          <w:sz w:val="19"/>
          <w:szCs w:val="19"/>
        </w:rPr>
        <w:t xml:space="preserve">Causal language, "first" claims, and an unsupportable universal negative were replaced with association language matched to what observational data can support. Payer-program dates were corrected.</w:t>
      </w:r>
    </w:p>
    <w:p>
      <w:pPr>
        <w:pStyle w:val="ListParagraph"/>
        <w:numPr>
          <w:ilvl w:val="0"/>
          <w:numId w:val="1"/>
        </w:numPr>
        <w:spacing w:after="40" w:before="40" w:line="276"/>
      </w:pPr>
      <w:r>
        <w:rPr>
          <w:rFonts w:ascii="Arial" w:cs="Arial" w:eastAsia="Arial" w:hAnsi="Arial"/>
          <w:b/>
          <w:bCs/>
          <w:i w:val="false"/>
          <w:iCs w:val="false"/>
          <w:color w:val="000000"/>
          <w:sz w:val="19"/>
          <w:szCs w:val="19"/>
        </w:rPr>
        <w:t xml:space="preserve">The specialty question is answered directly. </w:t>
      </w:r>
      <w:r>
        <w:rPr>
          <w:rFonts w:ascii="Arial" w:cs="Arial" w:eastAsia="Arial" w:hAnsi="Arial"/>
          <w:b w:val="false"/>
          <w:bCs w:val="false"/>
          <w:i w:val="false"/>
          <w:iCs w:val="false"/>
          <w:color w:val="000000"/>
          <w:sz w:val="19"/>
          <w:szCs w:val="19"/>
        </w:rPr>
        <w:t xml:space="preserve">Section i) turns a potential objection into an argument: as the endocrinologist these patients reach only after progressing, the applicant is building evidence for the clinicians upstream. Section h) now identifies Dr. Eun as the primary care internist who sees these patients first, so the team’s primary care representation is explicit.</w:t>
      </w:r>
    </w:p>
    <w:p>
      <w:pPr>
        <w:pBdr>
          <w:bottom w:val="single" w:color="1F3864" w:sz="6" w:space="4"/>
        </w:pBdr>
        <w:spacing w:after="140" w:before="320"/>
      </w:pPr>
      <w:r>
        <w:rPr>
          <w:rFonts w:ascii="Arial" w:cs="Arial" w:eastAsia="Arial" w:hAnsi="Arial"/>
          <w:b/>
          <w:bCs/>
          <w:color w:val="1F3864"/>
          <w:sz w:val="26"/>
          <w:szCs w:val="26"/>
        </w:rPr>
        <w:t xml:space="preserve">Primary care representation</w:t>
      </w:r>
    </w:p>
    <w:p>
      <w:pPr>
        <w:pBdr>
          <w:top w:val="single" w:color="2E7D32" w:sz="4" w:space="6"/>
          <w:bottom w:val="single" w:color="2E7D32" w:sz="4" w:space="6"/>
          <w:left w:val="single" w:color="2E7D32" w:sz="12" w:space="6"/>
          <w:right w:val="single" w:color="2E7D32" w:sz="4" w:space="6"/>
        </w:pBdr>
        <w:shd w:fill="EAF4EC" w:color="auto" w:val="clear"/>
        <w:spacing w:after="140" w:before="60"/>
      </w:pPr>
      <w:r>
        <w:rPr>
          <w:rFonts w:ascii="Arial" w:cs="Arial" w:eastAsia="Arial" w:hAnsi="Arial"/>
          <w:b/>
          <w:bCs/>
          <w:i w:val="false"/>
          <w:iCs w:val="false"/>
          <w:color w:val="000000"/>
          <w:sz w:val="20"/>
          <w:szCs w:val="20"/>
        </w:rPr>
        <w:t xml:space="preserve">Satisfied. </w:t>
      </w:r>
      <w:r>
        <w:rPr>
          <w:rFonts w:ascii="Arial" w:cs="Arial" w:eastAsia="Arial" w:hAnsi="Arial"/>
          <w:b w:val="false"/>
          <w:bCs w:val="false"/>
          <w:i w:val="false"/>
          <w:iCs w:val="false"/>
          <w:color w:val="000000"/>
          <w:sz w:val="20"/>
          <w:szCs w:val="20"/>
        </w:rPr>
        <w:t xml:space="preserve">Heading h) asks for collaboration with other CKM </w:t>
      </w:r>
      <w:r>
        <w:rPr>
          <w:rFonts w:ascii="Arial" w:cs="Arial" w:eastAsia="Arial" w:hAnsi="Arial"/>
          <w:b w:val="false"/>
          <w:bCs w:val="false"/>
          <w:i/>
          <w:iCs/>
          <w:color w:val="000000"/>
          <w:sz w:val="20"/>
          <w:szCs w:val="20"/>
        </w:rPr>
        <w:t xml:space="preserve">allied</w:t>
      </w:r>
      <w:r>
        <w:rPr>
          <w:rFonts w:ascii="Arial" w:cs="Arial" w:eastAsia="Arial" w:hAnsi="Arial"/>
          <w:b w:val="false"/>
          <w:bCs w:val="false"/>
          <w:i w:val="false"/>
          <w:iCs w:val="false"/>
          <w:color w:val="000000"/>
          <w:sz w:val="20"/>
          <w:szCs w:val="20"/>
        </w:rPr>
        <w:t xml:space="preserve"> healthcare providers and at least one person who supports the project. Dr. Eun is a board-certified internist practicing primary care — internal medicine is a primary care discipline and ABIM certification is the correct credential — so the team pairs the endocrinologist who sees these patients after progression with the primary care physician who sees them before it. Heading h) now states that role explicitly, rather than listing him as “Attending Physician,” which left the strongest funder-fit asset invisible to a reviewer.</w:t>
      </w:r>
    </w:p>
    <w:p>
      <w:pPr>
        <w:spacing w:after="120" w:before="60" w:line="276"/>
        <w:jc w:val="left"/>
      </w:pPr>
      <w:r>
        <w:rPr>
          <w:rFonts w:ascii="Arial" w:cs="Arial" w:eastAsia="Arial" w:hAnsi="Arial"/>
          <w:b w:val="false"/>
          <w:bCs w:val="false"/>
          <w:i/>
          <w:iCs/>
          <w:color w:val="595959"/>
          <w:sz w:val="18"/>
          <w:szCs w:val="18"/>
        </w:rPr>
        <w:t xml:space="preserve">Optional, not required: adding a nephrologist, pharmacist, or dietitian would broaden the multidisciplinary picture that the word “allied” invites. Worth doing only if a genuine supporter is available — an unverifiable name would be disqualifying.</w:t>
      </w:r>
    </w:p>
    <w:p>
      <w:pPr>
        <w:spacing w:after="80" w:before="120"/>
      </w:pPr>
      <w:r>
        <w:rPr>
          <w:rFonts w:ascii="Arial" w:cs="Arial" w:eastAsia="Arial" w:hAnsi="Arial"/>
          <w:b/>
          <w:bCs/>
          <w:i w:val="false"/>
          <w:iCs w:val="false"/>
          <w:color w:val="1F3864"/>
          <w:sz w:val="22"/>
          <w:szCs w:val="22"/>
        </w:rPr>
        <w:t xml:space="preserve">Administrative fields still to complete on the form</w:t>
      </w:r>
    </w:p>
    <w:p>
      <w:pPr>
        <w:pStyle w:val="ListParagraph"/>
        <w:numPr>
          <w:ilvl w:val="0"/>
          <w:numId w:val="1"/>
        </w:numPr>
        <w:spacing w:after="40" w:before="40" w:line="276"/>
      </w:pPr>
      <w:r>
        <w:rPr>
          <w:rFonts w:ascii="Arial" w:cs="Arial" w:eastAsia="Arial" w:hAnsi="Arial"/>
          <w:b w:val="false"/>
          <w:bCs w:val="false"/>
          <w:i w:val="false"/>
          <w:iCs w:val="false"/>
          <w:color w:val="000000"/>
          <w:sz w:val="19"/>
          <w:szCs w:val="19"/>
        </w:rPr>
        <w:t xml:space="preserve">Mailing address, telephone and fax, and email for the applicant (public address on file: 506 Lenox Avenue, New York, NY 10037 — please confirm).</w:t>
      </w:r>
    </w:p>
    <w:p>
      <w:pPr>
        <w:pStyle w:val="ListParagraph"/>
        <w:numPr>
          <w:ilvl w:val="0"/>
          <w:numId w:val="1"/>
        </w:numPr>
        <w:spacing w:after="40" w:before="40" w:line="276"/>
      </w:pPr>
      <w:r>
        <w:rPr>
          <w:rFonts w:ascii="Arial" w:cs="Arial" w:eastAsia="Arial" w:hAnsi="Arial"/>
          <w:b w:val="false"/>
          <w:bCs w:val="false"/>
          <w:i w:val="false"/>
          <w:iCs w:val="false"/>
          <w:color w:val="000000"/>
          <w:sz w:val="19"/>
          <w:szCs w:val="19"/>
        </w:rPr>
        <w:t xml:space="preserve">Finance officer to be notified if the award is offered: name, title, address, telephone, email.</w:t>
      </w:r>
    </w:p>
    <w:p>
      <w:pPr>
        <w:pStyle w:val="ListParagraph"/>
        <w:numPr>
          <w:ilvl w:val="0"/>
          <w:numId w:val="1"/>
        </w:numPr>
        <w:spacing w:after="40" w:before="40" w:line="276"/>
      </w:pPr>
      <w:r>
        <w:rPr>
          <w:rFonts w:ascii="Arial" w:cs="Arial" w:eastAsia="Arial" w:hAnsi="Arial"/>
          <w:b w:val="false"/>
          <w:bCs w:val="false"/>
          <w:i w:val="false"/>
          <w:iCs w:val="false"/>
          <w:color w:val="000000"/>
          <w:sz w:val="19"/>
          <w:szCs w:val="19"/>
        </w:rPr>
        <w:t xml:space="preserve">Official signing for the applicant organization: name, title, address, telephone, email.</w:t>
      </w:r>
    </w:p>
    <w:p>
      <w:pPr>
        <w:pStyle w:val="ListParagraph"/>
        <w:numPr>
          <w:ilvl w:val="0"/>
          <w:numId w:val="1"/>
        </w:numPr>
        <w:spacing w:after="40" w:before="40" w:line="276"/>
      </w:pPr>
      <w:r>
        <w:rPr>
          <w:rFonts w:ascii="Arial" w:cs="Arial" w:eastAsia="Arial" w:hAnsi="Arial"/>
          <w:b w:val="false"/>
          <w:bCs w:val="false"/>
          <w:i w:val="false"/>
          <w:iCs w:val="false"/>
          <w:color w:val="000000"/>
          <w:sz w:val="19"/>
          <w:szCs w:val="19"/>
        </w:rPr>
        <w:t xml:space="preserve">Project start and end dates, spanning twelve months.</w:t>
      </w:r>
    </w:p>
    <w:p>
      <w:pPr>
        <w:pStyle w:val="ListParagraph"/>
        <w:numPr>
          <w:ilvl w:val="0"/>
          <w:numId w:val="1"/>
        </w:numPr>
        <w:spacing w:after="40" w:before="40" w:line="276"/>
      </w:pPr>
      <w:r>
        <w:rPr>
          <w:rFonts w:ascii="Arial" w:cs="Arial" w:eastAsia="Arial" w:hAnsi="Arial"/>
          <w:b w:val="false"/>
          <w:bCs w:val="false"/>
          <w:i w:val="false"/>
          <w:iCs w:val="false"/>
          <w:color w:val="000000"/>
          <w:sz w:val="19"/>
          <w:szCs w:val="19"/>
        </w:rPr>
        <w:t xml:space="preserve">Percentage of time dedicated by the applicant — 10 to 15 percent is consistent with a secondary-data analysis.</w:t>
      </w:r>
    </w:p>
    <w:p>
      <w:pPr>
        <w:pStyle w:val="ListParagraph"/>
        <w:numPr>
          <w:ilvl w:val="0"/>
          <w:numId w:val="1"/>
        </w:numPr>
        <w:spacing w:after="40" w:before="40" w:line="276"/>
      </w:pPr>
      <w:r>
        <w:rPr>
          <w:rFonts w:ascii="Arial" w:cs="Arial" w:eastAsia="Arial" w:hAnsi="Arial"/>
          <w:b w:val="false"/>
          <w:bCs w:val="false"/>
          <w:i w:val="false"/>
          <w:iCs w:val="false"/>
          <w:color w:val="000000"/>
          <w:sz w:val="19"/>
          <w:szCs w:val="19"/>
        </w:rPr>
        <w:t xml:space="preserve">Requested funding in the format $##,###.00, plus the amount written in words, to a maximum of $20,000.</w:t>
      </w:r>
    </w:p>
    <w:p>
      <w:pPr>
        <w:spacing w:after="80" w:before="200"/>
      </w:pPr>
      <w:r>
        <w:rPr>
          <w:rFonts w:ascii="Arial" w:cs="Arial" w:eastAsia="Arial" w:hAnsi="Arial"/>
          <w:b/>
          <w:bCs/>
          <w:i w:val="false"/>
          <w:iCs w:val="false"/>
          <w:color w:val="1F3864"/>
          <w:sz w:val="22"/>
          <w:szCs w:val="22"/>
        </w:rPr>
        <w:t xml:space="preserve">Notes for reviewers</w:t>
      </w:r>
    </w:p>
    <w:p>
      <w:pPr>
        <w:pStyle w:val="ListParagraph"/>
        <w:numPr>
          <w:ilvl w:val="0"/>
          <w:numId w:val="1"/>
        </w:numPr>
        <w:spacing w:after="40" w:before="40" w:line="276"/>
      </w:pPr>
      <w:r>
        <w:rPr>
          <w:rFonts w:ascii="Arial" w:cs="Arial" w:eastAsia="Arial" w:hAnsi="Arial"/>
          <w:b w:val="false"/>
          <w:bCs w:val="false"/>
          <w:i w:val="false"/>
          <w:iCs w:val="false"/>
          <w:color w:val="000000"/>
          <w:sz w:val="19"/>
          <w:szCs w:val="19"/>
        </w:rPr>
        <w:t xml:space="preserve">Every credential and publication in the form was taken from Dr. Trousdale’s NIH biosketch and Dr. Eun’s CV. Nothing was added that those documents do not support.</w:t>
      </w:r>
    </w:p>
    <w:p>
      <w:pPr>
        <w:pStyle w:val="ListParagraph"/>
        <w:numPr>
          <w:ilvl w:val="0"/>
          <w:numId w:val="1"/>
        </w:numPr>
        <w:spacing w:after="40" w:before="40" w:line="276"/>
      </w:pPr>
      <w:r>
        <w:rPr>
          <w:rFonts w:ascii="Arial" w:cs="Arial" w:eastAsia="Arial" w:hAnsi="Arial"/>
          <w:b w:val="false"/>
          <w:bCs w:val="false"/>
          <w:i w:val="false"/>
          <w:iCs w:val="false"/>
          <w:color w:val="000000"/>
          <w:sz w:val="19"/>
          <w:szCs w:val="19"/>
        </w:rPr>
        <w:t xml:space="preserve">The description sits six words below the ceiling. Any addition needs a matching cut, and the count should be re-checked in Word before sending.</w:t>
      </w:r>
    </w:p>
    <w:p>
      <w:pPr>
        <w:pStyle w:val="ListParagraph"/>
        <w:numPr>
          <w:ilvl w:val="0"/>
          <w:numId w:val="1"/>
        </w:numPr>
        <w:spacing w:after="40" w:before="40" w:line="276"/>
      </w:pPr>
      <w:r>
        <w:rPr>
          <w:rFonts w:ascii="Arial" w:cs="Arial" w:eastAsia="Arial" w:hAnsi="Arial"/>
          <w:b w:val="false"/>
          <w:bCs w:val="false"/>
          <w:i w:val="false"/>
          <w:iCs w:val="false"/>
          <w:color w:val="000000"/>
          <w:sz w:val="19"/>
          <w:szCs w:val="19"/>
        </w:rPr>
        <w:t xml:space="preserve">The mentor biographical section is optional and was left blank: the applicant is senior, and Dr. Eun is a collaborator rather than a mentor.</w:t>
      </w:r>
    </w:p>
    <w:p>
      <w:pPr>
        <w:pStyle w:val="ListParagraph"/>
        <w:numPr>
          <w:ilvl w:val="0"/>
          <w:numId w:val="1"/>
        </w:numPr>
        <w:spacing w:after="40" w:before="40" w:line="276"/>
      </w:pPr>
      <w:r>
        <w:rPr>
          <w:rFonts w:ascii="Arial" w:cs="Arial" w:eastAsia="Arial" w:hAnsi="Arial"/>
          <w:b w:val="false"/>
          <w:bCs w:val="false"/>
          <w:i w:val="false"/>
          <w:iCs w:val="false"/>
          <w:color w:val="000000"/>
          <w:sz w:val="19"/>
          <w:szCs w:val="19"/>
        </w:rPr>
        <w:t xml:space="preserve">The administrator accepts a single Word or PDF file, so any figure or table must be pasted directly into the form document.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REACH Awards Letter of Intent — Review Draft</dc:title>
  <dc:creator>REACH LOI preparation</dc:creator>
  <cp:lastModifiedBy>Un-named</cp:lastModifiedBy>
  <cp:revision>1</cp:revision>
  <dcterms:created xsi:type="dcterms:W3CDTF">2026-07-28T02:21:41.913Z</dcterms:created>
  <dcterms:modified xsi:type="dcterms:W3CDTF">2026-07-28T02:21:41.931Z</dcterms:modified>
</cp:coreProperties>
</file>

<file path=docProps/custom.xml><?xml version="1.0" encoding="utf-8"?>
<Properties xmlns="http://schemas.openxmlformats.org/officeDocument/2006/custom-properties" xmlns:vt="http://schemas.openxmlformats.org/officeDocument/2006/docPropsVTypes"/>
</file>