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89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492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8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Stage Transition, Not Events: Slowing CKM Progression with Early GLP-1 in Type 2 Diabetes</w:t>
      </w:r>
    </w:p>
    <w:p>
      <w:pPr>
        <w:spacing w:after="120" w:before="60" w:line="276"/>
        <w:jc w:val="left"/>
      </w:pPr>
      <w:r>
        <w:rPr>
          <w:rFonts w:ascii="Arial" w:cs="Arial" w:eastAsia="Arial" w:hAnsi="Arial"/>
          <w:b w:val="false"/>
          <w:bCs w:val="false"/>
          <w:i/>
          <w:iCs/>
          <w:color w:val="595959"/>
          <w:sz w:val="17"/>
          <w:szCs w:val="17"/>
        </w:rPr>
        <w:t xml:space="preserve">89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(492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slower progression from cardiovascular-kidney-metabolic (CKM) stage 2 to stages 3-4 among adults with type 2 diabetes: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CKM stage progression the goal of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37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progression from stage 2 to stages 3-4;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94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Stage re-assessed six-monthly; progression to stage 3-4 is primary, with kidney and cardiovascular pathways analyzed separately;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Our prior All of Us emulation in type 2 diabetes yielded 2,586 semaglutide and 7,627 comparator initiators through October 2023. That is a floor: we include all GLP-1 RAs, and Curated Data Repository v9 now covers 747,000+ participants with records through January 2025. Restricting to CKM stage 2 lowers counts; Objective 1 reports exact numbers and power.</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57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66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Scope narrowed to type 2 diabetes at CKM stage 2. </w:t>
      </w:r>
      <w:r>
        <w:rPr>
          <w:rFonts w:ascii="Arial" w:cs="Arial" w:eastAsia="Arial" w:hAnsi="Arial"/>
          <w:b w:val="false"/>
          <w:bCs w:val="false"/>
          <w:i w:val="false"/>
          <w:iCs w:val="false"/>
          <w:color w:val="000000"/>
          <w:sz w:val="19"/>
          <w:szCs w:val="19"/>
        </w:rPr>
        <w:t xml:space="preserve">Glycemic and weight indications are different clinical decisions and forced two different comparators into one study. Restricting to type 2 diabetes gives a single decision node, a single comparator class, and one primary outcome.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which is a claim of rigor rather than rigor. It now specifies a DPP-4 inhibitor, weight- and cardiovascular-neutral, with sulfonylureas added as a secondary comparator to bracket weight-gain bias.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Progression from CKM stage 2 to stages 3-4 is the single primary outcome, with stage re-assessed six-monthly, the kidney and cardiovascular pathways analyzed separately, and death handled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with a real number. </w:t>
      </w:r>
      <w:r>
        <w:rPr>
          <w:rFonts w:ascii="Arial" w:cs="Arial" w:eastAsia="Arial" w:hAnsi="Arial"/>
          <w:b w:val="false"/>
          <w:bCs w:val="false"/>
          <w:i w:val="false"/>
          <w:iCs w:val="false"/>
          <w:color w:val="000000"/>
          <w:sz w:val="19"/>
          <w:szCs w:val="19"/>
        </w:rPr>
        <w:t xml:space="preserve">Section e) now cites the team’s own prior All of Us emulation in type 2 diabetes — 2,586 semaglutide and 7,627 comparator initiators through October 2023 — as a floor, then notes that Curated Data Repository v9 covers 747,000+ participants with records through January 2025 and that restricting to stage 2 pushes the other way. A reviewer sees an evidenced estimate rather than a promise to find out.</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current. </w:t>
      </w:r>
      <w:r>
        <w:rPr>
          <w:rFonts w:ascii="Arial" w:cs="Arial" w:eastAsia="Arial" w:hAnsi="Arial"/>
          <w:b w:val="false"/>
          <w:bCs w:val="false"/>
          <w:i w:val="false"/>
          <w:iCs w:val="false"/>
          <w:color w:val="000000"/>
          <w:sz w:val="19"/>
          <w:szCs w:val="19"/>
        </w:rPr>
        <w:t xml:space="preserve">Curated Data Repository v9 extends records to January 2025, which lengthens observable follow-up for stage transitions and captures more recent GLP-1 uptake than earlier releases allowed.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r>
        <w:br w:type="page"/>
      </w:r>
    </w:p>
    <w:p>
      <w:pPr>
        <w:pBdr>
          <w:bottom w:val="single" w:color="1F3864" w:sz="6" w:space="4"/>
        </w:pBdr>
        <w:spacing w:after="140" w:before="320"/>
      </w:pPr>
      <w:r>
        <w:rPr>
          <w:rFonts w:ascii="Arial" w:cs="Arial" w:eastAsia="Arial" w:hAnsi="Arial"/>
          <w:b/>
          <w:bCs/>
          <w:color w:val="1F3864"/>
          <w:sz w:val="26"/>
          <w:szCs w:val="26"/>
        </w:rPr>
        <w:t xml:space="preserve">Budget — 12 months, maximum $20,000</w:t>
      </w:r>
    </w:p>
    <w:p>
      <w:pPr>
        <w:spacing w:after="120" w:before="60" w:line="276"/>
        <w:jc w:val="left"/>
      </w:pPr>
      <w:r>
        <w:rPr>
          <w:rFonts w:ascii="Arial" w:cs="Arial" w:eastAsia="Arial" w:hAnsi="Arial"/>
          <w:b w:val="false"/>
          <w:bCs w:val="false"/>
          <w:i w:val="false"/>
          <w:iCs w:val="false"/>
          <w:color w:val="000000"/>
          <w:sz w:val="19"/>
          <w:szCs w:val="19"/>
        </w:rPr>
        <w:t xml:space="preserve">The form asks only for a total, which is entered as $20,000.00 ("Twenty thousand US dollars") with 10% applicant time. This itemization is for internal review and for the full proposal. Confirmed lines are set; lines marked TO CONFIRM need institutional rates before submission.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00"/>
        <w:gridCol w:w="2200"/>
        <w:gridCol w:w="1600"/>
        <w:gridCol w:w="1700"/>
      </w:tblGrid>
      <w:tr>
        <w:trPr>
          <w:tblHeader/>
        </w:trPr>
        <w:tc>
          <w:tcPr>
            <w:tcW w:type="dxa" w:w="4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Line item</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Basis</w:t>
            </w:r>
          </w:p>
        </w:tc>
        <w:tc>
          <w:tcPr>
            <w:tcW w:type="dxa" w:w="16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Amount</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of Us Researcher Workbench cloud compute</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AI-assisted code development (Claude Code Max $200/mo + API $50/mo)</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Investigator protected time (PI 10% + co-investigator)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institutional salary rates</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Open-access publication fee</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manuscript</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Dissemination travel (AAFP FMX or AHA Sessions)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meeting, 1 traveler</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$1,500.00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$20,000.00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r>
    </w:tbl>
    <w:p>
      <w:pPr>
        <w:spacing w:after="80" w:before="220"/>
      </w:pPr>
      <w:r>
        <w:rPr>
          <w:rFonts w:ascii="Arial" w:cs="Arial" w:eastAsia="Arial" w:hAnsi="Arial"/>
          <w:b/>
          <w:bCs/>
          <w:i w:val="false"/>
          <w:iCs w:val="false"/>
          <w:color w:val="1F3864"/>
          <w:sz w:val="22"/>
          <w:szCs w:val="22"/>
        </w:rPr>
        <w:t xml:space="preserve">Notes on the two computing lines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Workbench compute is a real, metered cost. </w:t>
      </w:r>
      <w:r>
        <w:rPr>
          <w:rFonts w:ascii="Arial" w:cs="Arial" w:eastAsia="Arial" w:hAnsi="Arial"/>
          <w:b w:val="false"/>
          <w:bCs w:val="false"/>
          <w:i w:val="false"/>
          <w:iCs w:val="false"/>
          <w:color w:val="000000"/>
          <w:sz w:val="19"/>
          <w:szCs w:val="19"/>
        </w:rPr>
        <w:t xml:space="preserve">All of Us provides limited initial credits, after which Google Cloud compute for cohort building and analysis is billed to the researcher. At $250 per month across a year of active analysis, $3,000 is a defensible direct cost and is the single most concrete thing this award buys.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AI tooling line must be described as code development, not data analysis. </w:t>
      </w:r>
      <w:r>
        <w:rPr>
          <w:rFonts w:ascii="Arial" w:cs="Arial" w:eastAsia="Arial" w:hAnsi="Arial"/>
          <w:b w:val="false"/>
          <w:bCs w:val="false"/>
          <w:i w:val="false"/>
          <w:iCs w:val="false"/>
          <w:color w:val="000000"/>
          <w:sz w:val="19"/>
          <w:szCs w:val="19"/>
        </w:rPr>
        <w:t xml:space="preserve">The All of Us Data User Code of Conduct prohibits downloading or otherwise removing participant-level data from the Researcher Workbench, so any AI or machine-learning use on participant-level data has to happen inside that environment. Only aggregated summary statistics may leave it, and then only where cell counts are not below 20. Budgeting an external AI subscription is therefore appropriate for writing and reviewing analysis code, phenotype logic, and documentation — which is how the CKM staging pipeline will actually be built — but the line should never read as though participant records are being sent to an external service.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This capability is already established at the site. </w:t>
      </w:r>
      <w:r>
        <w:rPr>
          <w:rFonts w:ascii="Arial" w:cs="Arial" w:eastAsia="Arial" w:hAnsi="Arial"/>
          <w:b w:val="false"/>
          <w:bCs w:val="false"/>
          <w:i w:val="false"/>
          <w:iCs w:val="false"/>
          <w:color w:val="000000"/>
          <w:sz w:val="19"/>
          <w:szCs w:val="19"/>
        </w:rPr>
        <w:t xml:space="preserve">The applicant’s biosketch describes developing an AI-assisted coding program to lower the barrier for residents and fellows analyzing large public databases, so this line funds an existing workflow rather than an experiment.</w:t>
      </w:r>
    </w:p>
    <w:p>
      <w:pPr>
        <w:spacing w:after="80" w:before="200"/>
      </w:pPr>
      <w:r>
        <w:rPr>
          <w:rFonts w:ascii="Arial" w:cs="Arial" w:eastAsia="Arial" w:hAnsi="Arial"/>
          <w:b/>
          <w:bCs/>
          <w:i w:val="false"/>
          <w:iCs w:val="false"/>
          <w:color w:val="1F3864"/>
          <w:sz w:val="22"/>
          <w:szCs w:val="22"/>
        </w:rPr>
        <w:t xml:space="preserve">Confirm before submitting the budget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Indirect costs (F&amp;A). Whether the program permits overhead, and whether NYC H+H/Harlem would assess it, materially changes what the $20,000 buys. If indirects are charged and not excluded, the direct-cost lines above must shrink to fit.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an individual software subscription is an allowable direct cost under the institution’s and the program’s rules, or whether it must be procured institutionally.</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Salary rates and the exact split of protected time between the applicant and the co-investigator.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the target journal charges an open-access fee at all — if the manuscript goes to a subscription journal, that $2,500 can move to protected time or a second conference.</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2026-07-28T03:02:42.881Z</dcterms:created>
  <dcterms:modified xsi:type="dcterms:W3CDTF">2026-07-28T03:02:42.895Z</dcterms:modified>
</cp:coreProperties>
</file>

<file path=docProps/custom.xml><?xml version="1.0" encoding="utf-8"?>
<Properties xmlns="http://schemas.openxmlformats.org/officeDocument/2006/custom-properties" xmlns:vt="http://schemas.openxmlformats.org/officeDocument/2006/docPropsVTypes"/>
</file>