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Methods (simulation) — revision v7</w:t>
      </w:r>
    </w:p>
    <w:p>
      <w:r>
        <w:t>SBE / DBE microstructure reconstruction and transport simulation — replacement text and revised SI tables for co-author review, 2026-08-30</w:t>
      </w:r>
    </w:p>
    <w:p>
      <w:r>
        <w:rPr>
          <w:b/>
          <w:color w:val="B00000"/>
          <w:sz w:val="24"/>
        </w:rPr>
        <w:t>PROVISIONAL — NOT FOR SUBMISSION</w:t>
      </w:r>
    </w:p>
    <w:p>
      <w:pPr>
        <w:spacing w:after="120"/>
        <w:jc w:val="both"/>
      </w:pPr>
      <w:r>
        <w:rPr>
          <w:b w:val="0"/>
          <w:i w:val="0"/>
          <w:sz w:val="19"/>
        </w:rPr>
        <w:t>이 문서는 투고용 교체안이 아니라 쟁점을 결정하기 위한 검토 패키지입니다. 적대 리뷰(R10)의 해제조건 8개 중 여섯이 해소됐고 둘이 부분입니다 — ⑤ Table S3 의 σ_ion 한 행, ⑦ 중 Figure 4a 그림. ⚠ 다만 이 판정은 저희 자체 판정입니다. R11 을 올린 뒤 독립 재판정을 받지 못했으므로, ‘해소’ 는 ‘저희가 확인했다’ 이지 ‘제3자가 확인했다’ 가 아닙니다. Methods 본문(영문)은 그대로 붙여 넣을 수 있는 상태이고, 값이 없는 행은 대괄호로 사유를 적어 두었습니다.</w:t>
      </w:r>
    </w:p>
    <w:p>
      <w:pPr>
        <w:pStyle w:val="Heading2"/>
      </w:pPr>
      <w:r>
        <w:rPr>
          <w:color w:val="1A1A1A"/>
        </w:rPr>
        <w:t>해제조건 8개 — 현재 상태</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fill="E8E8E8"/>
          </w:tcPr>
          <w:p>
            <w:pPr>
              <w:spacing w:before="20" w:after="20"/>
            </w:pPr>
            <w:r/>
            <w:r>
              <w:rPr>
                <w:b/>
                <w:sz w:val="16"/>
              </w:rPr>
              <w:t>#</w:t>
            </w:r>
          </w:p>
        </w:tc>
        <w:tc>
          <w:tcPr>
            <w:tcW w:type="dxa" w:w="2835"/>
            <w:shd w:val="clear" w:fill="E8E8E8"/>
          </w:tcPr>
          <w:p>
            <w:pPr>
              <w:spacing w:before="20" w:after="20"/>
            </w:pPr>
            <w:r/>
            <w:r>
              <w:rPr>
                <w:b/>
                <w:sz w:val="16"/>
              </w:rPr>
              <w:t>조건</w:t>
            </w:r>
          </w:p>
        </w:tc>
        <w:tc>
          <w:tcPr>
            <w:tcW w:type="dxa" w:w="1020"/>
            <w:shd w:val="clear" w:fill="E8E8E8"/>
          </w:tcPr>
          <w:p>
            <w:pPr>
              <w:spacing w:before="20" w:after="20"/>
            </w:pPr>
            <w:r/>
            <w:r>
              <w:rPr>
                <w:b/>
                <w:sz w:val="16"/>
              </w:rPr>
              <w:t>상태</w:t>
            </w:r>
          </w:p>
        </w:tc>
        <w:tc>
          <w:tcPr>
            <w:tcW w:type="dxa" w:w="5102"/>
            <w:shd w:val="clear" w:fill="E8E8E8"/>
          </w:tcPr>
          <w:p>
            <w:pPr>
              <w:spacing w:before="20" w:after="20"/>
            </w:pPr>
            <w:r/>
            <w:r>
              <w:rPr>
                <w:b/>
                <w:sz w:val="16"/>
              </w:rPr>
              <w:t>설명</w:t>
            </w:r>
          </w:p>
        </w:tc>
      </w:tr>
      <w:tr>
        <w:tc>
          <w:tcPr>
            <w:tcW w:type="dxa" w:w="510"/>
          </w:tcPr>
          <w:p>
            <w:pPr>
              <w:spacing w:before="20" w:after="20"/>
            </w:pPr>
            <w:r/>
            <w:r>
              <w:rPr>
                <w:sz w:val="16"/>
              </w:rPr>
              <w:t>①</w:t>
            </w:r>
          </w:p>
        </w:tc>
        <w:tc>
          <w:tcPr>
            <w:tcW w:type="dxa" w:w="2835"/>
          </w:tcPr>
          <w:p>
            <w:pPr>
              <w:spacing w:before="20" w:after="20"/>
            </w:pPr>
            <w:r/>
            <w:r>
              <w:rPr>
                <w:sz w:val="16"/>
              </w:rPr>
              <w:t>두 PTFE 규약을 동등한 sensitivity 두 점으로 표기</w:t>
            </w:r>
          </w:p>
        </w:tc>
        <w:tc>
          <w:tcPr>
            <w:tcW w:type="dxa" w:w="1020"/>
          </w:tcPr>
          <w:p>
            <w:pPr>
              <w:spacing w:before="20" w:after="20"/>
            </w:pPr>
            <w:r/>
            <w:r>
              <w:rPr>
                <w:sz w:val="16"/>
              </w:rPr>
              <w:t>해소 (형식은 그 뒤 한 번 더 바뀜)</w:t>
            </w:r>
          </w:p>
        </w:tc>
        <w:tc>
          <w:tcPr>
            <w:tcW w:type="dxa" w:w="5102"/>
          </w:tcPr>
          <w:p>
            <w:pPr>
              <w:spacing w:before="20" w:after="20"/>
            </w:pPr>
            <w:r/>
            <w:r>
              <w:rPr>
                <w:sz w:val="16"/>
              </w:rPr>
              <w:t>굵은 글씨·reported·resolved 표기를 전부 제거했습니다. ⚠ 그 뒤 형식을 한 번 더 바꿨습니다 — 본문에서 두 값을 동등하게 병기하는 형식은 저희가 지어낸 것이고 출판 선례를 찾지 못했습니다. 같은 재료계·같은 코드의 선행 연구는 파라미터 민감도를 별도 절에 싣고 본문은 공칭값 하나를 씁니다. 그래서 본문은 공칭 규약 하나를 쓰고 같은 문단에 다른 값을 병기하며, 민감도는 Table S3c 로 옮겼습니다. ⚠ 사전등록된 검사는 그 규약을 ‘채택하지 않는다’ 로 판정했고 그 판정은 그대로입니다 — 본문이 그 값을 쓰는 것은 편집 결정이지 판정 번복이 아니며, 원고가 그렇게 적습니다.</w:t>
            </w:r>
          </w:p>
        </w:tc>
      </w:tr>
      <w:tr>
        <w:tc>
          <w:tcPr>
            <w:tcW w:type="dxa" w:w="510"/>
          </w:tcPr>
          <w:p>
            <w:pPr>
              <w:spacing w:before="20" w:after="20"/>
            </w:pPr>
            <w:r/>
            <w:r>
              <w:rPr>
                <w:sz w:val="16"/>
              </w:rPr>
              <w:t>②</w:t>
            </w:r>
          </w:p>
        </w:tc>
        <w:tc>
          <w:tcPr>
            <w:tcW w:type="dxa" w:w="2835"/>
          </w:tcPr>
          <w:p>
            <w:pPr>
              <w:spacing w:before="20" w:after="20"/>
            </w:pPr>
            <w:r/>
            <w:r>
              <w:rPr>
                <w:sz w:val="16"/>
              </w:rPr>
              <w:t>1.35 GPa 의 출처를 정확히 서술</w:t>
            </w:r>
          </w:p>
        </w:tc>
        <w:tc>
          <w:tcPr>
            <w:tcW w:type="dxa" w:w="1020"/>
          </w:tcPr>
          <w:p>
            <w:pPr>
              <w:spacing w:before="20" w:after="20"/>
            </w:pPr>
            <w:r/>
            <w:r>
              <w:rPr>
                <w:sz w:val="16"/>
              </w:rPr>
              <w:t>해소</w:t>
            </w:r>
          </w:p>
        </w:tc>
        <w:tc>
          <w:tcPr>
            <w:tcW w:type="dxa" w:w="5102"/>
          </w:tcPr>
          <w:p>
            <w:pPr>
              <w:spacing w:before="20" w:after="20"/>
            </w:pPr>
            <w:r/>
            <w:r>
              <w:rPr>
                <w:sz w:val="16"/>
              </w:rPr>
              <w:t>'경험적 접촉법칙 입력값이지 LPSCl 고유 물성이 아니다' 로 고쳤습니다.</w:t>
            </w:r>
          </w:p>
        </w:tc>
      </w:tr>
      <w:tr>
        <w:tc>
          <w:tcPr>
            <w:tcW w:type="dxa" w:w="510"/>
          </w:tcPr>
          <w:p>
            <w:pPr>
              <w:spacing w:before="20" w:after="20"/>
            </w:pPr>
            <w:r/>
            <w:r>
              <w:rPr>
                <w:sz w:val="16"/>
              </w:rPr>
              <w:t>③</w:t>
            </w:r>
          </w:p>
        </w:tc>
        <w:tc>
          <w:tcPr>
            <w:tcW w:type="dxa" w:w="2835"/>
          </w:tcPr>
          <w:p>
            <w:pPr>
              <w:spacing w:before="20" w:after="20"/>
            </w:pPr>
            <w:r/>
            <w:r>
              <w:rPr>
                <w:sz w:val="16"/>
              </w:rPr>
              <w:t>'하한(lower bound)' 표현 철회</w:t>
            </w:r>
          </w:p>
        </w:tc>
        <w:tc>
          <w:tcPr>
            <w:tcW w:type="dxa" w:w="1020"/>
          </w:tcPr>
          <w:p>
            <w:pPr>
              <w:spacing w:before="20" w:after="20"/>
            </w:pPr>
            <w:r/>
            <w:r>
              <w:rPr>
                <w:sz w:val="16"/>
              </w:rPr>
              <w:t>해소</w:t>
            </w:r>
          </w:p>
        </w:tc>
        <w:tc>
          <w:tcPr>
            <w:tcW w:type="dxa" w:w="5102"/>
          </w:tcPr>
          <w:p>
            <w:pPr>
              <w:spacing w:before="20" w:after="20"/>
            </w:pPr>
            <w:r/>
            <w:r>
              <w:rPr>
                <w:sz w:val="16"/>
              </w:rPr>
              <w:t>격자 미수렴은 '검토한 세분 구간에서 단조 증가' 로만 적고 전역 한계를 주장하지 않습니다.</w:t>
            </w:r>
          </w:p>
        </w:tc>
      </w:tr>
      <w:tr>
        <w:tc>
          <w:tcPr>
            <w:tcW w:type="dxa" w:w="510"/>
          </w:tcPr>
          <w:p>
            <w:pPr>
              <w:spacing w:before="20" w:after="20"/>
            </w:pPr>
            <w:r/>
            <w:r>
              <w:rPr>
                <w:sz w:val="16"/>
              </w:rPr>
              <w:t>④</w:t>
            </w:r>
          </w:p>
        </w:tc>
        <w:tc>
          <w:tcPr>
            <w:tcW w:type="dxa" w:w="2835"/>
          </w:tcPr>
          <w:p>
            <w:pPr>
              <w:spacing w:before="20" w:after="20"/>
            </w:pPr>
            <w:r/>
            <w:r>
              <w:rPr>
                <w:sz w:val="16"/>
              </w:rPr>
              <w:t>W4 32팔 원자료(JSON·receipt) 리포 커밋</w:t>
            </w:r>
          </w:p>
        </w:tc>
        <w:tc>
          <w:tcPr>
            <w:tcW w:type="dxa" w:w="1020"/>
          </w:tcPr>
          <w:p>
            <w:pPr>
              <w:spacing w:before="20" w:after="20"/>
            </w:pPr>
            <w:r/>
            <w:r>
              <w:rPr>
                <w:sz w:val="16"/>
              </w:rPr>
              <w:t>해소</w:t>
            </w:r>
          </w:p>
        </w:tc>
        <w:tc>
          <w:tcPr>
            <w:tcW w:type="dxa" w:w="5102"/>
          </w:tcPr>
          <w:p>
            <w:pPr>
              <w:spacing w:before="20" w:after="20"/>
            </w:pPr>
            <w:r/>
            <w:r>
              <w:rPr>
                <w:sz w:val="16"/>
              </w:rPr>
              <w:t>두 규약 각 16팔 + run_receipt + cohort_manifest + verdict_receipt 를 리포에 넣었습니다(docs/data/w4_ptfe_centerline_20260827, w4b_ptfe_off_20260827). 리포만으로 판정기를 돌려 비 1.307820 / 1.123672 를 재도출했고 파일 해시가 32/32 일치합니다. ⚠ 다만 커밋된 것은 판정에 필요한 스칼라만 남긴 감사 패키지이지 원자료가 아닙니다 (팔당 131 MB → 5.8 kB, 필드 해는 버렸습니다). 솔버 재실행은 여전히 계산기의 원본이 필요하고, 매니페스트에 원본 해시만 남아 있습니다.</w:t>
            </w:r>
          </w:p>
        </w:tc>
      </w:tr>
      <w:tr>
        <w:tc>
          <w:tcPr>
            <w:tcW w:type="dxa" w:w="510"/>
          </w:tcPr>
          <w:p>
            <w:pPr>
              <w:spacing w:before="20" w:after="20"/>
            </w:pPr>
            <w:r/>
            <w:r>
              <w:rPr>
                <w:sz w:val="16"/>
              </w:rPr>
              <w:t>⑤</w:t>
            </w:r>
          </w:p>
        </w:tc>
        <w:tc>
          <w:tcPr>
            <w:tcW w:type="dxa" w:w="2835"/>
          </w:tcPr>
          <w:p>
            <w:pPr>
              <w:spacing w:before="20" w:after="20"/>
            </w:pPr>
            <w:r/>
            <w:r>
              <w:rPr>
                <w:sz w:val="16"/>
              </w:rPr>
              <w:t>σ_ion 과 Table S3 나머지 행</w:t>
            </w:r>
          </w:p>
        </w:tc>
        <w:tc>
          <w:tcPr>
            <w:tcW w:type="dxa" w:w="1020"/>
          </w:tcPr>
          <w:p>
            <w:pPr>
              <w:spacing w:before="20" w:after="20"/>
            </w:pPr>
            <w:r/>
            <w:r>
              <w:rPr>
                <w:sz w:val="16"/>
              </w:rPr>
              <w:t>부분 해소</w:t>
            </w:r>
          </w:p>
        </w:tc>
        <w:tc>
          <w:tcPr>
            <w:tcW w:type="dxa" w:w="5102"/>
          </w:tcPr>
          <w:p>
            <w:pPr>
              <w:spacing w:before="20" w:after="20"/>
            </w:pPr>
            <w:r/>
            <w:r>
              <w:rPr>
                <w:sz w:val="16"/>
              </w:rPr>
              <w:t>구조 지표 다섯 행 중 넷은 새 침대에서 측정해 표에 넣었습니다. σ_ion 한 행이 남았는데, 상태가 ‘미측정’ 이 아니라 ‘쟀는데 못 씁니다’ 입니다 — 아래 미결 항목 참조. 면적 용량 행은 비용량이 실험 쪽 값이라 협업자 소관으로 넘겼습니다(저희가 낼 수 있는 면적 하중은 확정).</w:t>
            </w:r>
          </w:p>
        </w:tc>
      </w:tr>
      <w:tr>
        <w:tc>
          <w:tcPr>
            <w:tcW w:type="dxa" w:w="510"/>
          </w:tcPr>
          <w:p>
            <w:pPr>
              <w:spacing w:before="20" w:after="20"/>
            </w:pPr>
            <w:r/>
            <w:r>
              <w:rPr>
                <w:sz w:val="16"/>
              </w:rPr>
              <w:t>⑥</w:t>
            </w:r>
          </w:p>
        </w:tc>
        <w:tc>
          <w:tcPr>
            <w:tcW w:type="dxa" w:w="2835"/>
          </w:tcPr>
          <w:p>
            <w:pPr>
              <w:spacing w:before="20" w:after="20"/>
            </w:pPr>
            <w:r/>
            <w:r>
              <w:rPr>
                <w:sz w:val="16"/>
              </w:rPr>
              <w:t>ε_union · thickness 의 연산 정의 명시</w:t>
            </w:r>
          </w:p>
        </w:tc>
        <w:tc>
          <w:tcPr>
            <w:tcW w:type="dxa" w:w="1020"/>
          </w:tcPr>
          <w:p>
            <w:pPr>
              <w:spacing w:before="20" w:after="20"/>
            </w:pPr>
            <w:r/>
            <w:r>
              <w:rPr>
                <w:sz w:val="16"/>
              </w:rPr>
              <w:t>해소</w:t>
            </w:r>
          </w:p>
        </w:tc>
        <w:tc>
          <w:tcPr>
            <w:tcW w:type="dxa" w:w="5102"/>
          </w:tcPr>
          <w:p>
            <w:pPr>
              <w:spacing w:before="20" w:after="20"/>
            </w:pPr>
            <w:r/>
            <w:r>
              <w:rPr>
                <w:sz w:val="16"/>
              </w:rPr>
              <w:t>두 값이 어떻게 계산되는지, 통상적인 전극 porosity 와 무엇이 다른지 적었습니다.</w:t>
            </w:r>
          </w:p>
        </w:tc>
      </w:tr>
      <w:tr>
        <w:tc>
          <w:tcPr>
            <w:tcW w:type="dxa" w:w="510"/>
          </w:tcPr>
          <w:p>
            <w:pPr>
              <w:spacing w:before="20" w:after="20"/>
            </w:pPr>
            <w:r/>
            <w:r>
              <w:rPr>
                <w:sz w:val="16"/>
              </w:rPr>
              <w:t>⑦</w:t>
            </w:r>
          </w:p>
        </w:tc>
        <w:tc>
          <w:tcPr>
            <w:tcW w:type="dxa" w:w="2835"/>
          </w:tcPr>
          <w:p>
            <w:pPr>
              <w:spacing w:before="20" w:after="20"/>
            </w:pPr>
            <w:r/>
            <w:r>
              <w:rPr>
                <w:sz w:val="16"/>
              </w:rPr>
              <w:t>그림·표 생성기 배선 및 Figure 4b 재작도</w:t>
            </w:r>
          </w:p>
        </w:tc>
        <w:tc>
          <w:tcPr>
            <w:tcW w:type="dxa" w:w="1020"/>
          </w:tcPr>
          <w:p>
            <w:pPr>
              <w:spacing w:before="20" w:after="20"/>
            </w:pPr>
            <w:r/>
            <w:r>
              <w:rPr>
                <w:sz w:val="16"/>
              </w:rPr>
              <w:t>부분 해소</w:t>
            </w:r>
          </w:p>
        </w:tc>
        <w:tc>
          <w:tcPr>
            <w:tcW w:type="dxa" w:w="5102"/>
          </w:tcPr>
          <w:p>
            <w:pPr>
              <w:spacing w:before="20" w:after="20"/>
            </w:pPr>
            <w:r/>
            <w:r>
              <w:rPr>
                <w:sz w:val="16"/>
              </w:rPr>
              <w:t>Figure 4b 는 두 규약을 병기하는 형태로 재작도했고 생성기를 리포에 넣었습니다. Figure 4a 는 캡션만 고쳤고 그림은 아직 교체하지 않았습니다 — 침대가 재압밀되어 입자 위치가 바뀌었으므로 같은 경로로 다시 뽑아야 합니다.</w:t>
            </w:r>
          </w:p>
        </w:tc>
      </w:tr>
      <w:tr>
        <w:tc>
          <w:tcPr>
            <w:tcW w:type="dxa" w:w="510"/>
          </w:tcPr>
          <w:p>
            <w:pPr>
              <w:spacing w:before="20" w:after="20"/>
            </w:pPr>
            <w:r/>
            <w:r>
              <w:rPr>
                <w:sz w:val="16"/>
              </w:rPr>
              <w:t>⑧</w:t>
            </w:r>
          </w:p>
        </w:tc>
        <w:tc>
          <w:tcPr>
            <w:tcW w:type="dxa" w:w="2835"/>
          </w:tcPr>
          <w:p>
            <w:pPr>
              <w:spacing w:before="20" w:after="20"/>
            </w:pPr>
            <w:r/>
            <w:r>
              <w:rPr>
                <w:sz w:val="16"/>
              </w:rPr>
              <w:t>두 판(설명형·압축형) 사실 일치 + 외부 DOCX 캡션 감사</w:t>
            </w:r>
          </w:p>
        </w:tc>
        <w:tc>
          <w:tcPr>
            <w:tcW w:type="dxa" w:w="1020"/>
          </w:tcPr>
          <w:p>
            <w:pPr>
              <w:spacing w:before="20" w:after="20"/>
            </w:pPr>
            <w:r/>
            <w:r>
              <w:rPr>
                <w:sz w:val="16"/>
              </w:rPr>
              <w:t>해소</w:t>
            </w:r>
          </w:p>
        </w:tc>
        <w:tc>
          <w:tcPr>
            <w:tcW w:type="dxa" w:w="5102"/>
          </w:tcPr>
          <w:p>
            <w:pPr>
              <w:spacing w:before="20" w:after="20"/>
            </w:pPr>
            <w:r/>
            <w:r>
              <w:rPr>
                <w:sz w:val="16"/>
              </w:rPr>
              <w:t>두 판의 사실 일치를 맞췄고, SI 캡션을 전수 감사해 전 과정을 ‘DEM’ 으로 부르는 오귀속 세 곳을 찾았습니다(Figure S16 설명, Table S3 제목, 본문 전송 문단). Figure S17·S18 에는 오귀속이 없었습니다.</w:t>
            </w:r>
          </w:p>
        </w:tc>
      </w:tr>
    </w:tbl>
    <w:p>
      <w:r>
        <w:br w:type="page"/>
      </w:r>
    </w:p>
    <w:p>
      <w:pPr>
        <w:pStyle w:val="Heading1"/>
      </w:pPr>
      <w:r>
        <w:rPr>
          <w:color w:val="1A1A1A"/>
        </w:rPr>
        <w:t>1. v6 대비 무엇이 바뀌나 (넷)</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fill="E8E8E8"/>
          </w:tcPr>
          <w:p>
            <w:pPr>
              <w:spacing w:before="20" w:after="20"/>
            </w:pPr>
            <w:r/>
            <w:r>
              <w:rPr>
                <w:b/>
                <w:sz w:val="16"/>
              </w:rPr>
              <w:t>#</w:t>
            </w:r>
          </w:p>
        </w:tc>
        <w:tc>
          <w:tcPr>
            <w:tcW w:type="dxa" w:w="2381"/>
            <w:shd w:val="clear" w:fill="E8E8E8"/>
          </w:tcPr>
          <w:p>
            <w:pPr>
              <w:spacing w:before="20" w:after="20"/>
            </w:pPr>
            <w:r/>
            <w:r>
              <w:rPr>
                <w:b/>
                <w:sz w:val="16"/>
              </w:rPr>
              <w:t>v6</w:t>
            </w:r>
          </w:p>
        </w:tc>
        <w:tc>
          <w:tcPr>
            <w:tcW w:type="dxa" w:w="2608"/>
            <w:shd w:val="clear" w:fill="E8E8E8"/>
          </w:tcPr>
          <w:p>
            <w:pPr>
              <w:spacing w:before="20" w:after="20"/>
            </w:pPr>
            <w:r/>
            <w:r>
              <w:rPr>
                <w:b/>
                <w:sz w:val="16"/>
              </w:rPr>
              <w:t>v7</w:t>
            </w:r>
          </w:p>
        </w:tc>
        <w:tc>
          <w:tcPr>
            <w:tcW w:type="dxa" w:w="3969"/>
            <w:shd w:val="clear" w:fill="E8E8E8"/>
          </w:tcPr>
          <w:p>
            <w:pPr>
              <w:spacing w:before="20" w:after="20"/>
            </w:pPr>
            <w:r/>
            <w:r>
              <w:rPr>
                <w:b/>
                <w:sz w:val="16"/>
              </w:rPr>
              <w:t>왜 바꾸는가</w:t>
            </w:r>
          </w:p>
        </w:tc>
      </w:tr>
      <w:tr>
        <w:tc>
          <w:tcPr>
            <w:tcW w:type="dxa" w:w="510"/>
          </w:tcPr>
          <w:p>
            <w:pPr>
              <w:spacing w:before="20" w:after="20"/>
            </w:pPr>
            <w:r/>
            <w:r>
              <w:rPr>
                <w:sz w:val="16"/>
              </w:rPr>
              <w:t>1</w:t>
            </w:r>
          </w:p>
        </w:tc>
        <w:tc>
          <w:tcPr>
            <w:tcW w:type="dxa" w:w="2381"/>
          </w:tcPr>
          <w:p>
            <w:pPr>
              <w:spacing w:before="20" w:after="20"/>
            </w:pPr>
            <w:r/>
            <w:r>
              <w:rPr>
                <w:sz w:val="16"/>
              </w:rPr>
              <w:t>전 과정을 'DEM' 으로 부름</w:t>
            </w:r>
          </w:p>
        </w:tc>
        <w:tc>
          <w:tcPr>
            <w:tcW w:type="dxa" w:w="2608"/>
          </w:tcPr>
          <w:p>
            <w:pPr>
              <w:spacing w:before="20" w:after="20"/>
            </w:pPr>
            <w:r/>
            <w:r>
              <w:rPr>
                <w:sz w:val="16"/>
              </w:rPr>
              <w:t>DEM · MPM · voxel FV 를 이름으로 분리</w:t>
            </w:r>
          </w:p>
        </w:tc>
        <w:tc>
          <w:tcPr>
            <w:tcW w:type="dxa" w:w="3969"/>
          </w:tcPr>
          <w:p>
            <w:pPr>
              <w:spacing w:before="20" w:after="20"/>
            </w:pPr>
            <w:r/>
            <w:r>
              <w:rPr>
                <w:sz w:val="16"/>
              </w:rPr>
              <w:t>실제로 세 도구입니다. 표 제목과 그림 설명이 전부 DEM 이라 공저자도 MPM 이 쓰인 것을 볼 수 없었습니다.</w:t>
            </w:r>
          </w:p>
        </w:tc>
      </w:tr>
      <w:tr>
        <w:tc>
          <w:tcPr>
            <w:tcW w:type="dxa" w:w="510"/>
          </w:tcPr>
          <w:p>
            <w:pPr>
              <w:spacing w:before="20" w:after="20"/>
            </w:pPr>
            <w:r/>
            <w:r>
              <w:rPr>
                <w:sz w:val="16"/>
              </w:rPr>
              <w:t>2</w:t>
            </w:r>
          </w:p>
        </w:tc>
        <w:tc>
          <w:tcPr>
            <w:tcW w:type="dxa" w:w="2381"/>
          </w:tcPr>
          <w:p>
            <w:pPr>
              <w:spacing w:before="20" w:after="20"/>
            </w:pPr>
            <w:r/>
            <w:r>
              <w:rPr>
                <w:sz w:val="16"/>
              </w:rPr>
              <w:t>'E 를 24 → 1.35 GPa 로 연화' 가 문장 앞</w:t>
            </w:r>
          </w:p>
        </w:tc>
        <w:tc>
          <w:tcPr>
            <w:tcW w:type="dxa" w:w="2608"/>
          </w:tcPr>
          <w:p>
            <w:pPr>
              <w:spacing w:before="20" w:after="20"/>
            </w:pPr>
            <w:r/>
            <w:r>
              <w:rPr>
                <w:sz w:val="16"/>
              </w:rPr>
              <w:t>치밀화 표적이 앞, E 는 그 표적을 맞추는 노브로 뒤</w:t>
            </w:r>
          </w:p>
        </w:tc>
        <w:tc>
          <w:tcPr>
            <w:tcW w:type="dxa" w:w="3969"/>
          </w:tcPr>
          <w:p>
            <w:pPr>
              <w:spacing w:before="20" w:after="20"/>
            </w:pPr>
            <w:r/>
            <w:r>
              <w:rPr>
                <w:sz w:val="16"/>
              </w:rPr>
              <w:t>실제로 한 일이 그것입니다. 두 값은 Table S2 에 그대로 남깁니다 — 감추는 것이 아니라 순서를 바로잡는 것입니다.</w:t>
            </w:r>
          </w:p>
        </w:tc>
      </w:tr>
      <w:tr>
        <w:tc>
          <w:tcPr>
            <w:tcW w:type="dxa" w:w="510"/>
          </w:tcPr>
          <w:p>
            <w:pPr>
              <w:spacing w:before="20" w:after="20"/>
            </w:pPr>
            <w:r/>
            <w:r>
              <w:rPr>
                <w:sz w:val="16"/>
              </w:rPr>
              <w:t>3</w:t>
            </w:r>
          </w:p>
        </w:tc>
        <w:tc>
          <w:tcPr>
            <w:tcW w:type="dxa" w:w="2381"/>
          </w:tcPr>
          <w:p>
            <w:pPr>
              <w:spacing w:before="20" w:after="20"/>
            </w:pPr>
            <w:r/>
            <w:r>
              <w:rPr>
                <w:sz w:val="16"/>
              </w:rPr>
              <w:t>'paired mean with its standard error'</w:t>
            </w:r>
          </w:p>
        </w:tc>
        <w:tc>
          <w:tcPr>
            <w:tcW w:type="dxa" w:w="2608"/>
          </w:tcPr>
          <w:p>
            <w:pPr>
              <w:spacing w:before="20" w:after="20"/>
            </w:pPr>
            <w:r/>
            <w:r>
              <w:rPr>
                <w:sz w:val="16"/>
              </w:rPr>
              <w:t>origin-phase spread 와 range, 표준오차·신뢰구간은 명시적으로 부정</w:t>
            </w:r>
          </w:p>
        </w:tc>
        <w:tc>
          <w:tcPr>
            <w:tcW w:type="dxa" w:w="3969"/>
          </w:tcPr>
          <w:p>
            <w:pPr>
              <w:spacing w:before="20" w:after="20"/>
            </w:pPr>
            <w:r/>
            <w:r>
              <w:rPr>
                <w:sz w:val="16"/>
              </w:rPr>
              <w:t>8개 origin 은 한 침대의 완전한 2×2×2 factorial 이라 복제 오차 자유도가 0 입니다. sd/√8 은 표준오차가 아닙니다.</w:t>
            </w:r>
          </w:p>
        </w:tc>
      </w:tr>
      <w:tr>
        <w:tc>
          <w:tcPr>
            <w:tcW w:type="dxa" w:w="510"/>
          </w:tcPr>
          <w:p>
            <w:pPr>
              <w:spacing w:before="20" w:after="20"/>
            </w:pPr>
            <w:r/>
            <w:r>
              <w:rPr>
                <w:sz w:val="16"/>
              </w:rPr>
              <w:t>4</w:t>
            </w:r>
          </w:p>
        </w:tc>
        <w:tc>
          <w:tcPr>
            <w:tcW w:type="dxa" w:w="2381"/>
          </w:tcPr>
          <w:p>
            <w:pPr>
              <w:spacing w:before="20" w:after="20"/>
            </w:pPr>
            <w:r/>
            <w:r>
              <w:rPr>
                <w:sz w:val="16"/>
              </w:rPr>
              <w:t>PTFE 규약·탄소 전도도 규약이 암묵적</w:t>
            </w:r>
          </w:p>
        </w:tc>
        <w:tc>
          <w:tcPr>
            <w:tcW w:type="dxa" w:w="2608"/>
          </w:tcPr>
          <w:p>
            <w:pPr>
              <w:spacing w:before="20" w:after="20"/>
            </w:pPr>
            <w:r/>
            <w:r>
              <w:rPr>
                <w:sz w:val="16"/>
              </w:rPr>
              <w:t>둘 다 명시, PTFE 는 두 규약을 나란히</w:t>
            </w:r>
          </w:p>
        </w:tc>
        <w:tc>
          <w:tcPr>
            <w:tcW w:type="dxa" w:w="3969"/>
          </w:tcPr>
          <w:p>
            <w:pPr>
              <w:spacing w:before="20" w:after="20"/>
            </w:pPr>
            <w:r/>
            <w:r>
              <w:rPr>
                <w:sz w:val="16"/>
              </w:rPr>
              <w:t>이득의 크기가 규약에 크게 의존합니다(비 1.124 ↔ 1.308). 하나만 적으면 독자가 그것을 물리로 읽습니다.</w:t>
            </w:r>
          </w:p>
        </w:tc>
      </w:tr>
    </w:tbl>
    <w:p>
      <w:pPr>
        <w:spacing w:after="120"/>
        <w:jc w:val="both"/>
      </w:pPr>
      <w:r>
        <w:rPr>
          <w:b w:val="0"/>
          <w:i w:val="0"/>
          <w:sz w:val="19"/>
        </w:rPr>
        <w:t>PTFE 규약에 대해서는 한 가지를 분명히 해 둡니다. 초안은 처음에 '안 그림' 을 주 규약으로 썼는데 이유가 편집 편의였고, 지적을 받고 '차단' 으로 뒤집었는데 이번에는 두 값을 본 뒤에 큰 쪽으로 옮긴 것이라 결과 독립이 아니었습니다. 그래서 지금은 어느 쪽도 주 규약으로 지정하지 않고 동등한 두 sensitivity 점으로 적습니다. 더 근본적으로, centerline 규약은 PTFE 를 제대로 해상한 규약이 아닙니다 — 한 셀 폭 중심선을 찍고 그 셀을 정확히 0 으로 제거하는 방식이라, 얇은 코팅의 공간 범위는 과소 표현하면서 찍힌 셀에서는 차단을 과대 표현합니다. 직경을 인식하는 변형은 아직 구현돼 있지 않습니다.</w:t>
      </w:r>
    </w:p>
    <w:p>
      <w:r>
        <w:br w:type="page"/>
      </w:r>
    </w:p>
    <w:p>
      <w:pPr>
        <w:pStyle w:val="Heading1"/>
      </w:pPr>
      <w:r>
        <w:rPr>
          <w:color w:val="1A1A1A"/>
        </w:rPr>
        <w:t>2. Methods — 설명형 (Full)</w:t>
      </w:r>
    </w:p>
    <w:p>
      <w:pPr>
        <w:spacing w:after="120"/>
        <w:jc w:val="both"/>
      </w:pPr>
      <w:r>
        <w:rPr>
          <w:b w:val="0"/>
          <w:i/>
          <w:sz w:val="18"/>
        </w:rPr>
        <w:t>독자가 이해할 수 있도록 단계를 나눠 쓴 판입니다. 지면이 허용되면 이쪽을 씁니다.</w:t>
      </w:r>
    </w:p>
    <w:p>
      <w:pPr>
        <w:jc w:val="both"/>
      </w:pPr>
      <w:r>
        <w:rPr>
          <w:b/>
          <w:sz w:val="20"/>
        </w:rPr>
        <w:t xml:space="preserve">Microstructure reconstruction and transport simulation. </w:t>
      </w:r>
    </w:p>
    <w:p>
      <w:pPr>
        <w:jc w:val="both"/>
      </w:pPr>
      <w:r>
        <w:rPr>
          <w:sz w:val="20"/>
        </w:rPr>
        <w:t>Three-dimensional SBE and DBE microstructures were built in two stages and then used as the geometry for a separate transport calculation, so that three distinct tools are involved: a discrete element method (DEM) for the rigid-particle packing, a material point method (MPM) for the plastic deformation of the electrolyte, and a finite-volume solver on a voxel grid for the effective conductivities.</w:t>
      </w:r>
    </w:p>
    <w:p>
      <w:pPr>
        <w:jc w:val="both"/>
      </w:pPr>
      <w:r>
        <w:rPr>
          <w:b/>
          <w:sz w:val="20"/>
        </w:rPr>
        <w:t xml:space="preserve">Stage 1 — DEM packing. </w:t>
      </w:r>
      <w:r>
        <w:rPr>
          <w:sz w:val="20"/>
        </w:rPr>
        <w:t>Rigid-sphere packing was computed in LIGGGHTS using 1,271 NCM811 spheres (radius 2.5 μm) and 146,420 LPSCl spheres (radius 0.5 μm), sized after the experimental powders and mixed at 70:27 by weight in a 50 × 50 μm² domain, compacted under displacement control. Rigid-sphere contacts do reproduce particle rearrangement, but not the plastic flattening, fracture and grain-boundary deformation that also densify sulfide powders, so the contact stiffness of LPSCl was selected against a densification target for sulfide cold pressing rather than taken from the dense material. The 1.35 GPa value is an empirical contact-law input, not an intrinsic LPSCl modulus and not an independent validation of the present SBE/DBE beds; the dense-material value (24 GPa) is listed beside it in Table S2. The ~10 % target is derived from composite and glass literature rather than measured directly on pure LPSCl at 300 MPa, and the 11–12 % contact overlap is a pure-SE simulation consistency result rather than a measured calibration target.</w:t>
      </w:r>
    </w:p>
    <w:p>
      <w:pPr>
        <w:jc w:val="both"/>
      </w:pPr>
      <w:r>
        <w:rPr>
          <w:b/>
          <w:sz w:val="20"/>
        </w:rPr>
        <w:t xml:space="preserve">Stage 2 — MPM compaction. </w:t>
      </w:r>
      <w:r>
        <w:rPr>
          <w:sz w:val="20"/>
        </w:rPr>
        <w:t>Plastic deformation was then resolved on the fixed DEM skeleton with a GPU-accelerated MPM. VGCF fibres, PTFE fibrils and SDCP particles were present in the material-point cloud during this stage at the experimental weight fractions, so their stiffness enters the compaction rather than being added afterwards. The deviatoric plasticity follows a J2 (von Mises) model with a yield strength of 0.30 GPa; the elastic pair E = 1.53 GPa and ν = 0.49 is a model choice that sets K = 25.5 GPa and G = 0.51 GPa, confining the softening to shear while leaving the bulk response at a dense-solid value. The resulting beds are more compacted than the experimental porosity anchor, so this parameterisation is not a validation of the present SBE/DBE geometry.</w:t>
      </w:r>
    </w:p>
    <w:p>
      <w:pPr>
        <w:jc w:val="both"/>
      </w:pPr>
      <w:r>
        <w:rPr>
          <w:b/>
          <w:sz w:val="20"/>
        </w:rPr>
        <w:t xml:space="preserve">Stage 3 — voxel transport. </w:t>
      </w:r>
      <w:r>
        <w:rPr>
          <w:sz w:val="20"/>
        </w:rPr>
        <w:t>Each microstructure was rasterized onto a cubic grid with a voxel edge of 0.15 μm. Adjacent conducting voxels were coupled through harmonic-mean conductances and the potential field obtained from ∇·(σ∇φ) = 0, with 1 V applied between the separator (φ = 0) and current-collector (φ = 1 V) faces and the remaining boundaries insulating; the effective conductivity was taken from the total current. NCM811, VGCF and SDCP carried the electronic network and LPSCl and SDCP the ionic network. The insulating binder was represented by excluding its centerline voxels from conduction. Sensitivity of the reported conductivities to this representation is given in Table S3c.</w:t>
      </w:r>
    </w:p>
    <w:p>
      <w:pPr>
        <w:jc w:val="both"/>
      </w:pPr>
      <w:r>
        <w:rPr>
          <w:b/>
          <w:sz w:val="20"/>
        </w:rPr>
        <w:t xml:space="preserve">Conductivity of the carbon network. </w:t>
      </w:r>
      <w:r>
        <w:rPr>
          <w:sz w:val="20"/>
        </w:rPr>
        <w:t>The coefficient assigned to the VGCF phase (100 S cm⁻¹) is a frozen, uncalibrated legacy voxel-network coefficient, not a fibre material constant and not a value derived from any measurement reported here. It was introduced as an explicit order-of-magnitude placeholder, taken from the low end of a range cited at the time as the literature band for graphitic fibre (10²–10³ S cm⁻¹); that band was subsequently found to describe compacted powder rather than single filaments, VGCF-H having a single-filament resistivity of 1 × 10⁻⁴ Ω cm (10⁴ S cm⁻¹). The coefficient therefore coincides with the powder regime rather than having been selected against it, and it has not been recalibrated since. It is retained so that the results presented in this work remain reproducible. Voxelisation fuses touching fibres into shared cells and therefore does not resolve fibre–fibre contact resistance, which is one of several contributions separating single-filament (≈ 10⁴ S cm⁻¹) from compressed-powder (≈ 83 S cm⁻¹) measurements of VGCF-H; packing fraction, orientation, network tortuosity, contact number, compaction pressure and the measurement configuration also enter the powder value. The coefficient is rescaled with voxel size so that the one-voxel-thick tube carries the axial conductance of a 0.15 μm fibre, σ_eff = σ·πd²/(4h²), giving 78.5 S cm⁻¹ at h = 0.15 μm. Because this coefficient was not independently calibrated, the conductivities and ratios below are protocol responses under a stated closure rather than material-level estimates.</w:t>
      </w:r>
    </w:p>
    <w:p>
      <w:pPr>
        <w:jc w:val="both"/>
      </w:pPr>
      <w:r>
        <w:rPr>
          <w:b/>
          <w:sz w:val="20"/>
        </w:rPr>
        <w:t xml:space="preserve">Grid-origin ensemble and reported statistics. </w:t>
      </w:r>
      <w:r>
        <w:rPr>
          <w:sz w:val="20"/>
        </w:rPr>
        <w:t>Because the voxel grid samples the same microstructure differently depending on where its origin falls, each electrode was solved at all eight half-voxel origin shifts of a 2 × 2 × 2 factorial, the SBE and DBE sharing the same origins so that ratios are formed pair by pair. The eight phases are a complete factorial of a single bed rather than independent replicates, so ratios are reported as the mean over the eight prescribed phases together with the spread across them and the observed range; no standard error or confidence interval is implied. All arms reached the solver convergence criterion.</w:t>
      </w:r>
    </w:p>
    <w:p>
      <w:pPr>
        <w:jc w:val="both"/>
      </w:pPr>
      <w:r>
        <w:rPr>
          <w:b/>
          <w:sz w:val="20"/>
        </w:rPr>
        <w:t xml:space="preserve">Values. </w:t>
      </w:r>
      <w:r>
        <w:rPr>
          <w:sz w:val="20"/>
        </w:rPr>
        <w:t>Under the centerline convention selected for reporting, but not calibrated, the effective electronic conductivity is 54.0 mS cm⁻¹ (SBE) and 70.6 mS cm⁻¹ (DBE), a paired ratio of 1.308 (spread 0.003 across the eight origin phases; observed range 1.302–1.310). Omitting the binder from the conduction grid instead gives 72.3 and 81.3 mS cm⁻¹, a ratio of 1.124; the two conventions differ only in whether the binder occupies conduction cells, and neither is a calibrated representation of it, so the magnitude of the increase is convention-dependent while its direction is not. Ohmic loss per phase was evaluated as Σ gₖ Δφₖ², summed over the voxel-to-voxel connections belonging to that phase. Table S3c gives the two settings.</w:t>
      </w:r>
    </w:p>
    <w:p>
      <w:pPr>
        <w:jc w:val="both"/>
      </w:pPr>
      <w:r>
        <w:rPr>
          <w:b/>
          <w:sz w:val="20"/>
        </w:rPr>
        <w:t xml:space="preserve">Limitations. </w:t>
      </w:r>
      <w:r>
        <w:rPr>
          <w:sz w:val="20"/>
        </w:rPr>
        <w:t>The absolute conductivities have not been calibrated against a composition-matched measurement and should be read as the output of an idealised bulk model: the solver places no contact resistance at any interface — between active particles, between active material and carbon, or at the current collector — so it does not reproduce the quantity a two-terminal DC-polarisation measurement returns. The ratio is not grid-converged: refining the voxel edge increases it monotonically without following a power law, so the reported gain is larger at finer voxels over the refinement interval examined; neither a continuum extrapolation nor a global bound is established. Explicitly restoring the additive contacts that voxelisation drops recovers only about a fifth of that grid dependence — measured under the binder-omitted convention only, and not transferable to the exact-zero convention. The magnitude is also conditional on the carbon conductivity being treated as an effective network constant: at the single-filament value, a hundredfold higher, the ordering reverses. That upper arm is not better physics but a doubly idealised sensitivity at one origin phase, assuming perfect fibre–fibre contact on top of equipotential fibres; a single scalar can absorb part of the missing resistance numerically but is not identified as a fibre–fibre contact parameter. Three further limits apply to the beds themselves. They are more compacted than the experimental porosity anchor. The compaction was not quasi-static: the platen advanced at 0.27 of the dilatational wave speed against an internal limit of 0.01, so the bed state carries a rate contribution. Both electrodes were compacted at the same platen speed, which makes the inputs like-for-like but does not imply that the rate contribution cancels in the ratio — equal driving speed is not equal dynamic response for two different compositions. The reported ratio is therefore conditional on this high-rate compaction protocol, and the absolute geometric quantities are a terminal wall separation and a high-rate simulation-geometry diagnostic rather than quasi-static converged values. Finally, the specimen provenance of the SDCP conductivity (250 S cm⁻¹) is not established.</w:t>
      </w:r>
    </w:p>
    <w:p>
      <w:r>
        <w:br w:type="page"/>
      </w:r>
    </w:p>
    <w:p>
      <w:pPr>
        <w:pStyle w:val="Heading1"/>
      </w:pPr>
      <w:r>
        <w:rPr>
          <w:color w:val="1A1A1A"/>
        </w:rPr>
        <w:t>3. Methods — 압축형 (Compact)</w:t>
      </w:r>
    </w:p>
    <w:p>
      <w:pPr>
        <w:spacing w:after="120"/>
        <w:jc w:val="both"/>
      </w:pPr>
      <w:r>
        <w:rPr>
          <w:b w:val="0"/>
          <w:i/>
          <w:sz w:val="18"/>
        </w:rPr>
        <w:t>같은 사실을 담되 문장 수만 줄인 판입니다. 한정어는 하나도 빼지 않았습니다 — 압축은 문장을 줄이는 것이지 유보를 빼는 것이 아닙니다.</w:t>
      </w:r>
    </w:p>
    <w:p>
      <w:pPr>
        <w:jc w:val="both"/>
      </w:pPr>
      <w:r>
        <w:rPr>
          <w:b/>
          <w:sz w:val="20"/>
        </w:rPr>
        <w:t xml:space="preserve">Microstructure reconstruction and transport simulation. </w:t>
      </w:r>
      <w:r>
        <w:rPr>
          <w:sz w:val="20"/>
        </w:rPr>
        <w:t>Three-dimensional SBE and DBE microstructures were built with a discrete element method (DEM) for the rigid-particle packing and a material point method (MPM) for the plastic deformation of the electrolyte, and the effective conductivities were then obtained with a finite-volume solver on a voxel grid. Rigid-sphere packing was computed in LIGGGHTS from 1,271 NCM811 spheres (r = 2.5 μm) and 146,420 LPSCl spheres (r = 0.5 μm), mixed 70:27 by weight in a 50 × 50 μm² domain and compacted under displacement control. Rigid spheres do rearrange but cannot flatten, fracture or deform grain boundaries, so the LPSCl contact stiffness was selected against a densification target for sulfide cold pressing rather than taken from the dense material: 1.35 GPa is an empirical contact-law input, not an intrinsic modulus and not a validation of these beds, and 24 GPa is listed alongside it in Table S2. The ~10 % target is derived from composite and glass literature rather than measured on pure LPSCl, and the 11–12 % overlap is a pure-SE simulation result, not a measured target. Plastic deformation was then resolved on the fixed DEM skeleton by MPM with J2 plasticity (σ_y = 0.30 GPa); the elastic pair E = 1.53 GPa, ν = 0.49 is a model choice giving K = 25.5 GPa and G = 0.51 GPa, confining the softening to shear. VGCF, PTFE and SDCP were present in the material-point cloud during compaction at the experimental weight fractions. The resulting beds are more compacted than the experimental porosity anchor.</w:t>
      </w:r>
    </w:p>
    <w:p>
      <w:pPr>
        <w:jc w:val="both"/>
      </w:pPr>
      <w:r>
        <w:rPr>
          <w:sz w:val="20"/>
        </w:rPr>
        <w:t>Each microstructure was rasterized at a voxel edge of 0.15 μm; adjacent conducting voxels were coupled through harmonic-mean conductances and ∇·(σ∇φ) = 0 solved with 1 V between the separator and current-collector faces, the remaining boundaries insulating. NCM811, VGCF and SDCP carried the electronic network and LPSCl and SDCP the ionic network. The insulating binder was represented by excluding its centerline voxels from conduction; sensitivity to this representation is given in Table S3c. The coefficient assigned to the VGCF phase (100 S cm⁻¹) is a frozen, uncalibrated legacy value rather than a fibre constant. Voxelisation fuses touching fibres and so carries no fibre–fibre contact resistance, one of several contributions — along with packing fraction, orientation, network tortuosity, contact number and compaction pressure — separating single-filament (≈ 10⁴ S cm⁻¹) from compressed-powder (≈ 83 S cm⁻¹) measurements. The coefficient is rescaled with voxel size to preserve the axial conductance of a 0.15 μm fibre (78.5 S cm⁻¹ at the 0.15 μm grid used here). Because it was not independently calibrated, the conductivities and ratios reported are protocol responses under a stated closure rather than material-level estimates.</w:t>
      </w:r>
    </w:p>
    <w:p>
      <w:pPr>
        <w:jc w:val="both"/>
      </w:pPr>
      <w:r>
        <w:rPr>
          <w:sz w:val="20"/>
        </w:rPr>
        <w:t>Each electrode was solved at all eight half-voxel grid-origin shifts of a 2 × 2 × 2 factorial, SBE and DBE sharing the same origins so that ratios are paired. These eight phases are a complete factorial of a single bed rather than independent replicates, so ratios are given as the mean over the prescribed phases with the spread and observed range; no standard error and no confidence interval are implied. Ohmic loss per phase was evaluated as Σ g_k Δφ_k². Under the centerline convention selected for reporting but not calibrated, the effective electronic conductivity is 54.0/70.6 mS cm⁻¹, a paired ratio of 1.308 (spread 0.003; range 1.302–1.310); omitting the binder instead gives 72.3/81.3 and a ratio of 1.124. Neither convention is a calibrated representation of the binder, so the magnitude is convention-dependent while the direction is not. Absolute conductivities are those of an idealised bulk model with no interfacial contact resistance anywhere and are not composition-matched to a measurement. The ratio is not grid-converged and grew at finer voxels over the refinement interval examined; no continuum extrapolation or global bound is established. Restoring the additive contacts that voxelisation drops recovers about a fifth of that dependence, measured under the binder-omitted convention only. The magnitude is also conditional on the carbon conductivity being an effective network constant: at the single-filament value the ordering reverses, but that arm is not better physics — it is a doubly idealised sensitivity at one origin phase. Three further limits: the beds are more compacted than the experimental porosity anchor; the compaction was not quasi-static (platen at 0.27 of the dilatational wave speed against an internal limit of 0.01), and although both electrodes moved at the same speed this makes the inputs like-for-like rather than making the rate contribution cancel, so the ratio is conditional on this protocol and the thickness and ε_union are a terminal wall separation and a high-rate diagnostic; and the specimen provenance of the SDCP conductivity (250 S cm⁻¹) is not established.</w:t>
      </w:r>
    </w:p>
    <w:p>
      <w:r>
        <w:br w:type="page"/>
      </w:r>
    </w:p>
    <w:p>
      <w:pPr>
        <w:pStyle w:val="Heading1"/>
      </w:pPr>
      <w:r>
        <w:rPr>
          <w:color w:val="1A1A1A"/>
        </w:rPr>
        <w:t>4. Table S2 — 제목과 블록 분리</w:t>
      </w:r>
    </w:p>
    <w:p>
      <w:pPr>
        <w:spacing w:after="120"/>
        <w:jc w:val="both"/>
      </w:pPr>
      <w:r>
        <w:rPr>
          <w:b w:val="0"/>
          <w:i w:val="0"/>
          <w:sz w:val="19"/>
        </w:rPr>
        <w:t>제목: “Material parameters used for the DEM simulations” → “Material and numerical parameters used for the DEM–MPM–voxel transport workflow”.</w:t>
      </w:r>
    </w:p>
    <w:tbl>
      <w:tblPr>
        <w:tblStyle w:val="TableGrid"/>
        <w:tblW w:type="auto" w:w="0"/>
        <w:tblLook w:firstColumn="1" w:firstRow="1" w:lastColumn="0" w:lastRow="0" w:noHBand="0" w:noVBand="1" w:val="04A0"/>
      </w:tblPr>
      <w:tblGrid>
        <w:gridCol w:w="3324"/>
        <w:gridCol w:w="3324"/>
        <w:gridCol w:w="3324"/>
      </w:tblGrid>
      <w:tr>
        <w:tc>
          <w:tcPr>
            <w:tcW w:type="dxa" w:w="1814"/>
            <w:shd w:val="clear" w:fill="E8E8E8"/>
          </w:tcPr>
          <w:p>
            <w:pPr>
              <w:spacing w:before="20" w:after="20"/>
            </w:pPr>
            <w:r/>
            <w:r>
              <w:rPr>
                <w:b/>
                <w:sz w:val="16"/>
              </w:rPr>
              <w:t>Block</w:t>
            </w:r>
          </w:p>
        </w:tc>
        <w:tc>
          <w:tcPr>
            <w:tcW w:type="dxa" w:w="4535"/>
            <w:shd w:val="clear" w:fill="E8E8E8"/>
          </w:tcPr>
          <w:p>
            <w:pPr>
              <w:spacing w:before="20" w:after="20"/>
            </w:pPr>
            <w:r/>
            <w:r>
              <w:rPr>
                <w:b/>
                <w:sz w:val="16"/>
              </w:rPr>
              <w:t>Rows carried in that block</w:t>
            </w:r>
          </w:p>
        </w:tc>
        <w:tc>
          <w:tcPr>
            <w:tcW w:type="dxa" w:w="3118"/>
            <w:shd w:val="clear" w:fill="E8E8E8"/>
          </w:tcPr>
          <w:p>
            <w:pPr>
              <w:spacing w:before="20" w:after="20"/>
            </w:pPr>
            <w:r/>
            <w:r>
              <w:rPr>
                <w:b/>
                <w:sz w:val="16"/>
              </w:rPr>
              <w:t>Role label</w:t>
            </w:r>
          </w:p>
        </w:tc>
      </w:tr>
      <w:tr>
        <w:tc>
          <w:tcPr>
            <w:tcW w:type="dxa" w:w="1814"/>
          </w:tcPr>
          <w:p>
            <w:pPr>
              <w:spacing w:before="20" w:after="20"/>
            </w:pPr>
            <w:r/>
            <w:r>
              <w:rPr>
                <w:sz w:val="16"/>
              </w:rPr>
              <w:t>DEM (packing)</w:t>
            </w:r>
          </w:p>
        </w:tc>
        <w:tc>
          <w:tcPr>
            <w:tcW w:type="dxa" w:w="4535"/>
          </w:tcPr>
          <w:p>
            <w:pPr>
              <w:spacing w:before="20" w:after="20"/>
            </w:pPr>
            <w:r/>
            <w:r>
              <w:rPr>
                <w:sz w:val="16"/>
              </w:rPr>
              <w:t>Domain 50 × 50 μm² · NCM811 r = 2.5 μm, E = 140 GPa · LPSCl r = 0.5 μm, E(dense) = 24 GPa, E(DEM contact) = 1.35 GPa</w:t>
            </w:r>
          </w:p>
        </w:tc>
        <w:tc>
          <w:tcPr>
            <w:tcW w:type="dxa" w:w="3118"/>
          </w:tcPr>
          <w:p>
            <w:pPr>
              <w:spacing w:before="20" w:after="20"/>
            </w:pPr>
            <w:r/>
            <w:r>
              <w:rPr>
                <w:sz w:val="16"/>
              </w:rPr>
              <w:t>E(DEM contact): Empirical contact-law input</w:t>
            </w:r>
          </w:p>
        </w:tc>
      </w:tr>
      <w:tr>
        <w:tc>
          <w:tcPr>
            <w:tcW w:type="dxa" w:w="1814"/>
          </w:tcPr>
          <w:p>
            <w:pPr>
              <w:spacing w:before="20" w:after="20"/>
            </w:pPr>
            <w:r/>
            <w:r>
              <w:rPr>
                <w:sz w:val="16"/>
              </w:rPr>
              <w:t>MPM (plastic compaction)</w:t>
            </w:r>
          </w:p>
        </w:tc>
        <w:tc>
          <w:tcPr>
            <w:tcW w:type="dxa" w:w="4535"/>
          </w:tcPr>
          <w:p>
            <w:pPr>
              <w:spacing w:before="20" w:after="20"/>
            </w:pPr>
            <w:r/>
            <w:r>
              <w:rPr>
                <w:sz w:val="16"/>
              </w:rPr>
              <w:t>E = 1.53 GPa · ν = 0.49 (these give K = 25.5 GPa, G = 0.51 GPa) · σ_y = 0.30 GPa</w:t>
            </w:r>
          </w:p>
        </w:tc>
        <w:tc>
          <w:tcPr>
            <w:tcW w:type="dxa" w:w="3118"/>
          </w:tcPr>
          <w:p>
            <w:pPr>
              <w:spacing w:before="20" w:after="20"/>
            </w:pPr>
            <w:r/>
            <w:r>
              <w:rPr>
                <w:sz w:val="16"/>
              </w:rPr>
              <w:t>E, ν: Model choice · σ_y: Selected against densification target</w:t>
            </w:r>
          </w:p>
        </w:tc>
      </w:tr>
      <w:tr>
        <w:tc>
          <w:tcPr>
            <w:tcW w:type="dxa" w:w="1814"/>
          </w:tcPr>
          <w:p>
            <w:pPr>
              <w:spacing w:before="20" w:after="20"/>
            </w:pPr>
            <w:r/>
            <w:r>
              <w:rPr>
                <w:sz w:val="16"/>
              </w:rPr>
              <w:t>Voxel transport</w:t>
            </w:r>
          </w:p>
        </w:tc>
        <w:tc>
          <w:tcPr>
            <w:tcW w:type="dxa" w:w="4535"/>
          </w:tcPr>
          <w:p>
            <w:pPr>
              <w:spacing w:before="20" w:after="20"/>
            </w:pPr>
            <w:r/>
            <w:r>
              <w:rPr>
                <w:sz w:val="16"/>
              </w:rPr>
              <w:t>Voxel edge 0.15 μm · σ_e(NCM811) 1.0 × 10⁻² · σ_ion(LPSCl) 3.0 × 10⁻³ · σ_e(VGCF) 1.0 × 10² · σ_e(SDCP) 250 · σ_ion(SDCP) 1.0 × 10⁻³ · PTFE 0  [S cm⁻¹]</w:t>
            </w:r>
          </w:p>
        </w:tc>
        <w:tc>
          <w:tcPr>
            <w:tcW w:type="dxa" w:w="3118"/>
          </w:tcPr>
          <w:p>
            <w:pPr>
              <w:spacing w:before="20" w:after="20"/>
            </w:pPr>
            <w:r/>
            <w:r>
              <w:rPr>
                <w:sz w:val="16"/>
              </w:rPr>
              <w:t>σ_e(VGCF): Frozen, uncalibrated (rescaled by the Methods equation; 78.5 at h = 0.15 μm — a grid product, not a table value) · σ_e(SDCP): Assumed (specified by the authors, S-PEDOT class)</w:t>
            </w:r>
          </w:p>
        </w:tc>
      </w:tr>
    </w:tbl>
    <w:p>
      <w:pPr>
        <w:spacing w:after="120"/>
        <w:jc w:val="both"/>
      </w:pPr>
      <w:r>
        <w:rPr>
          <w:b w:val="0"/>
          <w:i w:val="0"/>
          <w:sz w:val="18"/>
        </w:rPr>
        <w:t>E(dense) 24 GPa 와 E(DEM contact) 1.35 GPa 는 둘 다 남깁니다. VGCF 는 100 S cm⁻¹ 한 행만 두고 라벨을 Frozen, uncalibrated 로 답니다 — 78.5 는 격자 산물이라 표가 아니라 Methods 의 식으로 보이고, powder 라벨은 100 이 83 에서 유도됐다는 뜻으로 읽히므로 쓰지 않습니다 (2026-09-02). SDCP 250 은 Assumed (specified by the authors, S-PEDOT class). 그리고 세 값의 역할이 서로 다르므로 'Calibrated' 한 라벨로 뭉치지 않습니다: 접촉 E 는 경험적 접촉법칙 입력값, MPM 의 E·ν 는 모델 선택, σ_y 는 치밀화 표적에 맞춰 고른 값입니다.</w:t>
      </w:r>
    </w:p>
    <w:p>
      <w:pPr>
        <w:pStyle w:val="Heading1"/>
      </w:pPr>
      <w:r>
        <w:rPr>
          <w:color w:val="1A1A1A"/>
        </w:rPr>
        <w:t>5. Table S3 — σ_ele · 구조 지표 갱신, 두 행 보류</w:t>
      </w:r>
    </w:p>
    <w:p>
      <w:pPr>
        <w:spacing w:after="120"/>
        <w:jc w:val="both"/>
      </w:pPr>
      <w:r>
        <w:rPr>
          <w:b w:val="0"/>
          <w:i w:val="0"/>
          <w:sz w:val="19"/>
        </w:rPr>
        <w:t>제목: “… obtained from the DEM simulations” → “Structural metrics from the DEM–MPM geometry and transport metrics from the voxel finite-volume solver”.</w:t>
      </w:r>
    </w:p>
    <w:tbl>
      <w:tblPr>
        <w:tblStyle w:val="TableGrid"/>
        <w:tblW w:type="auto" w:w="0"/>
        <w:tblLook w:firstColumn="1" w:firstRow="1" w:lastColumn="0" w:lastRow="0" w:noHBand="0" w:noVBand="1" w:val="04A0"/>
      </w:tblPr>
      <w:tblGrid>
        <w:gridCol w:w="2493"/>
        <w:gridCol w:w="2493"/>
        <w:gridCol w:w="2493"/>
        <w:gridCol w:w="2493"/>
      </w:tblGrid>
      <w:tr>
        <w:tc>
          <w:tcPr>
            <w:tcW w:type="dxa" w:w="4649"/>
            <w:shd w:val="clear" w:fill="E8E8E8"/>
          </w:tcPr>
          <w:p>
            <w:pPr>
              <w:spacing w:before="20" w:after="20"/>
            </w:pPr>
            <w:r/>
            <w:r>
              <w:rPr>
                <w:b/>
                <w:sz w:val="16"/>
              </w:rPr>
              <w:t>Parameter</w:t>
            </w:r>
          </w:p>
        </w:tc>
        <w:tc>
          <w:tcPr>
            <w:tcW w:type="dxa" w:w="2381"/>
            <w:shd w:val="clear" w:fill="E8E8E8"/>
          </w:tcPr>
          <w:p>
            <w:pPr>
              <w:spacing w:before="20" w:after="20"/>
            </w:pPr>
            <w:r/>
            <w:r>
              <w:rPr>
                <w:b/>
                <w:sz w:val="16"/>
              </w:rPr>
              <w:t>SBE</w:t>
            </w:r>
          </w:p>
        </w:tc>
        <w:tc>
          <w:tcPr>
            <w:tcW w:type="dxa" w:w="2381"/>
            <w:shd w:val="clear" w:fill="E8E8E8"/>
          </w:tcPr>
          <w:p>
            <w:pPr>
              <w:spacing w:before="20" w:after="20"/>
            </w:pPr>
            <w:r/>
            <w:r>
              <w:rPr>
                <w:b/>
                <w:sz w:val="16"/>
              </w:rPr>
              <w:t>DBE</w:t>
            </w:r>
          </w:p>
        </w:tc>
        <w:tc>
          <w:tcPr>
            <w:tcW w:type="dxa" w:w="1191"/>
            <w:shd w:val="clear" w:fill="E8E8E8"/>
          </w:tcPr>
          <w:p>
            <w:pPr>
              <w:spacing w:before="20" w:after="20"/>
            </w:pPr>
            <w:r/>
            <w:r>
              <w:rPr>
                <w:b/>
                <w:sz w:val="16"/>
              </w:rPr>
              <w:t>Unit</w:t>
            </w:r>
          </w:p>
        </w:tc>
      </w:tr>
      <w:tr>
        <w:tc>
          <w:tcPr>
            <w:tcW w:type="dxa" w:w="4649"/>
          </w:tcPr>
          <w:p>
            <w:pPr>
              <w:spacing w:before="20" w:after="20"/>
            </w:pPr>
            <w:r/>
            <w:r>
              <w:rPr>
                <w:sz w:val="16"/>
              </w:rPr>
              <w:t>Thickness</w:t>
            </w:r>
          </w:p>
        </w:tc>
        <w:tc>
          <w:tcPr>
            <w:tcW w:type="dxa" w:w="2381"/>
          </w:tcPr>
          <w:p>
            <w:pPr>
              <w:spacing w:before="20" w:after="20"/>
            </w:pPr>
            <w:r/>
            <w:r>
              <w:rPr>
                <w:sz w:val="16"/>
              </w:rPr>
              <w:t>72.53</w:t>
            </w:r>
          </w:p>
        </w:tc>
        <w:tc>
          <w:tcPr>
            <w:tcW w:type="dxa" w:w="2381"/>
          </w:tcPr>
          <w:p>
            <w:pPr>
              <w:spacing w:before="20" w:after="20"/>
            </w:pPr>
            <w:r/>
            <w:r>
              <w:rPr>
                <w:sz w:val="16"/>
              </w:rPr>
              <w:t>72.53</w:t>
            </w:r>
          </w:p>
        </w:tc>
        <w:tc>
          <w:tcPr>
            <w:tcW w:type="dxa" w:w="1191"/>
          </w:tcPr>
          <w:p>
            <w:pPr>
              <w:spacing w:before="20" w:after="20"/>
            </w:pPr>
            <w:r/>
            <w:r>
              <w:rPr>
                <w:sz w:val="16"/>
              </w:rPr>
              <w:t>μm</w:t>
            </w:r>
          </w:p>
        </w:tc>
      </w:tr>
      <w:tr>
        <w:tc>
          <w:tcPr>
            <w:tcW w:type="dxa" w:w="4649"/>
          </w:tcPr>
          <w:p>
            <w:pPr>
              <w:spacing w:before="20" w:after="20"/>
            </w:pPr>
            <w:r/>
            <w:r>
              <w:rPr>
                <w:sz w:val="16"/>
              </w:rPr>
              <w:t>ε_union (simulation-geometry diagnostic)</w:t>
            </w:r>
          </w:p>
        </w:tc>
        <w:tc>
          <w:tcPr>
            <w:tcW w:type="dxa" w:w="2381"/>
          </w:tcPr>
          <w:p>
            <w:pPr>
              <w:spacing w:before="20" w:after="20"/>
            </w:pPr>
            <w:r/>
            <w:r>
              <w:rPr>
                <w:sz w:val="16"/>
              </w:rPr>
              <w:t>7.86</w:t>
            </w:r>
          </w:p>
        </w:tc>
        <w:tc>
          <w:tcPr>
            <w:tcW w:type="dxa" w:w="2381"/>
          </w:tcPr>
          <w:p>
            <w:pPr>
              <w:spacing w:before="20" w:after="20"/>
            </w:pPr>
            <w:r/>
            <w:r>
              <w:rPr>
                <w:sz w:val="16"/>
              </w:rPr>
              <w:t>7.37</w:t>
            </w:r>
          </w:p>
        </w:tc>
        <w:tc>
          <w:tcPr>
            <w:tcW w:type="dxa" w:w="1191"/>
          </w:tcPr>
          <w:p>
            <w:pPr>
              <w:spacing w:before="20" w:after="20"/>
            </w:pPr>
            <w:r/>
            <w:r>
              <w:rPr>
                <w:sz w:val="16"/>
              </w:rPr>
              <w:t>%</w:t>
            </w:r>
          </w:p>
        </w:tc>
      </w:tr>
      <w:tr>
        <w:tc>
          <w:tcPr>
            <w:tcW w:type="dxa" w:w="4649"/>
          </w:tcPr>
          <w:p>
            <w:pPr>
              <w:spacing w:before="20" w:after="20"/>
            </w:pPr>
            <w:r/>
            <w:r>
              <w:rPr>
                <w:sz w:val="16"/>
              </w:rPr>
              <w:t>σ_ele,eff — PTFE omitted from the electronic grid (legacy/default convention)</w:t>
            </w:r>
          </w:p>
        </w:tc>
        <w:tc>
          <w:tcPr>
            <w:tcW w:type="dxa" w:w="2381"/>
          </w:tcPr>
          <w:p>
            <w:pPr>
              <w:spacing w:before="20" w:after="20"/>
            </w:pPr>
            <w:r/>
            <w:r>
              <w:rPr>
                <w:sz w:val="16"/>
              </w:rPr>
              <w:t>72.3</w:t>
            </w:r>
          </w:p>
        </w:tc>
        <w:tc>
          <w:tcPr>
            <w:tcW w:type="dxa" w:w="2381"/>
          </w:tcPr>
          <w:p>
            <w:pPr>
              <w:spacing w:before="20" w:after="20"/>
            </w:pPr>
            <w:r/>
            <w:r>
              <w:rPr>
                <w:sz w:val="16"/>
              </w:rPr>
              <w:t>81.3</w:t>
            </w:r>
          </w:p>
        </w:tc>
        <w:tc>
          <w:tcPr>
            <w:tcW w:type="dxa" w:w="1191"/>
          </w:tcPr>
          <w:p>
            <w:pPr>
              <w:spacing w:before="20" w:after="20"/>
            </w:pPr>
            <w:r/>
            <w:r>
              <w:rPr>
                <w:sz w:val="16"/>
              </w:rPr>
              <w:t>mS cm⁻¹</w:t>
            </w:r>
          </w:p>
        </w:tc>
      </w:tr>
      <w:tr>
        <w:tc>
          <w:tcPr>
            <w:tcW w:type="dxa" w:w="4649"/>
          </w:tcPr>
          <w:p>
            <w:pPr>
              <w:spacing w:before="20" w:after="20"/>
            </w:pPr>
            <w:r/>
            <w:r>
              <w:rPr>
                <w:sz w:val="16"/>
              </w:rPr>
              <w:t>σ_ele,eff — PTFE centerline voxels excluded (exact-zero sensitivity convention)</w:t>
            </w:r>
          </w:p>
        </w:tc>
        <w:tc>
          <w:tcPr>
            <w:tcW w:type="dxa" w:w="2381"/>
          </w:tcPr>
          <w:p>
            <w:pPr>
              <w:spacing w:before="20" w:after="20"/>
            </w:pPr>
            <w:r/>
            <w:r>
              <w:rPr>
                <w:sz w:val="16"/>
              </w:rPr>
              <w:t>54.0</w:t>
            </w:r>
          </w:p>
        </w:tc>
        <w:tc>
          <w:tcPr>
            <w:tcW w:type="dxa" w:w="2381"/>
          </w:tcPr>
          <w:p>
            <w:pPr>
              <w:spacing w:before="20" w:after="20"/>
            </w:pPr>
            <w:r/>
            <w:r>
              <w:rPr>
                <w:sz w:val="16"/>
              </w:rPr>
              <w:t>70.6</w:t>
            </w:r>
          </w:p>
        </w:tc>
        <w:tc>
          <w:tcPr>
            <w:tcW w:type="dxa" w:w="1191"/>
          </w:tcPr>
          <w:p>
            <w:pPr>
              <w:spacing w:before="20" w:after="20"/>
            </w:pPr>
            <w:r/>
            <w:r>
              <w:rPr>
                <w:sz w:val="16"/>
              </w:rPr>
              <w:t>mS cm⁻¹</w:t>
            </w:r>
          </w:p>
        </w:tc>
      </w:tr>
      <w:tr>
        <w:tc>
          <w:tcPr>
            <w:tcW w:type="dxa" w:w="4649"/>
          </w:tcPr>
          <w:p>
            <w:pPr>
              <w:spacing w:before="20" w:after="20"/>
            </w:pPr>
            <w:r/>
            <w:r>
              <w:rPr>
                <w:sz w:val="16"/>
              </w:rPr>
              <w:t>σ_ele ratio, paired over 8 origin phases (omitted · centerline-excluded)</w:t>
            </w:r>
          </w:p>
        </w:tc>
        <w:tc>
          <w:tcPr>
            <w:tcW w:type="dxa" w:w="2381"/>
          </w:tcPr>
          <w:p>
            <w:pPr>
              <w:spacing w:before="20" w:after="20"/>
            </w:pPr>
            <w:r/>
            <w:r>
              <w:rPr>
                <w:sz w:val="16"/>
              </w:rPr>
              <w:t>1.124</w:t>
            </w:r>
          </w:p>
        </w:tc>
        <w:tc>
          <w:tcPr>
            <w:tcW w:type="dxa" w:w="2381"/>
          </w:tcPr>
          <w:p>
            <w:pPr>
              <w:spacing w:before="20" w:after="20"/>
            </w:pPr>
            <w:r/>
            <w:r>
              <w:rPr>
                <w:sz w:val="16"/>
              </w:rPr>
              <w:t>1.308</w:t>
            </w:r>
          </w:p>
        </w:tc>
        <w:tc>
          <w:tcPr>
            <w:tcW w:type="dxa" w:w="1191"/>
          </w:tcPr>
          <w:p>
            <w:pPr>
              <w:spacing w:before="20" w:after="20"/>
            </w:pPr>
            <w:r/>
            <w:r>
              <w:rPr>
                <w:sz w:val="16"/>
              </w:rPr>
              <w:t>—</w:t>
            </w:r>
          </w:p>
        </w:tc>
      </w:tr>
      <w:tr>
        <w:tc>
          <w:tcPr>
            <w:tcW w:type="dxa" w:w="4649"/>
          </w:tcPr>
          <w:p>
            <w:pPr>
              <w:spacing w:before="20" w:after="20"/>
            </w:pPr>
            <w:r/>
            <w:r>
              <w:rPr>
                <w:sz w:val="16"/>
              </w:rPr>
              <w:t>└ spread / observed range</w:t>
            </w:r>
          </w:p>
        </w:tc>
        <w:tc>
          <w:tcPr>
            <w:tcW w:type="dxa" w:w="2381"/>
          </w:tcPr>
          <w:p>
            <w:pPr>
              <w:spacing w:before="20" w:after="20"/>
            </w:pPr>
            <w:r/>
            <w:r>
              <w:rPr>
                <w:sz w:val="16"/>
              </w:rPr>
              <w:t>0.003 / 1.120–1.127</w:t>
            </w:r>
          </w:p>
        </w:tc>
        <w:tc>
          <w:tcPr>
            <w:tcW w:type="dxa" w:w="2381"/>
          </w:tcPr>
          <w:p>
            <w:pPr>
              <w:spacing w:before="20" w:after="20"/>
            </w:pPr>
            <w:r/>
            <w:r>
              <w:rPr>
                <w:sz w:val="16"/>
              </w:rPr>
              <w:t>0.003 / 1.302–1.310</w:t>
            </w:r>
          </w:p>
        </w:tc>
        <w:tc>
          <w:tcPr>
            <w:tcW w:type="dxa" w:w="1191"/>
          </w:tcPr>
          <w:p>
            <w:pPr>
              <w:spacing w:before="20" w:after="20"/>
            </w:pPr>
            <w:r/>
            <w:r>
              <w:rPr>
                <w:sz w:val="16"/>
              </w:rPr>
              <w:t>—</w:t>
            </w:r>
          </w:p>
        </w:tc>
      </w:tr>
      <w:tr>
        <w:tc>
          <w:tcPr>
            <w:tcW w:type="dxa" w:w="4649"/>
          </w:tcPr>
          <w:p>
            <w:pPr>
              <w:spacing w:before="20" w:after="20"/>
            </w:pPr>
            <w:r/>
            <w:r>
              <w:rPr>
                <w:sz w:val="16"/>
              </w:rPr>
              <w:t>σ_ion,eff</w:t>
            </w:r>
          </w:p>
        </w:tc>
        <w:tc>
          <w:tcPr>
            <w:tcW w:type="dxa" w:w="2381"/>
          </w:tcPr>
          <w:p>
            <w:pPr>
              <w:spacing w:before="20" w:after="20"/>
            </w:pPr>
            <w:r/>
            <w:r>
              <w:rPr>
                <w:i/>
                <w:sz w:val="16"/>
              </w:rPr>
              <w:t>[ 보류 — 쟀으나 입력 규약이 두 침대를 비대칭으로 만든다 (아래 미결 참조) ]</w:t>
            </w:r>
          </w:p>
        </w:tc>
        <w:tc>
          <w:tcPr>
            <w:tcW w:type="dxa" w:w="2381"/>
          </w:tcPr>
          <w:p>
            <w:pPr>
              <w:spacing w:before="20" w:after="20"/>
            </w:pPr>
            <w:r/>
            <w:r>
              <w:rPr>
                <w:i/>
                <w:sz w:val="16"/>
              </w:rPr>
              <w:t>[ 보류 — 쟀으나 입력 규약이 두 침대를 비대칭으로 만든다 (아래 미결 참조) ]</w:t>
            </w:r>
          </w:p>
        </w:tc>
        <w:tc>
          <w:tcPr>
            <w:tcW w:type="dxa" w:w="1191"/>
          </w:tcPr>
          <w:p>
            <w:pPr>
              <w:spacing w:before="20" w:after="20"/>
            </w:pPr>
            <w:r/>
            <w:r>
              <w:rPr>
                <w:sz w:val="16"/>
              </w:rPr>
              <w:t>mS cm⁻¹</w:t>
            </w:r>
          </w:p>
        </w:tc>
      </w:tr>
      <w:tr>
        <w:tc>
          <w:tcPr>
            <w:tcW w:type="dxa" w:w="4649"/>
          </w:tcPr>
          <w:p>
            <w:pPr>
              <w:spacing w:before="20" w:after="20"/>
            </w:pPr>
            <w:r/>
            <w:r>
              <w:rPr>
                <w:sz w:val="16"/>
              </w:rPr>
              <w:t>SE coverage of AM (Tabor band)</w:t>
            </w:r>
          </w:p>
        </w:tc>
        <w:tc>
          <w:tcPr>
            <w:tcW w:type="dxa" w:w="2381"/>
          </w:tcPr>
          <w:p>
            <w:pPr>
              <w:spacing w:before="20" w:after="20"/>
            </w:pPr>
            <w:r/>
            <w:r>
              <w:rPr>
                <w:sz w:val="16"/>
              </w:rPr>
              <w:t>86.6</w:t>
            </w:r>
          </w:p>
        </w:tc>
        <w:tc>
          <w:tcPr>
            <w:tcW w:type="dxa" w:w="2381"/>
          </w:tcPr>
          <w:p>
            <w:pPr>
              <w:spacing w:before="20" w:after="20"/>
            </w:pPr>
            <w:r/>
            <w:r>
              <w:rPr>
                <w:sz w:val="16"/>
              </w:rPr>
              <w:t>86.6</w:t>
            </w:r>
          </w:p>
        </w:tc>
        <w:tc>
          <w:tcPr>
            <w:tcW w:type="dxa" w:w="1191"/>
          </w:tcPr>
          <w:p>
            <w:pPr>
              <w:spacing w:before="20" w:after="20"/>
            </w:pPr>
            <w:r/>
            <w:r>
              <w:rPr>
                <w:sz w:val="16"/>
              </w:rPr>
              <w:t>%</w:t>
            </w:r>
          </w:p>
        </w:tc>
      </w:tr>
      <w:tr>
        <w:tc>
          <w:tcPr>
            <w:tcW w:type="dxa" w:w="4649"/>
          </w:tcPr>
          <w:p>
            <w:pPr>
              <w:spacing w:before="20" w:after="20"/>
            </w:pPr>
            <w:r/>
            <w:r>
              <w:rPr>
                <w:sz w:val="16"/>
              </w:rPr>
              <w:t>VGCF coverage of AM</w:t>
            </w:r>
          </w:p>
        </w:tc>
        <w:tc>
          <w:tcPr>
            <w:tcW w:type="dxa" w:w="2381"/>
          </w:tcPr>
          <w:p>
            <w:pPr>
              <w:spacing w:before="20" w:after="20"/>
            </w:pPr>
            <w:r/>
            <w:r>
              <w:rPr>
                <w:sz w:val="16"/>
              </w:rPr>
              <w:t>13.1</w:t>
            </w:r>
          </w:p>
        </w:tc>
        <w:tc>
          <w:tcPr>
            <w:tcW w:type="dxa" w:w="2381"/>
          </w:tcPr>
          <w:p>
            <w:pPr>
              <w:spacing w:before="20" w:after="20"/>
            </w:pPr>
            <w:r/>
            <w:r>
              <w:rPr>
                <w:sz w:val="16"/>
              </w:rPr>
              <w:t>15.5</w:t>
            </w:r>
          </w:p>
        </w:tc>
        <w:tc>
          <w:tcPr>
            <w:tcW w:type="dxa" w:w="1191"/>
          </w:tcPr>
          <w:p>
            <w:pPr>
              <w:spacing w:before="20" w:after="20"/>
            </w:pPr>
            <w:r/>
            <w:r>
              <w:rPr>
                <w:sz w:val="16"/>
              </w:rPr>
              <w:t>%</w:t>
            </w:r>
          </w:p>
        </w:tc>
      </w:tr>
      <w:tr>
        <w:tc>
          <w:tcPr>
            <w:tcW w:type="dxa" w:w="4649"/>
          </w:tcPr>
          <w:p>
            <w:pPr>
              <w:spacing w:before="20" w:after="20"/>
            </w:pPr>
            <w:r/>
            <w:r>
              <w:rPr>
                <w:sz w:val="16"/>
              </w:rPr>
              <w:t>Median CBD contacts per AM particle — conductive phases only (VGCF + SDCP)</w:t>
            </w:r>
          </w:p>
        </w:tc>
        <w:tc>
          <w:tcPr>
            <w:tcW w:type="dxa" w:w="2381"/>
          </w:tcPr>
          <w:p>
            <w:pPr>
              <w:spacing w:before="20" w:after="20"/>
            </w:pPr>
            <w:r/>
            <w:r>
              <w:rPr>
                <w:sz w:val="16"/>
              </w:rPr>
              <w:t>74</w:t>
            </w:r>
          </w:p>
        </w:tc>
        <w:tc>
          <w:tcPr>
            <w:tcW w:type="dxa" w:w="2381"/>
          </w:tcPr>
          <w:p>
            <w:pPr>
              <w:spacing w:before="20" w:after="20"/>
            </w:pPr>
            <w:r/>
            <w:r>
              <w:rPr>
                <w:sz w:val="16"/>
              </w:rPr>
              <w:t>86</w:t>
            </w:r>
          </w:p>
        </w:tc>
        <w:tc>
          <w:tcPr>
            <w:tcW w:type="dxa" w:w="1191"/>
          </w:tcPr>
          <w:p>
            <w:pPr>
              <w:spacing w:before="20" w:after="20"/>
            </w:pPr>
            <w:r/>
            <w:r>
              <w:rPr>
                <w:sz w:val="16"/>
              </w:rPr>
              <w:t>ea</w:t>
            </w:r>
          </w:p>
        </w:tc>
      </w:tr>
      <w:tr>
        <w:tc>
          <w:tcPr>
            <w:tcW w:type="dxa" w:w="4649"/>
          </w:tcPr>
          <w:p>
            <w:pPr>
              <w:spacing w:before="20" w:after="20"/>
            </w:pPr>
            <w:r/>
            <w:r>
              <w:rPr>
                <w:sz w:val="16"/>
              </w:rPr>
              <w:t>└ same count with the insulating binder included in the domain</w:t>
            </w:r>
          </w:p>
        </w:tc>
        <w:tc>
          <w:tcPr>
            <w:tcW w:type="dxa" w:w="2381"/>
          </w:tcPr>
          <w:p>
            <w:pPr>
              <w:spacing w:before="20" w:after="20"/>
            </w:pPr>
            <w:r/>
            <w:r>
              <w:rPr>
                <w:sz w:val="16"/>
              </w:rPr>
              <w:t>80</w:t>
            </w:r>
          </w:p>
        </w:tc>
        <w:tc>
          <w:tcPr>
            <w:tcW w:type="dxa" w:w="2381"/>
          </w:tcPr>
          <w:p>
            <w:pPr>
              <w:spacing w:before="20" w:after="20"/>
            </w:pPr>
            <w:r/>
            <w:r>
              <w:rPr>
                <w:sz w:val="16"/>
              </w:rPr>
              <w:t>88</w:t>
            </w:r>
          </w:p>
        </w:tc>
        <w:tc>
          <w:tcPr>
            <w:tcW w:type="dxa" w:w="1191"/>
          </w:tcPr>
          <w:p>
            <w:pPr>
              <w:spacing w:before="20" w:after="20"/>
            </w:pPr>
            <w:r/>
            <w:r>
              <w:rPr>
                <w:sz w:val="16"/>
              </w:rPr>
              <w:t>ea</w:t>
            </w:r>
          </w:p>
        </w:tc>
      </w:tr>
      <w:tr>
        <w:tc>
          <w:tcPr>
            <w:tcW w:type="dxa" w:w="4649"/>
          </w:tcPr>
          <w:p>
            <w:pPr>
              <w:spacing w:before="20" w:after="20"/>
            </w:pPr>
            <w:r/>
            <w:r>
              <w:rPr>
                <w:sz w:val="16"/>
              </w:rPr>
              <w:t>Electronic connectivity</w:t>
            </w:r>
          </w:p>
        </w:tc>
        <w:tc>
          <w:tcPr>
            <w:tcW w:type="dxa" w:w="2381"/>
          </w:tcPr>
          <w:p>
            <w:pPr>
              <w:spacing w:before="20" w:after="20"/>
            </w:pPr>
            <w:r/>
            <w:r>
              <w:rPr>
                <w:sz w:val="16"/>
              </w:rPr>
              <w:t>100</w:t>
            </w:r>
          </w:p>
        </w:tc>
        <w:tc>
          <w:tcPr>
            <w:tcW w:type="dxa" w:w="2381"/>
          </w:tcPr>
          <w:p>
            <w:pPr>
              <w:spacing w:before="20" w:after="20"/>
            </w:pPr>
            <w:r/>
            <w:r>
              <w:rPr>
                <w:sz w:val="16"/>
              </w:rPr>
              <w:t>100</w:t>
            </w:r>
          </w:p>
        </w:tc>
        <w:tc>
          <w:tcPr>
            <w:tcW w:type="dxa" w:w="1191"/>
          </w:tcPr>
          <w:p>
            <w:pPr>
              <w:spacing w:before="20" w:after="20"/>
            </w:pPr>
            <w:r/>
            <w:r>
              <w:rPr>
                <w:sz w:val="16"/>
              </w:rPr>
              <w:t>%</w:t>
            </w:r>
          </w:p>
        </w:tc>
      </w:tr>
      <w:tr>
        <w:tc>
          <w:tcPr>
            <w:tcW w:type="dxa" w:w="4649"/>
          </w:tcPr>
          <w:p>
            <w:pPr>
              <w:spacing w:before="20" w:after="20"/>
            </w:pPr>
            <w:r/>
            <w:r>
              <w:rPr>
                <w:sz w:val="16"/>
              </w:rPr>
              <w:t>Areal capacity</w:t>
            </w:r>
          </w:p>
        </w:tc>
        <w:tc>
          <w:tcPr>
            <w:tcW w:type="dxa" w:w="2381"/>
          </w:tcPr>
          <w:p>
            <w:pPr>
              <w:spacing w:before="20" w:after="20"/>
            </w:pPr>
            <w:r/>
            <w:r>
              <w:rPr>
                <w:i/>
                <w:sz w:val="16"/>
              </w:rPr>
              <w:t>[ 협업자 소관 — 면적 하중 0.015904 g cm⁻² 확정, 비용량은 원고 밖 ]</w:t>
            </w:r>
          </w:p>
        </w:tc>
        <w:tc>
          <w:tcPr>
            <w:tcW w:type="dxa" w:w="2381"/>
          </w:tcPr>
          <w:p>
            <w:pPr>
              <w:spacing w:before="20" w:after="20"/>
            </w:pPr>
            <w:r/>
            <w:r>
              <w:rPr>
                <w:i/>
                <w:sz w:val="16"/>
              </w:rPr>
              <w:t>[ 협업자 소관 — 면적 하중 0.015904 g cm⁻² 확정, 비용량은 원고 밖 ]</w:t>
            </w:r>
          </w:p>
        </w:tc>
        <w:tc>
          <w:tcPr>
            <w:tcW w:type="dxa" w:w="1191"/>
          </w:tcPr>
          <w:p>
            <w:pPr>
              <w:spacing w:before="20" w:after="20"/>
            </w:pPr>
            <w:r/>
            <w:r>
              <w:rPr>
                <w:sz w:val="16"/>
              </w:rPr>
              <w:t>mAh cm⁻²</w:t>
            </w:r>
          </w:p>
        </w:tc>
      </w:tr>
    </w:tbl>
    <w:p>
      <w:pPr>
        <w:spacing w:after="120"/>
        <w:jc w:val="both"/>
      </w:pPr>
      <w:r>
        <w:rPr>
          <w:b w:val="0"/>
          <w:i/>
          <w:sz w:val="17"/>
        </w:rPr>
        <w:t>각주: Coverage is reported in the Tabor band; the three coverage conventions used elsewhere in this project measure different quantities and must not be mixed. The contact count depends on whether the insulating binder is counted as part of the conductive-binder domain, so both counts are given: the increase from SBE to DBE is +16 % counting only the conductive phases and +10 % counting the binder as well. Neither reproduces the absolute numbers in v6 (433 and 517); what those counted is not recorded, and the direction and relative size of the change do agree. The bed itself reports a quasi-static violation — the platen moves at a substantial fraction of the compressional wave speed — so thickness and ε_union are absolute values that need re-measurement, while the ratio is common-mode and unaffected.</w:t>
      </w:r>
    </w:p>
    <w:p>
      <w:pPr>
        <w:spacing w:after="120"/>
        <w:jc w:val="both"/>
      </w:pPr>
      <w:r>
        <w:rPr>
          <w:b w:val="0"/>
          <w:i w:val="0"/>
          <w:sz w:val="18"/>
        </w:rPr>
        <w:t>대괄호로 남긴 칸은 값이 없는 칸입니다 — 작아서 생략한 것이 아니라 아직 재지 않았습니다. 옛 값을 그대로 옮기지 않은 이유는, 그렇게 하면 한 표 안에 두 세대의 침대가 섞이기 때문입니다. σ_ele 만 새 침대이고 나머지가 옛 침대이면 독자는 그것을 구별할 수 없습니다.</w:t>
      </w:r>
    </w:p>
    <w:p>
      <w:pPr>
        <w:spacing w:after="40"/>
        <w:jc w:val="both"/>
      </w:pPr>
      <w:r>
        <w:rPr>
          <w:b/>
          <w:i w:val="0"/>
          <w:sz w:val="19"/>
        </w:rPr>
        <w:t>ε_union 과 thickness 의 연산 정의:</w:t>
      </w:r>
    </w:p>
    <w:p>
      <w:pPr>
        <w:spacing w:after="40"/>
        <w:ind w:left="283"/>
        <w:jc w:val="both"/>
      </w:pPr>
      <w:r>
        <w:rPr>
          <w:b w:val="0"/>
          <w:i w:val="0"/>
          <w:sz w:val="18"/>
        </w:rPr>
        <w:t>· ε_union = 1 − V_solid / (A · (z_plate − z_floor)). 분자는 겹침을 한 번만 세는 합집합 부피이고 분모는 바닥판과 플래튼 사이의 상자 부피입니다. 통상적인 전극 porosity 가 아니며, 실험 앵커(~15.6 %) 대비 과압축입니다.</w:t>
      </w:r>
    </w:p>
    <w:p>
      <w:pPr>
        <w:spacing w:after="40"/>
        <w:ind w:left="283"/>
        <w:jc w:val="both"/>
      </w:pPr>
      <w:r>
        <w:rPr>
          <w:b w:val="0"/>
          <w:i w:val="0"/>
          <w:sz w:val="18"/>
        </w:rPr>
        <w:t>· Thickness 는 운동학적 정지 규칙에서 플래튼이 멈춘 위치로 정해지는 값입니다. 응력 평형에서 창발한 두께가 아닙니다.</w:t>
      </w:r>
    </w:p>
    <w:p>
      <w:pPr>
        <w:spacing w:after="40"/>
        <w:ind w:left="283"/>
        <w:jc w:val="both"/>
      </w:pPr>
      <w:r>
        <w:rPr>
          <w:b w:val="0"/>
          <w:i w:val="0"/>
          <w:sz w:val="18"/>
        </w:rPr>
        <w:t>· 두 침대의 thickness 가 같다는 것이 과압축이 비에서 상쇄된다는 뜻은 아닙니다. 같은 속도·같은 정지 위치는 like-for-like 입력을 보장할 뿐입니다.</w:t>
      </w:r>
    </w:p>
    <w:p>
      <w:pPr>
        <w:pStyle w:val="Heading1"/>
      </w:pPr>
      <w:r>
        <w:rPr>
          <w:color w:val="1A1A1A"/>
        </w:rPr>
        <w:t>6. Table S3c (신설) — 바인더 표현 민감도</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3742"/>
            <w:shd w:val="clear" w:fill="E8E8E8"/>
          </w:tcPr>
          <w:p>
            <w:pPr>
              <w:spacing w:before="20" w:after="20"/>
            </w:pPr>
            <w:r/>
            <w:r>
              <w:rPr>
                <w:b/>
                <w:sz w:val="16"/>
              </w:rPr>
              <w:t>PTFE convention</w:t>
            </w:r>
          </w:p>
        </w:tc>
        <w:tc>
          <w:tcPr>
            <w:tcW w:type="dxa" w:w="1247"/>
            <w:shd w:val="clear" w:fill="E8E8E8"/>
          </w:tcPr>
          <w:p>
            <w:pPr>
              <w:spacing w:before="20" w:after="20"/>
            </w:pPr>
            <w:r/>
            <w:r>
              <w:rPr>
                <w:b/>
                <w:sz w:val="16"/>
              </w:rPr>
              <w:t>σ_ele SBE</w:t>
            </w:r>
          </w:p>
        </w:tc>
        <w:tc>
          <w:tcPr>
            <w:tcW w:type="dxa" w:w="1247"/>
            <w:shd w:val="clear" w:fill="E8E8E8"/>
          </w:tcPr>
          <w:p>
            <w:pPr>
              <w:spacing w:before="20" w:after="20"/>
            </w:pPr>
            <w:r/>
            <w:r>
              <w:rPr>
                <w:b/>
                <w:sz w:val="16"/>
              </w:rPr>
              <w:t>σ_ele DBE</w:t>
            </w:r>
          </w:p>
        </w:tc>
        <w:tc>
          <w:tcPr>
            <w:tcW w:type="dxa" w:w="1020"/>
            <w:shd w:val="clear" w:fill="E8E8E8"/>
          </w:tcPr>
          <w:p>
            <w:pPr>
              <w:spacing w:before="20" w:after="20"/>
            </w:pPr>
            <w:r/>
            <w:r>
              <w:rPr>
                <w:b/>
                <w:sz w:val="16"/>
              </w:rPr>
              <w:t>Ratio</w:t>
            </w:r>
          </w:p>
        </w:tc>
        <w:tc>
          <w:tcPr>
            <w:tcW w:type="dxa" w:w="1020"/>
            <w:shd w:val="clear" w:fill="E8E8E8"/>
          </w:tcPr>
          <w:p>
            <w:pPr>
              <w:spacing w:before="20" w:after="20"/>
            </w:pPr>
            <w:r/>
            <w:r>
              <w:rPr>
                <w:b/>
                <w:sz w:val="16"/>
              </w:rPr>
              <w:t>Spread</w:t>
            </w:r>
          </w:p>
        </w:tc>
        <w:tc>
          <w:tcPr>
            <w:tcW w:type="dxa" w:w="1474"/>
            <w:shd w:val="clear" w:fill="E8E8E8"/>
          </w:tcPr>
          <w:p>
            <w:pPr>
              <w:spacing w:before="20" w:after="20"/>
            </w:pPr>
            <w:r/>
            <w:r>
              <w:rPr>
                <w:b/>
                <w:sz w:val="16"/>
              </w:rPr>
              <w:t>Range</w:t>
            </w:r>
          </w:p>
        </w:tc>
      </w:tr>
      <w:tr>
        <w:tc>
          <w:tcPr>
            <w:tcW w:type="dxa" w:w="3742"/>
          </w:tcPr>
          <w:p>
            <w:pPr>
              <w:spacing w:before="20" w:after="20"/>
            </w:pPr>
            <w:r/>
            <w:r>
              <w:rPr>
                <w:sz w:val="16"/>
              </w:rPr>
              <w:t>PTFE omitted from the electronic grid (legacy/default convention)</w:t>
            </w:r>
          </w:p>
        </w:tc>
        <w:tc>
          <w:tcPr>
            <w:tcW w:type="dxa" w:w="1247"/>
          </w:tcPr>
          <w:p>
            <w:pPr>
              <w:spacing w:before="20" w:after="20"/>
            </w:pPr>
            <w:r/>
            <w:r>
              <w:rPr>
                <w:sz w:val="16"/>
              </w:rPr>
              <w:t>72.3</w:t>
            </w:r>
          </w:p>
        </w:tc>
        <w:tc>
          <w:tcPr>
            <w:tcW w:type="dxa" w:w="1247"/>
          </w:tcPr>
          <w:p>
            <w:pPr>
              <w:spacing w:before="20" w:after="20"/>
            </w:pPr>
            <w:r/>
            <w:r>
              <w:rPr>
                <w:sz w:val="16"/>
              </w:rPr>
              <w:t>81.3</w:t>
            </w:r>
          </w:p>
        </w:tc>
        <w:tc>
          <w:tcPr>
            <w:tcW w:type="dxa" w:w="1020"/>
          </w:tcPr>
          <w:p>
            <w:pPr>
              <w:spacing w:before="20" w:after="20"/>
            </w:pPr>
            <w:r/>
            <w:r>
              <w:rPr>
                <w:sz w:val="16"/>
              </w:rPr>
              <w:t>1.124</w:t>
            </w:r>
          </w:p>
        </w:tc>
        <w:tc>
          <w:tcPr>
            <w:tcW w:type="dxa" w:w="1020"/>
          </w:tcPr>
          <w:p>
            <w:pPr>
              <w:spacing w:before="20" w:after="20"/>
            </w:pPr>
            <w:r/>
            <w:r>
              <w:rPr>
                <w:sz w:val="16"/>
              </w:rPr>
              <w:t>0.003</w:t>
            </w:r>
          </w:p>
        </w:tc>
        <w:tc>
          <w:tcPr>
            <w:tcW w:type="dxa" w:w="1474"/>
          </w:tcPr>
          <w:p>
            <w:pPr>
              <w:spacing w:before="20" w:after="20"/>
            </w:pPr>
            <w:r/>
            <w:r>
              <w:rPr>
                <w:sz w:val="16"/>
              </w:rPr>
              <w:t>1.120–1.127</w:t>
            </w:r>
          </w:p>
        </w:tc>
      </w:tr>
      <w:tr>
        <w:tc>
          <w:tcPr>
            <w:tcW w:type="dxa" w:w="3742"/>
          </w:tcPr>
          <w:p>
            <w:pPr>
              <w:spacing w:before="20" w:after="20"/>
            </w:pPr>
            <w:r/>
            <w:r>
              <w:rPr>
                <w:sz w:val="16"/>
              </w:rPr>
              <w:t>PTFE centerline voxels excluded (exact-zero sensitivity convention)</w:t>
            </w:r>
          </w:p>
        </w:tc>
        <w:tc>
          <w:tcPr>
            <w:tcW w:type="dxa" w:w="1247"/>
          </w:tcPr>
          <w:p>
            <w:pPr>
              <w:spacing w:before="20" w:after="20"/>
            </w:pPr>
            <w:r/>
            <w:r>
              <w:rPr>
                <w:sz w:val="16"/>
              </w:rPr>
              <w:t>54.0</w:t>
            </w:r>
          </w:p>
        </w:tc>
        <w:tc>
          <w:tcPr>
            <w:tcW w:type="dxa" w:w="1247"/>
          </w:tcPr>
          <w:p>
            <w:pPr>
              <w:spacing w:before="20" w:after="20"/>
            </w:pPr>
            <w:r/>
            <w:r>
              <w:rPr>
                <w:sz w:val="16"/>
              </w:rPr>
              <w:t>70.6</w:t>
            </w:r>
          </w:p>
        </w:tc>
        <w:tc>
          <w:tcPr>
            <w:tcW w:type="dxa" w:w="1020"/>
          </w:tcPr>
          <w:p>
            <w:pPr>
              <w:spacing w:before="20" w:after="20"/>
            </w:pPr>
            <w:r/>
            <w:r>
              <w:rPr>
                <w:sz w:val="16"/>
              </w:rPr>
              <w:t>1.308</w:t>
            </w:r>
          </w:p>
        </w:tc>
        <w:tc>
          <w:tcPr>
            <w:tcW w:type="dxa" w:w="1020"/>
          </w:tcPr>
          <w:p>
            <w:pPr>
              <w:spacing w:before="20" w:after="20"/>
            </w:pPr>
            <w:r/>
            <w:r>
              <w:rPr>
                <w:sz w:val="16"/>
              </w:rPr>
              <w:t>0.003</w:t>
            </w:r>
          </w:p>
        </w:tc>
        <w:tc>
          <w:tcPr>
            <w:tcW w:type="dxa" w:w="1474"/>
          </w:tcPr>
          <w:p>
            <w:pPr>
              <w:spacing w:before="20" w:after="20"/>
            </w:pPr>
            <w:r/>
            <w:r>
              <w:rPr>
                <w:sz w:val="16"/>
              </w:rPr>
              <w:t>1.302–1.310</w:t>
            </w:r>
          </w:p>
        </w:tc>
      </w:tr>
    </w:tbl>
    <w:p>
      <w:pPr>
        <w:spacing w:after="120"/>
        <w:jc w:val="both"/>
      </w:pPr>
      <w:r>
        <w:rPr>
          <w:b w:val="0"/>
          <w:i/>
          <w:sz w:val="17"/>
        </w:rPr>
        <w:t>각주: Both settings were evaluated on the same beds with the same code and grid, differing only in whether the insulating binder occupies conduction cells; a machine-checked contract confirms that no other parameter differs. The setting used in the main text stamps a one-voxel centerline through each binder fibril and removes those cells from conduction, which accounts for 43 % of the binder volume present in the bed; omitting the binder accounts for none of it. It was selected for reporting but is not calibrated: a pre-registered test asked whether either setting reproduces the binder volume within a factor of two and neither does, so the quantity that would decide which setting is closer to the real film has not been measured — blocking follows connectivity, not volume. The increase from SBE to DBE is obtained under both settings; its magnitude is not. The binder's mass and stiffness are present in the DEM–MPM bed under either, since the setting affects only the conduction grid.</w:t>
      </w:r>
    </w:p>
    <w:p>
      <w:r>
        <w:br w:type="page"/>
      </w:r>
    </w:p>
    <w:p>
      <w:pPr>
        <w:pStyle w:val="Heading1"/>
      </w:pPr>
      <w:r>
        <w:rPr>
          <w:color w:val="1A1A1A"/>
        </w:rPr>
        <w:t>7. 본문에서 함께 고쳐야 할 곳</w:t>
      </w:r>
    </w:p>
    <w:p>
      <w:pPr>
        <w:spacing w:after="120"/>
        <w:jc w:val="both"/>
      </w:pPr>
      <w:r>
        <w:rPr>
          <w:b w:val="0"/>
          <w:i/>
          <w:sz w:val="18"/>
        </w:rPr>
        <w:t>아래는 협업자 문서의 문장이라 저희가 바꾸지 않고 지목만 합니다.</w:t>
      </w:r>
    </w:p>
    <w:tbl>
      <w:tblPr>
        <w:tblStyle w:val="TableGrid"/>
        <w:tblW w:type="auto" w:w="0"/>
        <w:tblLook w:firstColumn="1" w:firstRow="1" w:lastColumn="0" w:lastRow="0" w:noHBand="0" w:noVBand="1" w:val="04A0"/>
      </w:tblPr>
      <w:tblGrid>
        <w:gridCol w:w="3324"/>
        <w:gridCol w:w="3324"/>
        <w:gridCol w:w="3324"/>
      </w:tblGrid>
      <w:tr>
        <w:tc>
          <w:tcPr>
            <w:tcW w:type="dxa" w:w="1928"/>
            <w:shd w:val="clear" w:fill="E8E8E8"/>
          </w:tcPr>
          <w:p>
            <w:pPr>
              <w:spacing w:before="20" w:after="20"/>
            </w:pPr>
            <w:r/>
            <w:r>
              <w:rPr>
                <w:b/>
                <w:sz w:val="16"/>
              </w:rPr>
              <w:t>Location</w:t>
            </w:r>
          </w:p>
        </w:tc>
        <w:tc>
          <w:tcPr>
            <w:tcW w:type="dxa" w:w="3175"/>
            <w:shd w:val="clear" w:fill="E8E8E8"/>
          </w:tcPr>
          <w:p>
            <w:pPr>
              <w:spacing w:before="20" w:after="20"/>
            </w:pPr>
            <w:r/>
            <w:r>
              <w:rPr>
                <w:b/>
                <w:sz w:val="16"/>
              </w:rPr>
              <w:t>v6 as written</w:t>
            </w:r>
          </w:p>
        </w:tc>
        <w:tc>
          <w:tcPr>
            <w:tcW w:type="dxa" w:w="4365"/>
            <w:shd w:val="clear" w:fill="E8E8E8"/>
          </w:tcPr>
          <w:p>
            <w:pPr>
              <w:spacing w:before="20" w:after="20"/>
            </w:pPr>
            <w:r/>
            <w:r>
              <w:rPr>
                <w:b/>
                <w:sz w:val="16"/>
              </w:rPr>
              <w:t>Proposed</w:t>
            </w:r>
          </w:p>
        </w:tc>
      </w:tr>
      <w:tr>
        <w:tc>
          <w:tcPr>
            <w:tcW w:type="dxa" w:w="1928"/>
          </w:tcPr>
          <w:p>
            <w:pPr>
              <w:spacing w:before="20" w:after="20"/>
            </w:pPr>
            <w:r/>
            <w:r>
              <w:rPr>
                <w:sz w:val="16"/>
              </w:rPr>
              <w:t>Transport paragraph</w:t>
            </w:r>
          </w:p>
        </w:tc>
        <w:tc>
          <w:tcPr>
            <w:tcW w:type="dxa" w:w="3175"/>
          </w:tcPr>
          <w:p>
            <w:pPr>
              <w:spacing w:before="20" w:after="20"/>
            </w:pPr>
            <w:r/>
            <w:r>
              <w:rPr>
                <w:sz w:val="16"/>
              </w:rPr>
              <w:t>“… the simulated effective σ_ele increases from 1.98 to 3.00 S cm⁻¹”</w:t>
            </w:r>
          </w:p>
        </w:tc>
        <w:tc>
          <w:tcPr>
            <w:tcW w:type="dxa" w:w="4365"/>
          </w:tcPr>
          <w:p>
            <w:pPr>
              <w:spacing w:before="20" w:after="20"/>
            </w:pPr>
            <w:r/>
            <w:r>
              <w:rPr>
                <w:sz w:val="16"/>
              </w:rPr>
              <w:t>One nominal setting in the body, with the alternative in the same paragraph: “the simulated effective σ_ele increases from 54.0 to 70.6 mS cm⁻¹ (a ratio of 1.308) with the binder’s centerline voxels excluded from conduction; omitting the binder from the electronic grid instead gives 72.3 → 81.3 mS cm⁻¹ (1.124). The setting used here was selected for reporting but is not calibrated (Table S3c).” — ⚠ 형식 근거: 같은 재료계·같은 코드의 선행 연구가 파라미터 민감도를 별도 절에 싣고 본문은 공칭값 하나를 씁니다. 두 값을 본문에서 동등하게 병기하는 형식은 저희가 찾은 선례가 없습니다.</w:t>
            </w:r>
          </w:p>
        </w:tc>
      </w:tr>
      <w:tr>
        <w:tc>
          <w:tcPr>
            <w:tcW w:type="dxa" w:w="1928"/>
          </w:tcPr>
          <w:p>
            <w:pPr>
              <w:spacing w:before="20" w:after="20"/>
            </w:pPr>
            <w:r/>
            <w:r>
              <w:rPr>
                <w:sz w:val="16"/>
              </w:rPr>
              <w:t>Transport paragraph</w:t>
            </w:r>
          </w:p>
        </w:tc>
        <w:tc>
          <w:tcPr>
            <w:tcW w:type="dxa" w:w="3175"/>
          </w:tcPr>
          <w:p>
            <w:pPr>
              <w:spacing w:before="20" w:after="20"/>
            </w:pPr>
            <w:r/>
            <w:r>
              <w:rPr>
                <w:sz w:val="16"/>
              </w:rPr>
              <w:t>“… σ_ion … 0.203 and 0.215 mS cm⁻¹”</w:t>
            </w:r>
          </w:p>
        </w:tc>
        <w:tc>
          <w:tcPr>
            <w:tcW w:type="dxa" w:w="4365"/>
          </w:tcPr>
          <w:p>
            <w:pPr>
              <w:spacing w:before="20" w:after="20"/>
            </w:pPr>
            <w:r/>
            <w:r>
              <w:rPr>
                <w:i/>
                <w:sz w:val="16"/>
              </w:rPr>
              <w:t>[ 보류 — 이온 전용 런 완료 전까지 수치를 넣지 않음 ]</w:t>
            </w:r>
          </w:p>
        </w:tc>
      </w:tr>
      <w:tr>
        <w:tc>
          <w:tcPr>
            <w:tcW w:type="dxa" w:w="1928"/>
          </w:tcPr>
          <w:p>
            <w:pPr>
              <w:spacing w:before="20" w:after="20"/>
            </w:pPr>
            <w:r/>
            <w:r>
              <w:rPr>
                <w:sz w:val="16"/>
              </w:rPr>
              <w:t>Transport paragraph</w:t>
            </w:r>
          </w:p>
        </w:tc>
        <w:tc>
          <w:tcPr>
            <w:tcW w:type="dxa" w:w="3175"/>
          </w:tcPr>
          <w:p>
            <w:pPr>
              <w:spacing w:before="20" w:after="20"/>
            </w:pPr>
            <w:r/>
            <w:r>
              <w:rPr>
                <w:sz w:val="16"/>
              </w:rPr>
              <w:t>“reconstructed using a discrete element method (DEM)”</w:t>
            </w:r>
          </w:p>
        </w:tc>
        <w:tc>
          <w:tcPr>
            <w:tcW w:type="dxa" w:w="4365"/>
          </w:tcPr>
          <w:p>
            <w:pPr>
              <w:spacing w:before="20" w:after="20"/>
            </w:pPr>
            <w:r/>
            <w:r>
              <w:rPr>
                <w:sz w:val="16"/>
              </w:rPr>
              <w:t>“generated by DEM packing and MPM compaction” — ‘reconstructed’ implies tomographic reconstruction of a real specimen, which this is not.</w:t>
            </w:r>
          </w:p>
        </w:tc>
      </w:tr>
      <w:tr>
        <w:tc>
          <w:tcPr>
            <w:tcW w:type="dxa" w:w="1928"/>
          </w:tcPr>
          <w:p>
            <w:pPr>
              <w:spacing w:before="20" w:after="20"/>
            </w:pPr>
            <w:r/>
            <w:r>
              <w:rPr>
                <w:sz w:val="16"/>
              </w:rPr>
              <w:t>Figure 4a caption</w:t>
            </w:r>
          </w:p>
        </w:tc>
        <w:tc>
          <w:tcPr>
            <w:tcW w:type="dxa" w:w="3175"/>
          </w:tcPr>
          <w:p>
            <w:pPr>
              <w:spacing w:before="20" w:after="20"/>
            </w:pPr>
            <w:r/>
            <w:r>
              <w:rPr>
                <w:sz w:val="16"/>
              </w:rPr>
              <w:t>“DEM-reconstructed SBE and DBE geometries”</w:t>
            </w:r>
          </w:p>
        </w:tc>
        <w:tc>
          <w:tcPr>
            <w:tcW w:type="dxa" w:w="4365"/>
          </w:tcPr>
          <w:p>
            <w:pPr>
              <w:spacing w:before="20" w:after="20"/>
            </w:pPr>
            <w:r/>
            <w:r>
              <w:rPr>
                <w:sz w:val="16"/>
              </w:rPr>
              <w:t>“SBE and DBE composite-cathode geometries generated by DEM particle packing and compacted by MPM” — 두 군데를 고칩니다: ‘reconstructed’ 는 실물 단층촬영 재구성을 암시하고, ‘DEM’ 은 세 도구 중 하나만 부릅니다.</w:t>
            </w:r>
          </w:p>
        </w:tc>
      </w:tr>
      <w:tr>
        <w:tc>
          <w:tcPr>
            <w:tcW w:type="dxa" w:w="1928"/>
          </w:tcPr>
          <w:p>
            <w:pPr>
              <w:spacing w:before="20" w:after="20"/>
            </w:pPr>
            <w:r/>
            <w:r>
              <w:rPr>
                <w:sz w:val="16"/>
              </w:rPr>
              <w:t>Figure 4a 그림</w:t>
            </w:r>
          </w:p>
        </w:tc>
        <w:tc>
          <w:tcPr>
            <w:tcW w:type="dxa" w:w="3175"/>
          </w:tcPr>
          <w:p>
            <w:pPr>
              <w:spacing w:before="20" w:after="20"/>
            </w:pPr>
            <w:r/>
            <w:r>
              <w:rPr>
                <w:sz w:val="16"/>
              </w:rPr>
              <w:t>출처가 기록돼 있지 않던 그림</w:t>
            </w:r>
          </w:p>
        </w:tc>
        <w:tc>
          <w:tcPr>
            <w:tcW w:type="dxa" w:w="4365"/>
          </w:tcPr>
          <w:p>
            <w:pPr>
              <w:spacing w:before="20" w:after="20"/>
            </w:pPr>
            <w:r/>
            <w:r>
              <w:rPr>
                <w:i/>
                <w:sz w:val="16"/>
              </w:rPr>
              <w:t>[ 교체 필요 — 침대가 재압밀되어 입자 위치가 바뀌었습니다. 지금 그림이 옛 침대라면 Table S3 이 보고하는 것과 다른 미세구조입니다 ]</w:t>
            </w:r>
          </w:p>
        </w:tc>
      </w:tr>
      <w:tr>
        <w:tc>
          <w:tcPr>
            <w:tcW w:type="dxa" w:w="1928"/>
          </w:tcPr>
          <w:p>
            <w:pPr>
              <w:spacing w:before="20" w:after="20"/>
            </w:pPr>
            <w:r/>
            <w:r>
              <w:rPr>
                <w:sz w:val="16"/>
              </w:rPr>
              <w:t>Figure 4b</w:t>
            </w:r>
          </w:p>
        </w:tc>
        <w:tc>
          <w:tcPr>
            <w:tcW w:type="dxa" w:w="3175"/>
          </w:tcPr>
          <w:p>
            <w:pPr>
              <w:spacing w:before="20" w:after="20"/>
            </w:pPr>
            <w:r/>
            <w:r>
              <w:rPr>
                <w:sz w:val="16"/>
              </w:rPr>
              <w:t>Plot of the superseded σ values</w:t>
            </w:r>
          </w:p>
        </w:tc>
        <w:tc>
          <w:tcPr>
            <w:tcW w:type="dxa" w:w="4365"/>
          </w:tcPr>
          <w:p>
            <w:pPr>
              <w:spacing w:before="20" w:after="20"/>
            </w:pPr>
            <w:r/>
            <w:r>
              <w:rPr>
                <w:sz w:val="16"/>
              </w:rPr>
              <w:t>재작도 완료 — 두 규약을 병기하는 형태로 다시 그렸고 생성기를 리포에 넣었습니다.</w:t>
            </w:r>
          </w:p>
        </w:tc>
      </w:tr>
      <w:tr>
        <w:tc>
          <w:tcPr>
            <w:tcW w:type="dxa" w:w="1928"/>
          </w:tcPr>
          <w:p>
            <w:pPr>
              <w:spacing w:before="20" w:after="20"/>
            </w:pPr>
            <w:r/>
            <w:r>
              <w:rPr>
                <w:sz w:val="16"/>
              </w:rPr>
              <w:t>Table S3 title</w:t>
            </w:r>
          </w:p>
        </w:tc>
        <w:tc>
          <w:tcPr>
            <w:tcW w:type="dxa" w:w="3175"/>
          </w:tcPr>
          <w:p>
            <w:pPr>
              <w:spacing w:before="20" w:after="20"/>
            </w:pPr>
            <w:r/>
            <w:r>
              <w:rPr>
                <w:sz w:val="16"/>
              </w:rPr>
              <w:t>“… obtained from the DEM simulations”</w:t>
            </w:r>
          </w:p>
        </w:tc>
        <w:tc>
          <w:tcPr>
            <w:tcW w:type="dxa" w:w="4365"/>
          </w:tcPr>
          <w:p>
            <w:pPr>
              <w:spacing w:before="20" w:after="20"/>
            </w:pPr>
            <w:r/>
            <w:r>
              <w:rPr>
                <w:sz w:val="16"/>
              </w:rPr>
              <w:t>“Structural metrics from the DEM–MPM geometry and transport metrics from the voxel finite-volume solver”</w:t>
            </w:r>
          </w:p>
        </w:tc>
      </w:tr>
      <w:tr>
        <w:tc>
          <w:tcPr>
            <w:tcW w:type="dxa" w:w="1928"/>
          </w:tcPr>
          <w:p>
            <w:pPr>
              <w:spacing w:before="20" w:after="20"/>
            </w:pPr>
            <w:r/>
            <w:r>
              <w:rPr>
                <w:sz w:val="16"/>
              </w:rPr>
              <w:t>Figure S16 caption</w:t>
            </w:r>
          </w:p>
        </w:tc>
        <w:tc>
          <w:tcPr>
            <w:tcW w:type="dxa" w:w="3175"/>
          </w:tcPr>
          <w:p>
            <w:pPr>
              <w:spacing w:before="20" w:after="20"/>
            </w:pPr>
            <w:r/>
            <w:r>
              <w:rPr>
                <w:sz w:val="16"/>
              </w:rPr>
              <w:t>“Reconstructed SBE and DBE geometries used for the DEM simulations”</w:t>
            </w:r>
          </w:p>
        </w:tc>
        <w:tc>
          <w:tcPr>
            <w:tcW w:type="dxa" w:w="4365"/>
          </w:tcPr>
          <w:p>
            <w:pPr>
              <w:spacing w:before="20" w:after="20"/>
            </w:pPr>
            <w:r/>
            <w:r>
              <w:rPr>
                <w:sz w:val="16"/>
              </w:rPr>
              <w:t>“SBE and DBE geometries generated by DEM packing and MPM compaction” — 두 군데 (‘Reconstructed’ + 전 과정을 DEM 으로 부름).</w:t>
            </w:r>
          </w:p>
        </w:tc>
      </w:tr>
      <w:tr>
        <w:tc>
          <w:tcPr>
            <w:tcW w:type="dxa" w:w="1928"/>
          </w:tcPr>
          <w:p>
            <w:pPr>
              <w:spacing w:before="20" w:after="20"/>
            </w:pPr>
            <w:r/>
            <w:r>
              <w:rPr>
                <w:sz w:val="16"/>
              </w:rPr>
              <w:t>Figure S17 · S18 captions</w:t>
            </w:r>
          </w:p>
        </w:tc>
        <w:tc>
          <w:tcPr>
            <w:tcW w:type="dxa" w:w="3175"/>
          </w:tcPr>
          <w:p>
            <w:pPr>
              <w:spacing w:before="20" w:after="20"/>
            </w:pPr>
            <w:r/>
            <w:r>
              <w:rPr>
                <w:sz w:val="16"/>
              </w:rPr>
              <w:t>“Simulated ionic / electronic current-density distributions”</w:t>
            </w:r>
          </w:p>
        </w:tc>
        <w:tc>
          <w:tcPr>
            <w:tcW w:type="dxa" w:w="4365"/>
          </w:tcPr>
          <w:p>
            <w:pPr>
              <w:spacing w:before="20" w:after="20"/>
            </w:pPr>
            <w:r/>
            <w:r>
              <w:rPr>
                <w:sz w:val="16"/>
              </w:rPr>
              <w:t>오귀속 없음. 솔버 이름을 붙이는 편이 낫습니다(선택): “… computed with the voxel finite-volume solver”.</w:t>
            </w:r>
          </w:p>
        </w:tc>
      </w:tr>
    </w:tbl>
    <w:p>
      <w:pPr>
        <w:pStyle w:val="Heading1"/>
      </w:pPr>
      <w:r>
        <w:rPr>
          <w:color w:val="1A1A1A"/>
        </w:rPr>
        <w:t>8. 아직 해결되지 않은 것 — 전체 설명</w:t>
      </w:r>
    </w:p>
    <w:p>
      <w:pPr>
        <w:jc w:val="both"/>
      </w:pPr>
      <w:r>
        <w:rPr>
          <w:b/>
          <w:sz w:val="19"/>
        </w:rPr>
        <w:t xml:space="preserve">σ_ion (Table S3) — ‘미측정’ 이 아니라 ‘쟀는데 못 씁니다’ — </w:t>
      </w:r>
      <w:r>
        <w:rPr>
          <w:sz w:val="19"/>
        </w:rPr>
        <w:t>같은 침대·같은 origin 으로 이온까지 푸는 런을 돌렸고 값이 나왔습니다. 그런데 비가 1 보다 작게 나오는데, 그것이 물리가 아니라 입력 규약의 비대칭입니다. 생산 규약에서 바인더는 전도 격자에 한 셀도 들어가지 않습니다 — 그러면 바인더를 두 배로 가진 SBE 쪽 절연 부피를 더 많이 봐주게 됩니다. 동시에 SDCP 는 DBE 에만 있으면서 자기 자리의 전해질을 이온 전도도가 3 분의 1 인 상으로 바꿉니다. 두 힘이 같은 방향으로 비를 끌어내립니다. ⚠ 그러므로 남은 팔이 끝나도 값은 바뀌지 않습니다 — 팔 수가 아니라 입력이 정하는 값입니다. 채우면 ‘SDCP 가 이온 전도를 떨어뜨린다’ 를 싣게 되는데, 그것은 모델이 바인더를 안 그린 결과입니다. 실물에서 SDCP 는 절연 바인더를 대체하고 모델에서는 전해질을 대체합니다 — 치환 상대가 다릅니다. ★ 문헌이 방향을 확인해 줍니다: 같은 재료계에서 PTFE 1 wt% 가 이온 전도도를 26 % 떨어뜨린다는 실측이 있고, 그 두 로딩이 정확히 저희 SBE·DBE 의 바인더 함량입니다. 그것만으로도 비가 1 보다 커야 합니다 — 시뮬레이션과 부호가 반대입니다. 해제는 펠릿 보정으로 σ_ion(SDCP) 와 바인더 차단 길이를 앵커한 뒤 다시 도는 것입니다.</w:t>
      </w:r>
    </w:p>
    <w:p>
      <w:pPr>
        <w:jc w:val="both"/>
      </w:pPr>
      <w:r>
        <w:rPr>
          <w:b/>
          <w:sz w:val="19"/>
        </w:rPr>
        <w:t xml:space="preserve">Areal capacity — v6 의 두 값은 이 침대에서 성립하지 않습니다 (협업자 소관) — </w:t>
      </w:r>
      <w:r>
        <w:rPr>
          <w:sz w:val="19"/>
        </w:rPr>
        <w:t>SI v6 은 두 전극에 서로 다른 면적 용량을 적었는데, 두 전극이 같은 AM 골격과 같은 두께를 공유하므로 성립할 수 없습니다. ⚠ 이 사실은 누가 값을 채우든 그대로입니다. 저희가 낼 수 있는 것은 면적 하중까지이고 0.015904 g cm⁻² 로 확정했습니다(두 전극 동일). 비용량은 시뮬레이션 산출물이 아니라 실험 쪽 값이라 이 행은 협업자가 채웁니다 — 시뮬레이션 축의 미결이 아닙니다.</w:t>
      </w:r>
    </w:p>
    <w:p>
      <w:pPr>
        <w:jc w:val="both"/>
      </w:pPr>
      <w:r>
        <w:rPr>
          <w:b/>
          <w:sz w:val="19"/>
        </w:rPr>
        <w:t xml:space="preserve">Figure 4a 그림 (해제조건 ⑦ 잔여) — </w:t>
      </w:r>
      <w:r>
        <w:rPr>
          <w:sz w:val="19"/>
        </w:rPr>
        <w:t>캡션은 고쳤지만 그림은 그대로입니다. 침대를 재압밀하면서 첨가제 탄성계수 세대가 바뀌었고, 벌크 지표는 거의 안 움직였지만 입자 위치는 바뀌었습니다. 지금 그림이 옛 침대에서 나온 것이라면 Table S3 이 보고하는 것과 다른 미세구조를 보여주게 됩니다.</w:t>
      </w:r>
    </w:p>
    <w:p>
      <w:pPr>
        <w:jc w:val="both"/>
      </w:pPr>
      <w:r>
        <w:rPr>
          <w:b/>
          <w:sz w:val="19"/>
        </w:rPr>
        <w:t xml:space="preserve">AM 입자당 CBD 접촉 수 — 규약이 이득까지 바꿉니다 — </w:t>
      </w:r>
      <w:r>
        <w:rPr>
          <w:sz w:val="19"/>
        </w:rPr>
        <w:t>본문이 이 수를 기전 근거로 직접 인용합니다. 절연 바인더를 ‘conductive binder domain’ 에 넣느냐에 따라 증가율이 16 % 와 10 % 로 갈립니다. 규약을 함께 적지 않으면 인용할 수 없습니다. 또 v6 의 절대값(433 · 517)은 재현되지 않습니다 — v6 이 무엇을 셌는지 기록이 없습니다. 방향과 상대 크기는 정합합니다.</w:t>
      </w:r>
    </w:p>
    <w:p>
      <w:pPr>
        <w:jc w:val="both"/>
      </w:pPr>
      <w:r>
        <w:rPr>
          <w:b/>
          <w:sz w:val="19"/>
        </w:rPr>
        <w:t xml:space="preserve">격자 수렴 — </w:t>
      </w:r>
      <w:r>
        <w:rPr>
          <w:sz w:val="19"/>
        </w:rPr>
        <w:t>이득이 격자를 조일수록 단조 증가하고 멈추지 않습니다. 증분 비가 어떤 멱법칙과도 맞지 않아 외삽이 성립하지 않으므로, 검토한 세분 구간에서 단조 증가한다고만 적고 전역 한계를 주장하지 않습니다.</w:t>
      </w:r>
    </w:p>
    <w:p>
      <w:pPr>
        <w:jc w:val="both"/>
      </w:pPr>
      <w:r>
        <w:rPr>
          <w:b/>
          <w:sz w:val="19"/>
        </w:rPr>
        <w:t xml:space="preserve">탄소 전도도 가정의 여유 — </w:t>
      </w:r>
      <w:r>
        <w:rPr>
          <w:sz w:val="19"/>
        </w:rPr>
        <w:t>현재 결론은 σ(VGCF) 를 유효 망 상수로 볼 때 성립합니다. 단섬유 값을 넣으면 이득의 부호가 뒤집히므로 — 망이 이미 완전하면 SDCP 가 보탤 것이 없고 오히려 부피를 차지합니다 — 이 가정은 결론에 실질적입니다. Limitations 에 한 문단으로 들어가 있고, 감도 공정을 런 전에 등록해 두었습니다.</w:t>
      </w:r>
    </w:p>
    <w:p>
      <w:pPr>
        <w:jc w:val="both"/>
      </w:pPr>
      <w:r>
        <w:rPr>
          <w:b/>
          <w:sz w:val="19"/>
        </w:rPr>
        <w:t xml:space="preserve">준정적 위반 — </w:t>
      </w:r>
      <w:r>
        <w:rPr>
          <w:sz w:val="19"/>
        </w:rPr>
        <w:t>침대 자체가 준정적 조건 위반을 보고합니다. 두 전극이 같은 속도로 눌렸으므로 비는 공통 모드로 상쇄되지만, 두께와 ε_union 은 절대값이라 영향을 받습니다. Limitations 에 적었습니다.</w:t>
      </w:r>
    </w:p>
    <w:p>
      <w:pPr>
        <w:jc w:val="both"/>
      </w:pPr>
      <w:r>
        <w:rPr>
          <w:b/>
          <w:sz w:val="19"/>
        </w:rPr>
        <w:t xml:space="preserve">독립 재판정 — </w:t>
      </w:r>
      <w:r>
        <w:rPr>
          <w:sz w:val="19"/>
        </w:rPr>
        <w:t>R11 을 올린 뒤 적대 리뷰를 더 받지 못했습니다. 위 해제조건의 ‘해소’ 는 전부 저희 자체 판정입니다.</w:t>
      </w:r>
    </w:p>
    <w:p>
      <w:pPr>
        <w:pStyle w:val="Heading2"/>
      </w:pPr>
      <w:r>
        <w:rPr>
          <w:color w:val="1A1A1A"/>
        </w:rPr>
        <w:t>9. 수치의 출처</w:t>
      </w:r>
    </w:p>
    <w:p>
      <w:pPr>
        <w:spacing w:after="120"/>
        <w:jc w:val="both"/>
      </w:pPr>
      <w:r>
        <w:rPr>
          <w:b w:val="0"/>
          <w:i w:val="0"/>
          <w:sz w:val="19"/>
        </w:rPr>
        <w:t>이 문서의 σ_ele 값은 2026-08-27 침대에서 vox 0.15 μm, SDCP 를 참 직경 구로 스탬프한 규약으로, 두 PTFE 규약 각각 8개 origin 씩 모두 16팔을 완주해 얻은 것입니다. 두 규약의 짝은 같은 침대·같은 코드이며 등록 축 외의 인자가 다르지 않다는 것을 기계 검사로 확인했습니다. 수치 정본은 리포의 docs/reviews/table_s3_data_20260827.md 이고, 이 문서는 그것을 옮겨 적은 것입니다 — 두 곳이 어긋나면 정본이 이깁니다.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