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w:t>
      </w:r>
      <w:r>
        <w:rPr>
          <w:i/>
          <w:iCs/>
        </w:rPr>
        <w:t xml:space="preserve">k</w:t>
      </w:r>
      <w:r>
        <w:t xml:space="preserve">-point grids (6 × 6 × 3, 2 × 2 × 1, and 3 × 3 × 1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w:t>
      </w:r>
      <w:r>
        <w:rPr>
          <w:vertAlign w:val="superscript"/>
        </w:rPr>
        <w:t xml:space="preserve">[8]</w:t>
      </w:r>
      <w:r>
        <w:t xml:space="preserve"> and Marzari–Vanderbilt smearing of 0.01 Ry was applied (0.02 Ry for the structural relaxations of BO-LPSC</w:t>
      </w:r>
      <w:r>
        <w:rPr>
          <w:vertAlign w:val="subscript"/>
        </w:rPr>
        <w:t xml:space="preserve">1.6</w:t>
      </w:r>
      <w:r>
        <w:t xml:space="preserve">).</w:t>
      </w:r>
      <w:r>
        <w:rPr>
          <w:vertAlign w:val="superscript"/>
        </w:rPr>
        <w:t xml:space="preserve">[9]</w:t>
      </w:r>
      <w:r>
        <w:t xml:space="preserve"> Ionic positions were relaxed until all force components fell below 10</w:t>
      </w:r>
      <w:r>
        <w:rPr>
          <w:vertAlign w:val="superscript"/>
        </w:rPr>
        <w:t xml:space="preserve">−3</w:t>
      </w:r>
      <w:r>
        <w:t xml:space="preserve"> Ry bohr</w:t>
      </w:r>
      <w:r>
        <w:rPr>
          <w:vertAlign w:val="superscript"/>
        </w:rPr>
        <w:t xml:space="preserve">−1</w:t>
      </w:r>
      <w:r>
        <w:t xml:space="preserve"> (10</w:t>
      </w:r>
      <w:r>
        <w:rPr>
          <w:vertAlign w:val="superscript"/>
        </w:rPr>
        <w:t xml:space="preserve">−4</w:t>
      </w:r>
      <w:r>
        <w:t xml:space="preserve"> Ry bohr</w:t>
      </w:r>
      <w:r>
        <w:rPr>
          <w:vertAlign w:val="superscript"/>
        </w:rPr>
        <w:t xml:space="preserve">−1</w:t>
      </w:r>
      <w:r>
        <w:t xml:space="preserve"> for LPSC</w:t>
      </w:r>
      <w:r>
        <w:rPr>
          <w:vertAlign w:val="subscript"/>
        </w:rPr>
        <w:t xml:space="preserve">1.6</w:t>
      </w:r>
      <w:r>
        <w:t xml:space="preserve">), with a self-consistent field (SCF) convergence threshold of 10</w:t>
      </w:r>
      <w:r>
        <w:rPr>
          <w:vertAlign w:val="superscript"/>
        </w:rPr>
        <w:t xml:space="preserve">−8</w:t>
      </w:r>
      <w:r>
        <w:t xml:space="preserve"> Ry or tighter.</w:t>
      </w:r>
    </w:p>
    <w:p>
      <w:pPr>
        <w:spacing w:after="0" w:line="480" w:lineRule="auto"/>
        <w:ind w:firstLineChars="150" w:firstLine="360"/>
      </w:pPr>
      <w:r>
        <w:t xml:space="preserve">Three structural models were constructed. 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i.e.,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was obtained by stacking five primitive argyrodite cells (</w:t>
      </w:r>
      <w:r>
        <w:rPr>
          <w:i/>
          <w:iCs/>
        </w:rPr>
        <w:t xml:space="preserve">a</w:t>
      </w:r>
      <w:r>
        <w:t xml:space="preserve"> ≈ 7.0 Å, </w:t>
      </w:r>
      <w:r>
        <w:rPr>
          <w:i/>
          <w:iCs/>
        </w:rPr>
        <w:t xml:space="preserve">α</w:t>
      </w:r>
      <w:r>
        <w:t xml:space="preserve"> = 60°)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 (UMA-s-1p1, OMat task).</w:t>
      </w:r>
      <w:r>
        <w:rPr>
          <w:vertAlign w:val="superscript"/>
        </w:rPr>
        <w:t xml:space="preserve">[10]</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in LPSC</w:t>
      </w:r>
      <w:r>
        <w:rPr>
          <w:vertAlign w:val="subscript"/>
        </w:rPr>
        <w:t xml:space="preserve">1.6</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w:t>
      </w:r>
      <w:r>
        <w:rPr>
          <w:vertAlign w:val="subscript"/>
        </w:rPr>
        <w:t xml:space="preserve">1.6</w:t>
      </w:r>
      <w:r>
        <w:t xml:space="preserve">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was obtained by placing one B</w:t>
      </w:r>
      <w:r>
        <w:rPr>
          <w:vertAlign w:val="subscript"/>
        </w:rPr>
        <w:t xml:space="preserve">2</w:t>
      </w:r>
      <w:r>
        <w:t xml:space="preserve">O</w:t>
      </w:r>
      <w:r>
        <w:rPr>
          <w:vertAlign w:val="subscript"/>
        </w:rPr>
        <w:t xml:space="preserve">3</w:t>
      </w:r>
      <w:r>
        <w:t xml:space="preserve"> unit (two B</w:t>
      </w:r>
      <w:r>
        <w:rPr>
          <w:vertAlign w:val="superscript"/>
        </w:rPr>
        <w:t xml:space="preserve">3+</w:t>
      </w:r>
      <w:r>
        <w:t xml:space="preserve"> on P</w:t>
      </w:r>
      <w:r>
        <w:rPr>
          <w:vertAlign w:val="superscript"/>
        </w:rPr>
        <w:t xml:space="preserve">5+</w:t>
      </w:r>
      <w:r>
        <w:t xml:space="preserve"> sites, three O</w:t>
      </w:r>
      <w:r>
        <w:rPr>
          <w:vertAlign w:val="superscript"/>
        </w:rPr>
        <w:t xml:space="preserve">2−</w:t>
      </w:r>
      <w:r>
        <w:t xml:space="preserve"> on S</w:t>
      </w:r>
      <w:r>
        <w:rPr>
          <w:vertAlign w:val="superscript"/>
        </w:rPr>
        <w:t xml:space="preserve">2−</w:t>
      </w:r>
      <w:r>
        <w:t xml:space="preserve"> sites, and four added Li</w:t>
      </w:r>
      <w:r>
        <w:rPr>
          <w:vertAlign w:val="superscript"/>
        </w:rPr>
        <w:t xml:space="preserve">+</w:t>
      </w:r>
      <w:r>
        <w:t xml:space="preserve"> for charge balance) in a 1 × 1 × 2 LPSC</w:t>
      </w:r>
      <w:r>
        <w:rPr>
          <w:vertAlign w:val="subscript"/>
        </w:rPr>
        <w:t xml:space="preserve">1.6</w:t>
      </w:r>
      <w:r>
        <w:t xml:space="preserve"> supercell; the configuration was selected by Ewald pre-screening and UMA relaxation, with the O site confirmed by DFT. Both doped models thus contain the smallest dopant amount each cell allows, more than the experimental samples (0.2 vs 0.045 O and 0.2 vs 0.03 B per formula unit).</w:t>
      </w:r>
    </w:p>
    <w:p>
      <w:pPr>
        <w:spacing w:after="0" w:line="480" w:lineRule="auto"/>
        <w:ind w:firstLineChars="150" w:firstLine="360"/>
      </w:pPr>
      <w:r>
        <w:t xml:space="preserve">For each model, the UMA-optimized cell was isotropically scaled to 0.96–1.06 (LPSC</w:t>
      </w:r>
      <w:r>
        <w:rPr>
          <w:vertAlign w:val="subscript"/>
        </w:rPr>
        <w:t xml:space="preserve">1.6</w:t>
      </w:r>
      <w:r>
        <w:t xml:space="preserve">, 11 volumes), 0.94–1.06 (O-LPSC</w:t>
      </w:r>
      <w:r>
        <w:rPr>
          <w:vertAlign w:val="subscript"/>
        </w:rPr>
        <w:t xml:space="preserve">1.6</w:t>
      </w:r>
      <w:r>
        <w:t xml:space="preserve">, 7 volumes), or 0.96–1.04 (BO-LPSC</w:t>
      </w:r>
      <w:r>
        <w:rPr>
          <w:vertAlign w:val="subscript"/>
        </w:rPr>
        <w:t xml:space="preserve">1.6</w:t>
      </w:r>
      <w:r>
        <w:t xml:space="preserve">,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[11]</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UMA-based MD in the Atomic Simulation Environment (ASE)</w:t>
      </w:r>
      <w:r>
        <w:rPr>
          <w:vertAlign w:val="superscript"/>
        </w:rPr>
        <w:t xml:space="preserve">[12]</w:t>
      </w:r>
      <w:r>
        <w:t xml:space="preserve"> in the </w:t>
      </w:r>
      <w:r>
        <w:rPr>
          <w:i/>
          <w:iCs/>
        </w:rPr>
        <w:t xml:space="preserve">NVT</w:t>
      </w:r>
      <w:r>
        <w:t xml:space="preserve"> ensemble with a Langevin thermostat (time step 2 fs, friction 0.02 in ASE units) at 600, 800, and 1000 K, with 5 ps of equilibration followed by 200 ps of production. For each model and temperature, at least three independent runs with different random seeds were performed. The Li</w:t>
      </w:r>
      <w:r>
        <w:rPr>
          <w:vertAlign w:val="superscript"/>
        </w:rPr>
        <w:t xml:space="preserve">+</w:t>
      </w:r>
      <w:r>
        <w:t xml:space="preserve"> tracer diffusion coefficient (</w:t>
      </w:r>
      <w:r>
        <w:rPr>
          <w:i/>
          <w:iCs/>
        </w:rPr>
        <w:t xml:space="preserve">D</w:t>
      </w:r>
      <w:r>
        <w:t xml:space="preserve">) was obtained by fitting Eq. (1) to the mean square displacement (MSD) over 2 ≤ </w:t>
      </w:r>
      <w:r>
        <w:rPr>
          <w:i/>
          <w:iCs/>
        </w:rPr>
        <w:t xml:space="preserve">t</w:t>
      </w:r>
      <w:r>
        <w:t xml:space="preserve"> ≤ 50 ps, where </w:t>
      </w:r>
      <w:r>
        <w:rPr>
          <w:i/>
          <w:iCs/>
        </w:rPr>
        <w:t xml:space="preserve">N</w:t>
      </w:r>
      <w:r>
        <w:t xml:space="preserve"> is the number of Li</w:t>
      </w:r>
      <w:r>
        <w:rPr>
          <w:vertAlign w:val="superscript"/>
        </w:rPr>
        <w:t xml:space="preserve">+</w:t>
      </w:r>
      <w:r>
        <w:t xml:space="preserve"> ions, </w:t>
      </w:r>
      <w:r>
        <w:rPr>
          <w:b/>
          <w:bCs/>
          <w:i/>
          <w:iCs/>
        </w:rPr>
        <w:t xml:space="preserve">r</w:t>
      </w:r>
      <w:r>
        <w:rPr>
          <w:i/>
          <w:iCs/>
          <w:vertAlign w:val="subscript"/>
        </w:rPr>
        <w:t xml:space="preserve">i</w:t>
      </w:r>
      <w:r>
        <w:t xml:space="preserve">(</w:t>
      </w:r>
      <w:r>
        <w:rPr>
          <w:i/>
          <w:iCs/>
        </w:rPr>
        <w:t xml:space="preserve">t</w:t>
      </w:r>
      <w:r>
        <w:t xml:space="preserve">) is the unwrapped position of ion </w:t>
      </w:r>
      <w:r>
        <w:rPr>
          <w:i/>
          <w:iCs/>
        </w:rPr>
        <w:t xml:space="preserve">i</w:t>
      </w:r>
      <w:r>
        <w:t xml:space="preserve"> at time </w:t>
      </w:r>
      <w:r>
        <w:rPr>
          <w:i/>
          <w:iCs/>
        </w:rPr>
        <w:t xml:space="preserve">t</w:t>
      </w:r>
      <w:r>
        <w:t xml:space="preserve"> after the start of production, and </w:t>
      </w:r>
      <w:r>
        <w:rPr>
          <w:i/>
          <w:iCs/>
        </w:rPr>
        <w:t xml:space="preserve">c</w:t>
      </w:r>
      <w:r>
        <w:t xml:space="preserve"> is a free intercept. The activation energy (</w:t>
      </w:r>
      <w:r>
        <w:rPr>
          <w:i/>
          <w:iCs/>
        </w:rPr>
        <w:t xml:space="preserve">E</w:t>
      </w:r>
      <w:r>
        <w:rPr>
          <w:vertAlign w:val="subscript"/>
        </w:rPr>
        <w:t xml:space="preserve">a</w:t>
      </w:r>
      <w:r>
        <w:t xml:space="preserve">) was obtained by fitting Eq. (2) to </w:t>
      </w:r>
      <w:r>
        <w:rPr>
          <w:i/>
          <w:iCs/>
        </w:rPr>
        <w:t xml:space="preserve">D</w:t>
      </w:r>
      <w:r>
        <w:t xml:space="preserve"> at the three temperatures, and the ionic conductivity (</w:t>
      </w:r>
      <w:r>
        <w:rPr>
          <w:i/>
          <w:iCs/>
        </w:rPr>
        <w:t xml:space="preserve">σ</w:t>
      </w:r>
      <w:r>
        <w:t xml:space="preserve">) was estimated from Eq. (3) with a Haven ratio of 1 and </w:t>
      </w:r>
      <w:r>
        <w:rPr>
          <w:i/>
          <w:iCs/>
        </w:rPr>
        <w:t xml:space="preserve">D</w:t>
      </w:r>
      <w:r>
        <w:t xml:space="preserve"> extrapolated to 273 K by Eq. (2), where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m:rPr>
            <m:sty m:val="p"/>
          </m:rPr>
          <w:rPr>
            <w:rFonts w:ascii="Cambria Math" w:hAnsi="Cambria Math"/>
          </w:rPr>
          <m:t xml:space="preserve">MSD</m:t>
        </m:r>
        <m:d>
          <m:e>
            <m:r>
              <w:rPr>
                <w:rFonts w:ascii="Cambria Math" w:hAnsi="Cambria Math"/>
              </w:rPr>
              <m:t xml:space="preserve">t</m:t>
            </m:r>
          </m:e>
        </m:d>
        <m:r>
          <m:rPr>
            <m:sty m:val="p"/>
          </m:rPr>
          <w:rPr>
            <w:rFonts w:ascii="Cambria Math" w:hAnsi="Cambria Math"/>
          </w:rPr>
          <m:t xml:space="preserve">=</m:t>
        </m:r>
        <m:f>
          <m:num>
            <m:r>
              <m:rPr>
                <m:sty m:val="p"/>
              </m:rPr>
              <w:rPr>
                <w:rFonts w:ascii="Cambria Math" w:hAnsi="Cambria Math"/>
              </w:rPr>
              <m:t xml:space="preserve">1</m:t>
            </m:r>
          </m:num>
          <m:den>
            <m:r>
              <w:rPr>
                <w:rFonts w:ascii="Cambria Math" w:hAnsi="Cambria Math"/>
              </w:rPr>
              <m:t xml:space="preserve">N</m:t>
            </m:r>
          </m:den>
        </m:f>
        <m:nary>
          <m:naryPr>
            <m:chr m:val="∑"/>
            <m:limLoc m:val="undOvr"/>
          </m:naryPr>
          <m:sub>
            <m: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1</m:t>
            </m:r>
          </m:sub>
          <m:sup>
            <m:r>
              <w:rPr>
                <w:rFonts w:ascii="Cambria Math" w:hAnsi="Cambria Math"/>
              </w:rPr>
              <m:t xml:space="preserve">N</m:t>
            </m:r>
          </m:sup>
          <m:e>
            <m:sSup>
              <m:e>
                <m:d>
                  <m:dPr>
                    <m:begChr m:val="|"/>
                    <m:endChr m:val="|"/>
                  </m:dPr>
                  <m:e>
                    <m:sSub>
                      <m:e>
                        <m:r>
                          <m:rPr>
                            <m:sty m:val="bi"/>
                          </m:rPr>
                          <w:rPr>
                            <w:rFonts w:ascii="Cambria Math" w:hAnsi="Cambria Math"/>
                          </w:rPr>
                          <m:t xml:space="preserve">r</m:t>
                        </m:r>
                      </m:e>
                      <m:sub>
                        <m:r>
                          <w:rPr>
                            <w:rFonts w:ascii="Cambria Math" w:hAnsi="Cambria Math"/>
                          </w:rPr>
                          <m:t xml:space="preserve">i</m:t>
                        </m:r>
                      </m:sub>
                    </m:sSub>
                    <m:d>
                      <m:e>
                        <m:r>
                          <w:rPr>
                            <w:rFonts w:ascii="Cambria Math" w:hAnsi="Cambria Math"/>
                          </w:rPr>
                          <m:t xml:space="preserve">t</m:t>
                        </m:r>
                      </m:e>
                    </m:d>
                    <m:r>
                      <m:rPr>
                        <m:sty m:val="p"/>
                      </m:rPr>
                      <w:rPr>
                        <w:rFonts w:ascii="Cambria Math" w:hAnsi="Cambria Math"/>
                      </w:rPr>
                      <m:t xml:space="preserve">−</m:t>
                    </m:r>
                    <m:sSub>
                      <m:e>
                        <m:r>
                          <m:rPr>
                            <m:sty m:val="bi"/>
                          </m:rPr>
                          <w:rPr>
                            <w:rFonts w:ascii="Cambria Math" w:hAnsi="Cambria Math"/>
                          </w:rPr>
                          <m:t xml:space="preserve">r</m:t>
                        </m:r>
                      </m:e>
                      <m:sub>
                        <m:r>
                          <w:rPr>
                            <w:rFonts w:ascii="Cambria Math" w:hAnsi="Cambria Math"/>
                          </w:rPr>
                          <m:t xml:space="preserve">i</m:t>
                        </m:r>
                      </m:sub>
                    </m:sSub>
                    <m:d>
                      <m:e>
                        <m:r>
                          <m:rPr>
                            <m:sty m:val="p"/>
                          </m:rPr>
                          <w:rPr>
                            <w:rFonts w:ascii="Cambria Math" w:hAnsi="Cambria Math"/>
                          </w:rPr>
                          <m:t xml:space="preserve">0</m:t>
                        </m:r>
                      </m:e>
                    </m:d>
                  </m:e>
                </m:d>
              </m:e>
              <m:sup>
                <m:r>
                  <m:rPr>
                    <m:sty m:val="p"/>
                  </m:rPr>
                  <w:rPr>
                    <w:rFonts w:ascii="Cambria Math" w:hAnsi="Cambria Math"/>
                  </w:rPr>
                  <m:t xml:space="preserve">2</m:t>
                </m:r>
              </m:sup>
            </m:sSup>
          </m:e>
        </m:nary>
        <m:r>
          <m:rPr>
            <m:sty m:val="p"/>
          </m:rPr>
          <w:rPr>
            <w:rFonts w:ascii="Cambria Math" w:hAnsi="Cambria Math"/>
          </w:rPr>
          <m:t xml:space="preserve">≈</m:t>
        </m:r>
        <m:r>
          <m:rPr>
            <m:sty m:val="p"/>
          </m:rPr>
          <w:rPr>
            <w:rFonts w:ascii="Cambria Math" w:hAnsi="Cambria Math"/>
          </w:rPr>
          <m:t xml:space="preserve">6</m:t>
        </m:r>
        <m:r>
          <w:rPr>
            <w:rFonts w:ascii="Cambria Math" w:hAnsi="Cambria Math"/>
          </w:rPr>
          <m:t xml:space="preserve">D</m:t>
        </m:r>
        <m:r>
          <w:rPr>
            <w:rFonts w:ascii="Cambria Math" w:hAnsi="Cambria Math"/>
          </w:rPr>
          <m:t xml:space="preserve">t</m:t>
        </m:r>
        <m:r>
          <m:rPr>
            <m:sty m:val="p"/>
          </m:rPr>
          <w:rPr>
            <w:rFonts w:ascii="Cambria Math" w:hAnsi="Cambria Math"/>
          </w:rPr>
          <m:t xml:space="preserve">+</m:t>
        </m:r>
        <m:r>
          <w:rPr>
            <w:rFonts w:ascii="Cambria Math" w:hAnsi="Cambria Math"/>
          </w:rPr>
          <m:t xml:space="preserve">c</m:t>
        </m:r>
      </m:oMath>
      <w:r>
        <w:tab/>
        <w:t xml:space="preserve">(1)</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(2)</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(3)</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[13,14]</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(4),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 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(4)</w:t>
      </w:r>
    </w:p>
    <w:p>
      <w:pPr>
        <w:spacing w:after="0" w:line="480" w:lineRule="auto"/>
        <w:ind w:firstLineChars="150" w:firstLine="360"/>
      </w:pPr>
      <w:r>
        <w:t xml:space="preserve">The density of states (DOS) and projected DOS (PDOS) of BO-LPSC</w:t>
      </w:r>
      <w:r>
        <w:rPr>
          <w:vertAlign w:val="subscript"/>
        </w:rPr>
        <w:t xml:space="preserve">1.6</w:t>
      </w:r>
      <w:r>
        <w:t xml:space="preserve"> were calculated non-self-consistently with the optimized tetrahedron method and projections onto atomic orbitals,</w:t>
      </w:r>
      <w:r>
        <w:rPr>
          <w:vertAlign w:val="superscript"/>
        </w:rPr>
        <w:t xml:space="preserve">[15]</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[16]</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[17]</w:t>
      </w:r>
      <w:r>
        <w:t xml:space="preserve"> was performed with LOBSTER 5.1.1.</w:t>
      </w:r>
      <w:r>
        <w:rPr>
          <w:vertAlign w:val="superscript"/>
        </w:rPr>
        <w:t xml:space="preserve">[18,19]</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energy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H. J. Monkhorst, J. D. Pack, </w:t>
      </w:r>
      <w:r>
        <w:rPr>
          <w:i/>
          <w:iCs/>
        </w:rPr>
        <w:t xml:space="preserve">Phys. Rev. B</w:t>
      </w:r>
      <w:r>
        <w:t xml:space="preserve"> 1976, </w:t>
      </w:r>
      <w:r>
        <w:rPr>
          <w:i/>
          <w:iCs/>
        </w:rPr>
        <w:t xml:space="preserve">13</w:t>
      </w:r>
      <w:r>
        <w:t xml:space="preserve">, 5188–5192.</w:t>
      </w:r>
    </w:p>
    <w:p>
      <w:pPr>
        <w:tabs>
          <w:tab w:val="left" w:pos="480"/>
        </w:tabs>
        <w:spacing w:after="0" w:line="480" w:lineRule="auto"/>
        <w:ind w:left="480" w:hanging="480"/>
      </w:pPr>
      <w:r>
        <w:t xml:space="preserve">9.</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10.</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11.</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12.</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13.</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14.</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15.</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16.</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17.</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18.</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19.</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