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E2825" w14:textId="77777777" w:rsidR="006620FC" w:rsidRDefault="008545DD">
      <w:pPr>
        <w:spacing w:after="240"/>
        <w:jc w:val="center"/>
        <w:rPr>
          <w:rFonts w:ascii="Times New Roman" w:eastAsia="Times New Roman" w:hAnsi="Times New Roman" w:cs="Times New Roman"/>
        </w:rPr>
      </w:pPr>
      <w:r>
        <w:rPr>
          <w:rFonts w:ascii="Times New Roman" w:eastAsia="Times New Roman" w:hAnsi="Times New Roman" w:cs="Times New Roman"/>
          <w:b/>
          <w:bCs/>
          <w:sz w:val="24"/>
          <w:szCs w:val="24"/>
          <w:u w:val="single"/>
        </w:rPr>
        <w:t>Comments to the Author(s)</w:t>
      </w:r>
    </w:p>
    <w:p w14:paraId="4C4E2826" w14:textId="7000DB28" w:rsidR="006620FC" w:rsidRDefault="008545DD">
      <w:pPr>
        <w:spacing w:after="160" w:line="276" w:lineRule="auto"/>
        <w:jc w:val="both"/>
        <w:rPr>
          <w:rFonts w:ascii="Times New Roman" w:eastAsia="Times New Roman" w:hAnsi="Times New Roman" w:cs="Times New Roman"/>
          <w:sz w:val="24"/>
          <w:szCs w:val="24"/>
        </w:rPr>
      </w:pPr>
      <w:r>
        <w:rPr>
          <w:rFonts w:ascii="Times New Roman" w:hAnsi="Times New Roman"/>
          <w:b w:val="0"/>
          <w:sz w:val="24"/>
        </w:rPr>
        <w:t>In this study, the authors investigate how the LPSC solid-electrolyte particle size and the CAM/SSE ratio affect ionic and electronic transport and interfacial stability in sulfide all-solid-state composite cathodes, combining electrochemical measurements, in-situ EIS/DRT, SEM/FIB-SEM, and 3D LAMMPS packing simulations. The topic is timely and the manuscript presents a systematic set of results spanning rate capability, cycling, impedance evolution, and microstructural characterization. However, several concerns remain regarding the physical fidelity of the packing simulation, the interpretation of the results, and some of the key claims. The authors should address the following points before publication:</w:t>
      </w:r>
    </w:p>
    <w:p w14:paraId="4C4E2826" w14:textId="7000DB28" w:rsidR="006620FC" w:rsidRDefault="008545DD">
      <w:pPr>
        <w:spacing w:after="160" w:line="276" w:lineRule="auto"/>
        <w:jc w:val="both"/>
        <w:rPr>
          <w:rFonts w:ascii="Times New Roman" w:eastAsia="Times New Roman" w:hAnsi="Times New Roman" w:cs="Times New Roman"/>
          <w:sz w:val="24"/>
          <w:szCs w:val="24"/>
        </w:rPr>
      </w:pPr>
    </w:p>
    <w:p w14:paraId="7EF48859" w14:textId="71D2D8CB" w:rsidR="005833F1" w:rsidRDefault="00E40323" w:rsidP="005833F1">
      <w:pPr>
        <w:numPr>
          <w:ilvl w:val="0"/>
          <w:numId w:val="1"/>
        </w:numPr>
        <w:spacing w:after="200" w:line="276" w:lineRule="auto"/>
        <w:jc w:val="both"/>
        <w:rPr>
          <w:rFonts w:ascii="Times New Roman" w:hAnsi="Times New Roman" w:cs="Times New Roman"/>
          <w:sz w:val="24"/>
          <w:szCs w:val="24"/>
        </w:rPr>
      </w:pPr>
      <w:proofErr w:type="gramStart"/>
      <w:proofErr w:type="gramEnd"/>
      <w:r>
        <w:rPr>
          <w:rFonts w:ascii="Times New Roman" w:hAnsi="Times New Roman"/>
          <w:b w:val="0"/>
          <w:sz w:val="24"/>
        </w:rPr>
        <w:t>The packing simulation omits plastic deformation, which is the central concern. The claim that fine SSE fills voids and lowers porosity and tortuosity rests on a purely Hertzian-elastic, adhesive packing (“elastic contact moduli”) that is not formulated to capture the plastic flow it invokes: (i) the cathode is pressed at about 240 MPa, at or above the LPSC yield stress (σ_y ≈ 0.05–0.3 GPa), so the elastic law is applied where the material is expected to yield; (ii) an elastic sphere fills voids only geometrically and saturates near its random-packing limit, so it cannot densify by the plastic flow that cold-pressing produces and tends to overestimate the residual porosity (a like-for-like check needs the pristine, not post-cycling, FIB-SEM porosity, which is not reported); (iii) the authors’ own SEM/FIB-SEM, showing filled interstices and boundary flattening, is plastic morphology that the elastic model does not reproduce; (iv) NPT densification of elastic, adhesive spheres is largely reversible (spring-back plus Lennard–Jones clustering), unlike irreversible cold-pressing; (v) elastic point contacts underestimate the plastic neck (A = F/H), which inflates the ionic tortuosity. The absolute values (6.360 vs 3.914) are therefore hard to compare with experiment, although the coarse &gt; fine ordering is reasonable. Please adopt an elastoplastic or hysteretic contact, or present Fig. 2 as a qualitative-trend tool and report the pristine FIB-SEM porosity.</w:t>
      </w:r>
    </w:p>
    <w:p w14:paraId="7EF48859" w14:textId="71D2D8CB" w:rsidR="005833F1" w:rsidRDefault="00E40323" w:rsidP="005833F1">
      <w:pPr>
        <w:numPr>
          <w:ilvl w:val="0"/>
          <w:numId w:val="1"/>
        </w:numPr>
        <w:spacing w:after="200" w:line="276" w:lineRule="auto"/>
        <w:jc w:val="both"/>
        <w:rPr>
          <w:rFonts w:ascii="Times New Roman" w:hAnsi="Times New Roman" w:cs="Times New Roman"/>
          <w:sz w:val="24"/>
          <w:szCs w:val="24"/>
        </w:rPr>
      </w:pPr>
      <w:proofErr w:type="gramStart"/>
      <w:proofErr w:type="gramEnd"/>
      <w:r>
        <w:rPr>
          <w:rFonts w:ascii="Times New Roman" w:hAnsi="Times New Roman"/>
          <w:b w:val="0"/>
          <w:sz w:val="24"/>
        </w:rPr>
        <w:t>The “molecular-dynamics” framing is not appropriate for micron grains (a 1 fs step, 300 K, and about 0.5 ns total are not meaningful for 0.5–6 µm particles); the calculation is effectively a granular DEM and should be converged and described as such. The 30×30×100 µm cell contains only on the order of ten coarse particles across a section, so please report the unstated composition, the seed count, and the seed-to-seed scatter; the “elastic contact moduli” are also uncalibrated (no stiffness values or comparison with the measured pellet density). The reported geometric tortuosity is, moreover, not the transport tortuosity that enters σ_eff = σ0·ε/τ².</w:t>
      </w:r>
    </w:p>
    <w:p w14:paraId="7EF48859" w14:textId="71D2D8CB" w:rsidR="005833F1" w:rsidRDefault="00E40323" w:rsidP="005833F1">
      <w:pPr>
        <w:numPr>
          <w:ilvl w:val="0"/>
          <w:numId w:val="1"/>
        </w:numPr>
        <w:spacing w:after="200" w:line="276" w:lineRule="auto"/>
        <w:jc w:val="both"/>
        <w:rPr>
          <w:rFonts w:ascii="Times New Roman" w:hAnsi="Times New Roman" w:cs="Times New Roman"/>
          <w:sz w:val="24"/>
          <w:szCs w:val="24"/>
        </w:rPr>
      </w:pPr>
      <w:proofErr w:type="gramStart"/>
      <w:proofErr w:type="gramEnd"/>
      <w:r>
        <w:rPr>
          <w:rFonts w:ascii="Times New Roman" w:hAnsi="Times New Roman"/>
          <w:b w:val="0"/>
          <w:sz w:val="24"/>
        </w:rPr>
        <w:t>The “50:50 optimal” claim is a cell-performance optimum that the data do not establish. The conductivity-level ionic/electronic trade-off is already shown in Fig. 1, but no cell with &gt;50 vol% SSE (≤40 vol% NCM90) was cycled, so the electron-limited roll-off that would define an optimum is absent; size and composition are also varied together, confounding coverage with packing. Please either cycle a &gt;50 vol% SSE cell, or restate “50:50 optimal” as “50 outperforms 60 vol% within the studied window.”</w:t>
      </w:r>
    </w:p>
    <w:p w14:paraId="7EF48859" w14:textId="71D2D8CB" w:rsidR="005833F1" w:rsidRDefault="00E40323" w:rsidP="005833F1">
      <w:pPr>
        <w:numPr>
          <w:ilvl w:val="0"/>
          <w:numId w:val="1"/>
        </w:numPr>
        <w:spacing w:after="200" w:line="276" w:lineRule="auto"/>
        <w:jc w:val="both"/>
        <w:rPr>
          <w:rFonts w:ascii="Times New Roman" w:hAnsi="Times New Roman" w:cs="Times New Roman"/>
          <w:sz w:val="24"/>
          <w:szCs w:val="24"/>
        </w:rPr>
      </w:pPr>
      <w:proofErr w:type="gramStart"/>
      <w:proofErr w:type="gramEnd"/>
      <w:r>
        <w:rPr>
          <w:rFonts w:ascii="Times New Roman" w:hAnsi="Times New Roman"/>
          <w:b w:val="0"/>
          <w:sz w:val="24"/>
        </w:rPr>
        <w:t>Minor points: the 50 vol% retention “6.2%” contradicts Fig. 4a and the conclusion (almost certainly 96.2%); the simulated (as-pressed) and FIB-SEM (post-cycling) porosities are different quantities, and the fabrication pressures should be stated separately (cathode ≈240, electrolyte ≈180, stack 150 MPa); “long-term cycling” is only 10 cycles; “absence of ion-transport pathways” is too strong, since the 60 vol% cell still delivers ~167 mAh g⁻¹ at low rate; Fig. 4c and 4e use different y-axes; some values are over-precise (e.g. 43.11%, 180.12 mAh g⁻¹) without error bars; the in-text superscript citations do not match the bracketed reference list (Minnmann is [25]); and typos remain (#039;, “intrinc”, “LAMPS”).</w:t>
      </w:r>
    </w:p>
    <w:sectPr w:rsidR="006620FC">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B8786" w14:textId="77777777" w:rsidR="009F2C47" w:rsidRDefault="009F2C47" w:rsidP="00FA4922">
      <w:r>
        <w:separator/>
      </w:r>
    </w:p>
  </w:endnote>
  <w:endnote w:type="continuationSeparator" w:id="0">
    <w:p w14:paraId="44AF2C99" w14:textId="77777777" w:rsidR="009F2C47" w:rsidRDefault="009F2C47" w:rsidP="00FA49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98D08" w14:textId="77777777" w:rsidR="009F2C47" w:rsidRDefault="009F2C47" w:rsidP="00FA4922">
      <w:r>
        <w:separator/>
      </w:r>
    </w:p>
  </w:footnote>
  <w:footnote w:type="continuationSeparator" w:id="0">
    <w:p w14:paraId="1C588A73" w14:textId="77777777" w:rsidR="009F2C47" w:rsidRDefault="009F2C47" w:rsidP="00FA49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0529B"/>
    <w:multiLevelType w:val="hybridMultilevel"/>
    <w:tmpl w:val="B5668674"/>
    <w:lvl w:ilvl="0" w:tplc="350C9EEE">
      <w:start w:val="1"/>
      <w:numFmt w:val="decimal"/>
      <w:lvlText w:val="%1."/>
      <w:lvlJc w:val="left"/>
      <w:pPr>
        <w:ind w:left="890" w:hanging="450"/>
      </w:pPr>
      <w:rPr>
        <w:rFonts w:eastAsia="Times New Roman"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66331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displayBackgroundShape/>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oNotTrackMoves/>
  <w:defaultTabStop w:val="800"/>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20FC"/>
    <w:rsid w:val="00141BC6"/>
    <w:rsid w:val="00150980"/>
    <w:rsid w:val="00185D10"/>
    <w:rsid w:val="002E012E"/>
    <w:rsid w:val="003146E5"/>
    <w:rsid w:val="003419F6"/>
    <w:rsid w:val="00351765"/>
    <w:rsid w:val="003A7757"/>
    <w:rsid w:val="003D51A4"/>
    <w:rsid w:val="00405395"/>
    <w:rsid w:val="00423568"/>
    <w:rsid w:val="004F7C3D"/>
    <w:rsid w:val="005240F5"/>
    <w:rsid w:val="00536AE8"/>
    <w:rsid w:val="005833F1"/>
    <w:rsid w:val="00646677"/>
    <w:rsid w:val="006620FC"/>
    <w:rsid w:val="007D1508"/>
    <w:rsid w:val="008545DD"/>
    <w:rsid w:val="008F1652"/>
    <w:rsid w:val="009223AD"/>
    <w:rsid w:val="009503C3"/>
    <w:rsid w:val="00974028"/>
    <w:rsid w:val="009E754B"/>
    <w:rsid w:val="009F2C47"/>
    <w:rsid w:val="00A36AF7"/>
    <w:rsid w:val="00A4077B"/>
    <w:rsid w:val="00B415BA"/>
    <w:rsid w:val="00C2255E"/>
    <w:rsid w:val="00C25375"/>
    <w:rsid w:val="00C91CF8"/>
    <w:rsid w:val="00D513BD"/>
    <w:rsid w:val="00D77854"/>
    <w:rsid w:val="00E40323"/>
    <w:rsid w:val="00EB0461"/>
    <w:rsid w:val="00F04285"/>
    <w:rsid w:val="00F43D22"/>
    <w:rsid w:val="00FA4922"/>
    <w:rsid w:val="00FB16B4"/>
    <w:rsid w:val="00FD293B"/>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E2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맑은 고딕" w:hAnsi="Arial" w:cs="Arial"/>
        <w:lang w:val="en-US" w:eastAsia="ko-KR"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wordWrap w:val="0"/>
      <w:autoSpaceDE w:val="0"/>
      <w:autoSpaceDN w:val="0"/>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1">
    <w:name w:val="제목 11"/>
    <w:next w:val="a3"/>
    <w:qFormat/>
    <w:rPr>
      <w:color w:val="2E74B5"/>
      <w:sz w:val="32"/>
      <w:szCs w:val="32"/>
    </w:rPr>
  </w:style>
  <w:style w:type="paragraph" w:customStyle="1" w:styleId="21">
    <w:name w:val="제목 21"/>
    <w:next w:val="a3"/>
    <w:qFormat/>
    <w:rPr>
      <w:color w:val="2E74B5"/>
      <w:sz w:val="26"/>
      <w:szCs w:val="26"/>
    </w:rPr>
  </w:style>
  <w:style w:type="paragraph" w:customStyle="1" w:styleId="31">
    <w:name w:val="제목 31"/>
    <w:next w:val="a3"/>
    <w:qFormat/>
    <w:rPr>
      <w:color w:val="1F4D78"/>
      <w:sz w:val="24"/>
      <w:szCs w:val="24"/>
    </w:rPr>
  </w:style>
  <w:style w:type="paragraph" w:customStyle="1" w:styleId="41">
    <w:name w:val="제목 41"/>
    <w:next w:val="a3"/>
    <w:qFormat/>
    <w:rPr>
      <w:i/>
      <w:iCs/>
      <w:color w:val="2E74B5"/>
      <w:sz w:val="22"/>
      <w:szCs w:val="22"/>
    </w:rPr>
  </w:style>
  <w:style w:type="paragraph" w:customStyle="1" w:styleId="51">
    <w:name w:val="제목 51"/>
    <w:next w:val="a3"/>
    <w:qFormat/>
    <w:rPr>
      <w:color w:val="2E74B5"/>
      <w:sz w:val="22"/>
      <w:szCs w:val="22"/>
    </w:rPr>
  </w:style>
  <w:style w:type="paragraph" w:customStyle="1" w:styleId="61">
    <w:name w:val="제목 61"/>
    <w:next w:val="a3"/>
    <w:qFormat/>
    <w:rPr>
      <w:color w:val="1F4D78"/>
      <w:sz w:val="22"/>
      <w:szCs w:val="22"/>
    </w:rPr>
  </w:style>
  <w:style w:type="paragraph" w:customStyle="1" w:styleId="1">
    <w:name w:val="굵은 텍스트1"/>
    <w:next w:val="a3"/>
    <w:qFormat/>
    <w:rPr>
      <w:b/>
      <w:bCs/>
      <w:sz w:val="22"/>
      <w:szCs w:val="22"/>
    </w:rPr>
  </w:style>
  <w:style w:type="paragraph" w:styleId="a4">
    <w:name w:val="List Paragraph"/>
    <w:qFormat/>
    <w:rPr>
      <w:sz w:val="22"/>
      <w:szCs w:val="22"/>
    </w:r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FA4922"/>
    <w:pPr>
      <w:tabs>
        <w:tab w:val="center" w:pos="4513"/>
        <w:tab w:val="right" w:pos="9026"/>
      </w:tabs>
      <w:snapToGrid w:val="0"/>
    </w:pPr>
  </w:style>
  <w:style w:type="character" w:customStyle="1" w:styleId="Char1">
    <w:name w:val="머리글 Char"/>
    <w:link w:val="aa"/>
    <w:uiPriority w:val="99"/>
    <w:rsid w:val="00FA4922"/>
    <w:rPr>
      <w:sz w:val="22"/>
      <w:szCs w:val="22"/>
    </w:rPr>
  </w:style>
  <w:style w:type="paragraph" w:styleId="ab">
    <w:name w:val="footer"/>
    <w:basedOn w:val="a"/>
    <w:link w:val="Char2"/>
    <w:uiPriority w:val="99"/>
    <w:unhideWhenUsed/>
    <w:rsid w:val="00FA4922"/>
    <w:pPr>
      <w:tabs>
        <w:tab w:val="center" w:pos="4513"/>
        <w:tab w:val="right" w:pos="9026"/>
      </w:tabs>
      <w:snapToGrid w:val="0"/>
    </w:pPr>
  </w:style>
  <w:style w:type="character" w:customStyle="1" w:styleId="Char2">
    <w:name w:val="바닥글 Char"/>
    <w:link w:val="ab"/>
    <w:uiPriority w:val="99"/>
    <w:rsid w:val="00FA4922"/>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MS Gothic"/>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455</Words>
  <Characters>2686</Characters>
  <Application>Microsoft Office Word</Application>
  <DocSecurity>0</DocSecurity>
  <Lines>41</Lines>
  <Paragraphs>10</Paragraphs>
  <ScaleCrop>false</ScaleCrop>
  <LinksUpToDate>false</LinksUpToDate>
  <CharactersWithSpaces>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2026-04-08T11:35:00Z</dcterms:created>
  <dcterms:modified xsi:type="dcterms:W3CDTF">2026-04-13T00:34:00Z</dcterms:modified>
  <cp:version>1200.0100.01</cp:version>
</cp:coreProperties>
</file>