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u w:val="single"/>
        </w:rPr>
        <w:t xml:space="preserve">Comments on Section 3 (Intrinsic Stability of Sulfide SEs)</w:t>
      </w:r>
    </w:p>
    <w:p>
      <w:pPr>
        <w:spacing w:after="120" w:before="240"/>
      </w:pPr>
      <w:r>
        <w:rPr>
          <w:b/>
          <w:bCs/>
          <w:u w:val="single"/>
        </w:rPr>
        <w:t xml:space="preserve">Comment 1</w:t>
      </w:r>
    </w:p>
    <w:p>
      <w:pPr>
        <w:spacing w:after="160" w:line="276"/>
        <w:jc w:val="both"/>
      </w:pPr>
      <w:r>
        <w:rPr>
          <w:i w:val="false"/>
          <w:iCs w:val="false"/>
        </w:rPr>
        <w:t xml:space="preserve">Section 3.2 classifies P</w:t>
      </w:r>
      <w:r>
        <w:rPr>
          <w:i w:val="false"/>
          <w:iCs w:val="false"/>
          <w:vertAlign w:val="superscript"/>
        </w:rPr>
        <w:t xml:space="preserve">5+</w:t>
      </w:r>
      <w:r>
        <w:rPr>
          <w:i w:val="false"/>
          <w:iCs w:val="false"/>
        </w:rPr>
        <w:t xml:space="preserve"> as a relatively soft Lewis acid, but the hydrolysis argument in Section 3.1 requires it to be hard, so that O</w:t>
      </w:r>
      <w:r>
        <w:rPr>
          <w:i w:val="false"/>
          <w:iCs w:val="false"/>
          <w:vertAlign w:val="superscript"/>
        </w:rPr>
        <w:t xml:space="preserve">2−</w:t>
      </w:r>
      <w:r>
        <w:rPr>
          <w:i w:val="false"/>
          <w:iCs w:val="false"/>
        </w:rPr>
        <w:t xml:space="preserve"> is preferred over S</w:t>
      </w:r>
      <w:r>
        <w:rPr>
          <w:i w:val="false"/>
          <w:iCs w:val="false"/>
          <w:vertAlign w:val="superscript"/>
        </w:rPr>
        <w:t xml:space="preserve">2−</w:t>
      </w:r>
      <w:r>
        <w:rPr>
          <w:i w:val="false"/>
          <w:iCs w:val="false"/>
        </w:rPr>
        <w:t xml:space="preserve">. The two sections are therefore inconsistent within HSAB. Since the NMP donor atoms (N, O) are hard bases, the attack is better described as a hard–hard substitution at an electron-poor P center, and one of the sections should be revised to agree.</w:t>
      </w:r>
    </w:p>
    <w:p>
      <w:pPr>
        <w:spacing w:after="120" w:before="240"/>
      </w:pPr>
      <w:r>
        <w:rPr>
          <w:b/>
          <w:bCs/>
          <w:u w:val="single"/>
        </w:rPr>
        <w:t xml:space="preserve">Comment 2</w:t>
      </w:r>
    </w:p>
    <w:p>
      <w:pPr>
        <w:spacing w:after="160" w:line="276"/>
        <w:jc w:val="both"/>
      </w:pPr>
      <w:r>
        <w:rPr>
          <w:i w:val="false"/>
          <w:iCs w:val="false"/>
        </w:rPr>
        <w:t xml:space="preserve">Section 3.3 attributes thermal stability to a continuous bond network, grouping LGPS, LPSCl, and Li</w:t>
      </w:r>
      <w:r>
        <w:rPr>
          <w:i w:val="false"/>
          <w:iCs w:val="false"/>
          <w:vertAlign w:val="subscript"/>
        </w:rPr>
        <w:t xml:space="preserve">7</w:t>
      </w:r>
      <w:r>
        <w:rPr>
          <w:i w:val="false"/>
          <w:iCs w:val="false"/>
        </w:rPr>
        <w:t xml:space="preserve">P</w:t>
      </w:r>
      <w:r>
        <w:rPr>
          <w:i w:val="false"/>
          <w:iCs w:val="false"/>
          <w:vertAlign w:val="subscript"/>
        </w:rPr>
        <w:t xml:space="preserve">3</w:t>
      </w:r>
      <w:r>
        <w:rPr>
          <w:i w:val="false"/>
          <w:iCs w:val="false"/>
        </w:rPr>
        <w:t xml:space="preserve">S</w:t>
      </w:r>
      <w:r>
        <w:rPr>
          <w:i w:val="false"/>
          <w:iCs w:val="false"/>
          <w:vertAlign w:val="subscript"/>
        </w:rPr>
        <w:t xml:space="preserve">11</w:t>
      </w:r>
      <w:r>
        <w:rPr>
          <w:i w:val="false"/>
          <w:iCs w:val="false"/>
        </w:rPr>
        <w:t xml:space="preserve">. Their anion frameworks differ, however, and LPSCl is fully isolated PS</w:t>
      </w:r>
      <w:r>
        <w:rPr>
          <w:i w:val="false"/>
          <w:iCs w:val="false"/>
          <w:vertAlign w:val="subscript"/>
        </w:rPr>
        <w:t xml:space="preserve">4</w:t>
      </w:r>
      <w:r>
        <w:rPr>
          <w:i w:val="false"/>
          <w:iCs w:val="false"/>
          <w:vertAlign w:val="superscript"/>
        </w:rPr>
        <w:t xml:space="preserve">3−</w:t>
      </w:r>
      <w:r>
        <w:rPr>
          <w:i w:val="false"/>
          <w:iCs w:val="false"/>
        </w:rPr>
        <w:t xml:space="preserve"> with free S</w:t>
      </w:r>
      <w:r>
        <w:rPr>
          <w:i w:val="false"/>
          <w:iCs w:val="false"/>
          <w:vertAlign w:val="superscript"/>
        </w:rPr>
        <w:t xml:space="preserve">2−</w:t>
      </w:r>
      <w:r>
        <w:rPr>
          <w:i w:val="false"/>
          <w:iCs w:val="false"/>
        </w:rPr>
        <w:t xml:space="preserve"> and Cl</w:t>
      </w:r>
      <w:r>
        <w:rPr>
          <w:i w:val="false"/>
          <w:iCs w:val="false"/>
          <w:vertAlign w:val="superscript"/>
        </w:rPr>
        <w:t xml:space="preserve">−</w:t>
      </w:r>
      <w:r>
        <w:rPr>
          <w:i w:val="false"/>
          <w:iCs w:val="false"/>
        </w:rPr>
        <w:t xml:space="preserve"> — the same units used in Sections 3.1 and 3.2, which contradicts calling it a network. Separating the three by anion connectivity and linking it to thermal stability would resolve this.</w:t>
      </w:r>
    </w:p>
    <w:p>
      <w:pPr>
        <w:spacing w:after="120" w:before="240"/>
      </w:pPr>
      <w:r>
        <w:rPr>
          <w:b/>
          <w:bCs/>
          <w:u w:val="single"/>
        </w:rPr>
        <w:t xml:space="preserve">Comment 3</w:t>
      </w:r>
    </w:p>
    <w:p>
      <w:pPr>
        <w:spacing w:after="160" w:line="276"/>
        <w:jc w:val="both"/>
      </w:pPr>
      <w:r>
        <w:rPr>
          <w:i w:val="false"/>
          <w:iCs w:val="false"/>
        </w:rPr>
        <w:t xml:space="preserve">Section 3.3 concludes that the thermal resistance is superior to carbonate electrolytes from the 400–500 °C decomposition under inert atmosphere. The condition and conclusion do not match: cell safety is governed by exothermic reaction with the charged cathode and Li metal (well below that range), and carbonate risk by flash point rather than decomposition temperature. A DSC-based comparison under cathode- or Li-coexisting conditions, and a defined safety margin, would be more appropriate.</w:t>
      </w:r>
    </w:p>
    <w:p>
      <w:pPr>
        <w:spacing w:after="120" w:before="240"/>
      </w:pPr>
      <w:r>
        <w:rPr>
          <w:b/>
          <w:bCs/>
          <w:u w:val="single"/>
        </w:rPr>
        <w:t xml:space="preserve">Comment 4</w:t>
      </w:r>
    </w:p>
    <w:p>
      <w:pPr>
        <w:spacing w:after="160" w:line="276"/>
        <w:jc w:val="both"/>
      </w:pPr>
      <w:r>
        <w:rPr>
          <w:i w:val="false"/>
          <w:iCs w:val="false"/>
        </w:rPr>
        <w:t xml:space="preserve">The InF</w:t>
      </w:r>
      <w:r>
        <w:rPr>
          <w:i w:val="false"/>
          <w:iCs w:val="false"/>
          <w:vertAlign w:val="subscript"/>
        </w:rPr>
        <w:t xml:space="preserve">3</w:t>
      </w:r>
      <w:r>
        <w:rPr>
          <w:i w:val="false"/>
          <w:iCs w:val="false"/>
        </w:rPr>
        <w:t xml:space="preserve"> passage states that the additive enhances bond energy and reduces polarizability, but neither phrase is in the cited paper, where a lower polarization rate is actually the reason F</w:t>
      </w:r>
      <w:r>
        <w:rPr>
          <w:i w:val="false"/>
          <w:iCs w:val="false"/>
          <w:vertAlign w:val="superscript"/>
        </w:rPr>
        <w:t xml:space="preserve">−</w:t>
      </w:r>
      <w:r>
        <w:rPr>
          <w:i w:val="false"/>
          <w:iCs w:val="false"/>
        </w:rPr>
        <w:t xml:space="preserve"> substitution lowers conductivity — the sign is reversed. The cited work also has single-dopant controls showing In and F act oppositely, which the merged description hides. Restating the effect on the paper’s own basis would fix this.</w:t>
      </w:r>
    </w:p>
    <w:p>
      <w:pPr>
        <w:spacing w:after="120" w:before="240"/>
      </w:pPr>
      <w:r>
        <w:rPr>
          <w:b/>
          <w:bCs/>
          <w:u w:val="single"/>
        </w:rPr>
        <w:t xml:space="preserve">Comment 5</w:t>
      </w:r>
    </w:p>
    <w:p>
      <w:pPr>
        <w:spacing w:after="160" w:line="276"/>
        <w:jc w:val="both"/>
      </w:pPr>
      <w:r>
        <w:rPr>
          <w:i w:val="false"/>
          <w:iCs w:val="false"/>
        </w:rPr>
        <w:t xml:space="preserve">Section 3.4 calls the first-principles window the "true" range against the "apparent" CV window, but the computed window itself depends on the hull convention, configuration, and phase set. Labelling it "true" suggests the experiment is wrong. The two measure different quantities, and the difference (kinetic overpotential and product passivation) is already explained in the original method paper, so "computed under a given phase set" would be safer.</w:t>
      </w:r>
    </w:p>
    <w:p>
      <w:pPr>
        <w:spacing w:after="120" w:before="240"/>
      </w:pPr>
      <w:r>
        <w:rPr>
          <w:b/>
          <w:bCs/>
          <w:u w:val="single"/>
        </w:rPr>
        <w:t xml:space="preserve">Comment 6</w:t>
      </w:r>
    </w:p>
    <w:p>
      <w:pPr>
        <w:spacing w:after="160" w:line="276"/>
        <w:jc w:val="both"/>
      </w:pPr>
      <w:r>
        <w:rPr>
          <w:i w:val="false"/>
          <w:iCs w:val="false"/>
        </w:rPr>
        <w:t xml:space="preserve">The three-way interface classification (thermodynamically stable / mixed / passivated) uses only ionic and electronic transport. It omits the mechanical axis, even though cracking exposes fresh surface and breaks an insulating layer; it gives no observable to separate a stable interface from a passivated one; and it is static, whereas Section 5.1.2 implies a passivated-to-mixed transition. Adding these would connect Section 3.4 with Sections 3.5 and 5.1.</w:t>
      </w:r>
    </w:p>
    <w:p>
      <w:pPr>
        <w:spacing w:after="120" w:before="240"/>
      </w:pPr>
      <w:r>
        <w:rPr>
          <w:b/>
          <w:bCs/>
          <w:u w:val="single"/>
        </w:rPr>
        <w:t xml:space="preserve">Comment 7</w:t>
      </w:r>
    </w:p>
    <w:p>
      <w:pPr>
        <w:spacing w:after="160" w:line="276"/>
        <w:jc w:val="both"/>
      </w:pPr>
      <w:r>
        <w:rPr>
          <w:i w:val="false"/>
          <w:iCs w:val="false"/>
        </w:rPr>
        <w:t xml:space="preserve">Section 3.4 says an oxide coating reduces the driving force by establishing a chemical potential gradient, but that force is fixed by the two end phases and is not lowered by inserting a layer; the coating instead blocks direct contact and electron transport. Also, the ideal-coating criteria in Section 4.2.2 consider only the cathode, whereas a coating forms two interfaces, so reactivity against the electrolyte should be added as a fifth criterion.</w:t>
      </w:r>
    </w:p>
    <w:p>
      <w:pPr>
        <w:spacing w:after="120" w:before="240"/>
      </w:pPr>
      <w:r>
        <w:rPr>
          <w:b/>
          <w:bCs/>
          <w:u w:val="single"/>
        </w:rPr>
        <w:t xml:space="preserve">Comment 8</w:t>
      </w:r>
    </w:p>
    <w:p>
      <w:pPr>
        <w:spacing w:after="160" w:line="276"/>
        <w:jc w:val="both"/>
      </w:pPr>
      <w:r>
        <w:rPr>
          <w:i w:val="false"/>
          <w:iCs w:val="false"/>
        </w:rPr>
        <w:t xml:space="preserve">Section 3.5 says fracture creates "low-impedance pathways" for Li, but an empty crack is a pore with effectively infinite ionic impedance — it becomes low-impedance only after Li fills it, which is the opposite order to Section 5.1.1. Also, the Li-contact products are listed as Li</w:t>
      </w:r>
      <w:r>
        <w:rPr>
          <w:i w:val="false"/>
          <w:iCs w:val="false"/>
          <w:vertAlign w:val="subscript"/>
        </w:rPr>
        <w:t xml:space="preserve">2</w:t>
      </w:r>
      <w:r>
        <w:rPr>
          <w:i w:val="false"/>
          <w:iCs w:val="false"/>
        </w:rPr>
        <w:t xml:space="preserve">S and Li</w:t>
      </w:r>
      <w:r>
        <w:rPr>
          <w:i w:val="false"/>
          <w:iCs w:val="false"/>
          <w:vertAlign w:val="subscript"/>
        </w:rPr>
        <w:t xml:space="preserve">3</w:t>
      </w:r>
      <w:r>
        <w:rPr>
          <w:i w:val="false"/>
          <w:iCs w:val="false"/>
        </w:rPr>
        <w:t xml:space="preserve">P, but for the argyrodite the standard result includes LiCl, the one wide-gap phase relevant to the passivation layer in Section 3.4.</w:t>
      </w:r>
    </w:p>
    <w:p>
      <w:pPr>
        <w:spacing w:after="120" w:before="240"/>
      </w:pPr>
      <w:r>
        <w:rPr>
          <w:b/>
          <w:bCs/>
          <w:u w:val="single"/>
        </w:rPr>
        <w:t xml:space="preserve">Comment 9</w:t>
      </w:r>
    </w:p>
    <w:p>
      <w:pPr>
        <w:spacing w:after="160" w:line="276"/>
        <w:jc w:val="both"/>
      </w:pPr>
      <w:r>
        <w:rPr>
          <w:i w:val="false"/>
          <w:iCs w:val="false"/>
        </w:rPr>
        <w:t xml:space="preserve">In Section 3.5, elastic strain energy is said to exceed a "fracture toughness threshold," but strain energy (J) and K</w:t>
      </w:r>
      <w:r>
        <w:rPr>
          <w:i w:val="false"/>
          <w:iCs w:val="false"/>
          <w:vertAlign w:val="subscript"/>
        </w:rPr>
        <w:t xml:space="preserve">IC</w:t>
      </w:r>
      <w:r>
        <w:rPr>
          <w:i w:val="false"/>
          <w:iCs w:val="false"/>
        </w:rPr>
        <w:t xml:space="preserve"> (Pa·m</w:t>
      </w:r>
      <w:r>
        <w:rPr>
          <w:i w:val="false"/>
          <w:iCs w:val="false"/>
          <w:vertAlign w:val="superscript"/>
        </w:rPr>
        <w:t xml:space="preserve">1/2</w:t>
      </w:r>
      <w:r>
        <w:rPr>
          <w:i w:val="false"/>
          <w:iCs w:val="false"/>
        </w:rPr>
        <w:t xml:space="preserve">) have different dimensions; the criterion is G ≥ G</w:t>
      </w:r>
      <w:r>
        <w:rPr>
          <w:i w:val="false"/>
          <w:iCs w:val="false"/>
          <w:vertAlign w:val="subscript"/>
        </w:rPr>
        <w:t xml:space="preserve">c</w:t>
      </w:r>
      <w:r>
        <w:rPr>
          <w:i w:val="false"/>
          <w:iCs w:val="false"/>
        </w:rPr>
        <w:t xml:space="preserve">, so "critical energy release rate" is the correct term. K</w:t>
      </w:r>
      <w:r>
        <w:rPr>
          <w:i w:val="false"/>
          <w:iCs w:val="false"/>
          <w:vertAlign w:val="subscript"/>
        </w:rPr>
        <w:t xml:space="preserve">IC</w:t>
      </w:r>
      <w:r>
        <w:rPr>
          <w:i w:val="false"/>
          <w:iCs w:val="false"/>
        </w:rPr>
        <w:t xml:space="preserve"> is also treated as a constant, though it depends on porosity, grain size, and flaws — which is why the ~3 μm and &lt;1 μm critical sizes read as inconsistent without their conditions.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Comments on Section 3</dc:title>
  <dc:creator>Section 3 Reviewer</dc:creator>
  <cp:lastModifiedBy>Un-named</cp:lastModifiedBy>
  <cp:revision>1</cp:revision>
  <dcterms:created xsi:type="dcterms:W3CDTF">2026-08-05T16:44:02.078Z</dcterms:created>
  <dcterms:modified xsi:type="dcterms:W3CDTF">2026-08-05T16:44:02.091Z</dcterms:modified>
</cp:coreProperties>
</file>

<file path=docProps/custom.xml><?xml version="1.0" encoding="utf-8"?>
<Properties xmlns="http://schemas.openxmlformats.org/officeDocument/2006/custom-properties" xmlns:vt="http://schemas.openxmlformats.org/officeDocument/2006/docPropsVTypes"/>
</file>