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937"/>
          <w:sz w:val="34"/>
          <w:szCs w:val="34"/>
        </w:rPr>
        <w:t xml:space="preserve">Methods (simulation + DFT) — revision v8</w:t>
      </w:r>
    </w:p>
    <w:p>
      <w:pPr>
        <w:pBdr>
          <w:bottom w:val="single" w:color="D1D5DB" w:sz="6"/>
        </w:pBdr>
        <w:spacing w:after="120" w:line="276"/>
      </w:pPr>
      <w:r>
        <w:rPr>
          <w:color w:val="6B7280"/>
          <w:sz w:val="20"/>
          <w:szCs w:val="20"/>
        </w:rPr>
        <w:t xml:space="preserve">DFT · DEM 두 축을 한 문서로 — 공저자 검토용 교체안, 2026-08-30</w:t>
      </w:r>
    </w:p>
    <w:p>
      <w:pPr>
        <w:spacing w:after="60" w:line="276"/>
      </w:pPr>
      <w:r>
        <w:rPr>
          <w:b/>
          <w:bCs/>
          <w:color w:val="B91C1C"/>
          <w:sz w:val="22"/>
          <w:szCs w:val="22"/>
        </w:rPr>
        <w:t xml:space="preserve">PROVISIONAL — NOT FOR SUBMISSION</w:t>
      </w:r>
    </w:p>
    <w:p>
      <w:pPr>
        <w:spacing w:after="120" w:line="276"/>
      </w:pPr>
      <w:r>
        <w:rPr>
          <w:color w:val="6B7280"/>
          <w:sz w:val="20"/>
          <w:szCs w:val="20"/>
        </w:rPr>
        <w:t xml:space="preserve">이 문서는 투고용 최종본이 아니라 ① 지금 확정된 문장을 그대로 붙여넣을 수 있게 정리하고 ② 아직 값이 없는 칸을 공란으로 드러내기 위한 것입니다. 공란은 값이 작아서 생략한 것이 아니라 아직 재지 않았다는 뜻입니다.</w:t>
      </w:r>
    </w:p>
    <w:p>
      <w:pPr>
        <w:pStyle w:val="Heading1"/>
        <w:spacing w:after="160" w:before="320"/>
      </w:pPr>
      <w:r>
        <w:rPr>
          <w:b/>
          <w:bCs/>
          <w:color w:val="1F2937"/>
          <w:sz w:val="28"/>
          <w:szCs w:val="28"/>
        </w:rPr>
        <w:t xml:space="preserve">0. 공란이 어디인가 — 먼저 볼 것</w:t>
      </w:r>
    </w:p>
    <w:p>
      <w:pPr>
        <w:spacing w:after="120" w:line="276"/>
      </w:pPr>
      <w:r>
        <w:rPr>
          <w:color w:val="1F2937"/>
          <w:sz w:val="20"/>
          <w:szCs w:val="20"/>
        </w:rPr>
        <w:t xml:space="preserve">본문·표·캡션에서 값이 비어 있는 자리는 아래 넷뿐입니다. 나머지는 전부 확정문입니다.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1500"/>
        <w:gridCol w:w="2300"/>
      </w:tblGrid>
      <w:tr>
        <w:trPr>
          <w:tblHeader/>
        </w:trPr>
        <w:tc>
          <w:tcPr>
            <w:tcW w:type="dxa" w:w="2100"/>
            <w:shd w:fill="EEF2FF" w:color="auto" w:val="clear"/>
            <w:tcMar>
              <w:top w:type="dxa" w:w="70"/>
              <w:left w:type="dxa" w:w="110"/>
              <w:bottom w:type="dxa" w:w="70"/>
              <w:right w:type="dxa" w:w="110"/>
            </w:tcMar>
          </w:tcPr>
          <w:p>
            <w:pPr>
              <w:spacing w:after="0" w:line="260"/>
            </w:pPr>
            <w:r>
              <w:rPr>
                <w:b/>
                <w:bCs/>
                <w:color w:val="1F2937"/>
                <w:sz w:val="18"/>
                <w:szCs w:val="18"/>
              </w:rPr>
              <w:t xml:space="preserve">자리</w:t>
            </w:r>
          </w:p>
        </w:tc>
        <w:tc>
          <w:tcPr>
            <w:tcW w:type="dxa" w:w="3100"/>
            <w:shd w:fill="EEF2FF" w:color="auto" w:val="clear"/>
            <w:tcMar>
              <w:top w:type="dxa" w:w="70"/>
              <w:left w:type="dxa" w:w="110"/>
              <w:bottom w:type="dxa" w:w="70"/>
              <w:right w:type="dxa" w:w="110"/>
            </w:tcMar>
          </w:tcPr>
          <w:p>
            <w:pPr>
              <w:spacing w:after="0" w:line="260"/>
            </w:pPr>
            <w:r>
              <w:rPr>
                <w:b/>
                <w:bCs/>
                <w:color w:val="1F2937"/>
                <w:sz w:val="18"/>
                <w:szCs w:val="18"/>
              </w:rPr>
              <w:t xml:space="preserve">무엇이 없나</w:t>
            </w:r>
          </w:p>
        </w:tc>
        <w:tc>
          <w:tcPr>
            <w:tcW w:type="dxa" w:w="1500"/>
            <w:shd w:fill="EEF2FF" w:color="auto" w:val="clear"/>
            <w:tcMar>
              <w:top w:type="dxa" w:w="70"/>
              <w:left w:type="dxa" w:w="110"/>
              <w:bottom w:type="dxa" w:w="70"/>
              <w:right w:type="dxa" w:w="110"/>
            </w:tcMar>
          </w:tcPr>
          <w:p>
            <w:pPr>
              <w:spacing w:after="0" w:line="260"/>
            </w:pPr>
            <w:r>
              <w:rPr>
                <w:b/>
                <w:bCs/>
                <w:color w:val="1F2937"/>
                <w:sz w:val="18"/>
                <w:szCs w:val="18"/>
              </w:rPr>
              <w:t xml:space="preserve">누가 채우나</w:t>
            </w:r>
          </w:p>
        </w:tc>
        <w:tc>
          <w:tcPr>
            <w:tcW w:type="dxa" w:w="2300"/>
            <w:shd w:fill="EEF2FF" w:color="auto" w:val="clear"/>
            <w:tcMar>
              <w:top w:type="dxa" w:w="70"/>
              <w:left w:type="dxa" w:w="110"/>
              <w:bottom w:type="dxa" w:w="70"/>
              <w:right w:type="dxa" w:w="110"/>
            </w:tcMar>
          </w:tcPr>
          <w:p>
            <w:pPr>
              <w:spacing w:after="0" w:line="260"/>
            </w:pPr>
            <w:r>
              <w:rPr>
                <w:b/>
                <w:bCs/>
                <w:color w:val="1F2937"/>
                <w:sz w:val="18"/>
                <w:szCs w:val="18"/>
              </w:rPr>
              <w:t xml:space="preserve">언제</w:t>
            </w:r>
          </w:p>
        </w:tc>
      </w:tr>
      <w:tr>
        <w:trPr>
          <w:tblHeader w:val="false"/>
        </w:trPr>
        <w:tc>
          <w:tcPr>
            <w:tcW w:type="dxa" w:w="2100"/>
            <w:tcMar>
              <w:top w:type="dxa" w:w="70"/>
              <w:left w:type="dxa" w:w="110"/>
              <w:bottom w:type="dxa" w:w="70"/>
              <w:right w:type="dxa" w:w="110"/>
            </w:tcMar>
          </w:tcPr>
          <w:p>
            <w:pPr>
              <w:spacing w:after="0" w:line="260"/>
            </w:pPr>
            <w:r>
              <w:rPr>
                <w:b w:val="false"/>
                <w:bCs w:val="false"/>
                <w:color w:val="1F2937"/>
                <w:sz w:val="18"/>
                <w:szCs w:val="18"/>
              </w:rPr>
              <w:t xml:space="preserve">Figure 2e · 본문 34</w:t>
            </w:r>
          </w:p>
        </w:tc>
        <w:tc>
          <w:tcPr>
            <w:tcW w:type="dxa" w:w="3100"/>
            <w:tcMar>
              <w:top w:type="dxa" w:w="70"/>
              <w:left w:type="dxa" w:w="110"/>
              <w:bottom w:type="dxa" w:w="70"/>
              <w:right w:type="dxa" w:w="110"/>
            </w:tcMar>
          </w:tcPr>
          <w:p>
            <w:pPr>
              <w:spacing w:after="0" w:line="260"/>
              <w:jc w:val="left"/>
            </w:pPr>
            <w:r>
              <w:rPr>
                <w:b w:val="false"/>
                <w:bCs w:val="false"/>
                <w:color w:val="1F2937"/>
                <w:sz w:val="18"/>
                <w:szCs w:val="18"/>
              </w:rPr>
              <w:t xml:space="preserve">SDCP vs PTFE 흡착에너지 대비 [ A ]</w:t>
            </w:r>
          </w:p>
        </w:tc>
        <w:tc>
          <w:tcPr>
            <w:tcW w:type="dxa" w:w="1500"/>
            <w:tcMar>
              <w:top w:type="dxa" w:w="70"/>
              <w:left w:type="dxa" w:w="110"/>
              <w:bottom w:type="dxa" w:w="70"/>
              <w:right w:type="dxa" w:w="110"/>
            </w:tcMar>
          </w:tcPr>
          <w:p>
            <w:pPr>
              <w:spacing w:after="0" w:line="260"/>
              <w:jc w:val="left"/>
            </w:pPr>
            <w:r>
              <w:rPr>
                <w:b w:val="false"/>
                <w:bCs w:val="false"/>
                <w:color w:val="1F2937"/>
                <w:sz w:val="18"/>
                <w:szCs w:val="18"/>
              </w:rPr>
              <w:t xml:space="preserve">DFT 계산</w:t>
            </w:r>
          </w:p>
        </w:tc>
        <w:tc>
          <w:tcPr>
            <w:tcW w:type="dxa" w:w="2300"/>
            <w:tcMar>
              <w:top w:type="dxa" w:w="70"/>
              <w:left w:type="dxa" w:w="110"/>
              <w:bottom w:type="dxa" w:w="70"/>
              <w:right w:type="dxa" w:w="110"/>
            </w:tcMar>
          </w:tcPr>
          <w:p>
            <w:pPr>
              <w:spacing w:after="0" w:line="260"/>
              <w:jc w:val="left"/>
            </w:pPr>
            <w:r>
              <w:rPr>
                <w:b w:val="false"/>
                <w:bCs w:val="false"/>
                <w:color w:val="1F2937"/>
                <w:sz w:val="18"/>
                <w:szCs w:val="18"/>
              </w:rPr>
              <w:t xml:space="preserve">제출 후 약 4일</w:t>
            </w:r>
          </w:p>
        </w:tc>
      </w:tr>
      <w:tr>
        <w:trPr>
          <w:tblHeader w:val="false"/>
        </w:trPr>
        <w:tc>
          <w:tcPr>
            <w:tcW w:type="dxa" w:w="2100"/>
            <w:tcMar>
              <w:top w:type="dxa" w:w="70"/>
              <w:left w:type="dxa" w:w="110"/>
              <w:bottom w:type="dxa" w:w="70"/>
              <w:right w:type="dxa" w:w="110"/>
            </w:tcMar>
          </w:tcPr>
          <w:p>
            <w:pPr>
              <w:spacing w:after="0" w:line="260"/>
            </w:pPr>
            <w:r>
              <w:rPr>
                <w:b w:val="false"/>
                <w:bCs w:val="false"/>
                <w:color w:val="1F2937"/>
                <w:sz w:val="18"/>
                <w:szCs w:val="18"/>
              </w:rPr>
              <w:t xml:space="preserve">Table S1</w:t>
            </w:r>
          </w:p>
        </w:tc>
        <w:tc>
          <w:tcPr>
            <w:tcW w:type="dxa" w:w="3100"/>
            <w:tcMar>
              <w:top w:type="dxa" w:w="70"/>
              <w:left w:type="dxa" w:w="110"/>
              <w:bottom w:type="dxa" w:w="70"/>
              <w:right w:type="dxa" w:w="110"/>
            </w:tcMar>
          </w:tcPr>
          <w:p>
            <w:pPr>
              <w:spacing w:after="0" w:line="260"/>
              <w:jc w:val="left"/>
            </w:pPr>
            <w:r>
              <w:rPr>
                <w:b w:val="false"/>
                <w:bCs w:val="false"/>
                <w:color w:val="1F2937"/>
                <w:sz w:val="18"/>
                <w:szCs w:val="18"/>
              </w:rPr>
              <w:t xml:space="preserve">없음 — 파라미터는 전부 확정</w:t>
            </w:r>
          </w:p>
        </w:tc>
        <w:tc>
          <w:tcPr>
            <w:tcW w:type="dxa" w:w="1500"/>
            <w:tcMar>
              <w:top w:type="dxa" w:w="70"/>
              <w:left w:type="dxa" w:w="110"/>
              <w:bottom w:type="dxa" w:w="70"/>
              <w:right w:type="dxa" w:w="110"/>
            </w:tcMar>
          </w:tcPr>
          <w:p>
            <w:pPr>
              <w:spacing w:after="0" w:line="260"/>
              <w:jc w:val="left"/>
            </w:pPr>
            <w:r>
              <w:rPr>
                <w:b w:val="false"/>
                <w:bCs w:val="false"/>
                <w:color w:val="1F2937"/>
                <w:sz w:val="18"/>
                <w:szCs w:val="18"/>
              </w:rPr>
              <w:t xml:space="preserve">—</w:t>
            </w:r>
          </w:p>
        </w:tc>
        <w:tc>
          <w:tcPr>
            <w:tcW w:type="dxa" w:w="2300"/>
            <w:tcMar>
              <w:top w:type="dxa" w:w="70"/>
              <w:left w:type="dxa" w:w="110"/>
              <w:bottom w:type="dxa" w:w="70"/>
              <w:right w:type="dxa" w:w="110"/>
            </w:tcMar>
          </w:tcPr>
          <w:p>
            <w:pPr>
              <w:spacing w:after="0" w:line="260"/>
              <w:jc w:val="left"/>
            </w:pPr>
            <w:r>
              <w:rPr>
                <w:b w:val="false"/>
                <w:bCs w:val="false"/>
                <w:color w:val="1F2937"/>
                <w:sz w:val="18"/>
                <w:szCs w:val="18"/>
              </w:rPr>
              <w:t xml:space="preserve">지금</w:t>
            </w:r>
          </w:p>
        </w:tc>
      </w:tr>
      <w:tr>
        <w:trPr>
          <w:tblHeader w:val="false"/>
        </w:trPr>
        <w:tc>
          <w:tcPr>
            <w:tcW w:type="dxa" w:w="2100"/>
            <w:tcMar>
              <w:top w:type="dxa" w:w="70"/>
              <w:left w:type="dxa" w:w="110"/>
              <w:bottom w:type="dxa" w:w="70"/>
              <w:right w:type="dxa" w:w="110"/>
            </w:tcMar>
          </w:tcPr>
          <w:p>
            <w:pPr>
              <w:spacing w:after="0" w:line="260"/>
            </w:pPr>
            <w:r>
              <w:rPr>
                <w:b w:val="false"/>
                <w:bCs w:val="false"/>
                <w:color w:val="1F2937"/>
                <w:sz w:val="18"/>
                <w:szCs w:val="18"/>
              </w:rPr>
              <w:t xml:space="preserve">Table S3 σ_ion</w:t>
            </w:r>
          </w:p>
        </w:tc>
        <w:tc>
          <w:tcPr>
            <w:tcW w:type="dxa" w:w="3100"/>
            <w:tcMar>
              <w:top w:type="dxa" w:w="70"/>
              <w:left w:type="dxa" w:w="110"/>
              <w:bottom w:type="dxa" w:w="70"/>
              <w:right w:type="dxa" w:w="110"/>
            </w:tcMar>
          </w:tcPr>
          <w:p>
            <w:pPr>
              <w:spacing w:after="0" w:line="260"/>
              <w:jc w:val="left"/>
            </w:pPr>
            <w:r>
              <w:rPr>
                <w:b w:val="false"/>
                <w:bCs w:val="false"/>
                <w:color w:val="1F2937"/>
                <w:sz w:val="18"/>
                <w:szCs w:val="18"/>
              </w:rPr>
              <w:t xml:space="preserve">이온 전도도 시뮬 값</w:t>
            </w:r>
          </w:p>
        </w:tc>
        <w:tc>
          <w:tcPr>
            <w:tcW w:type="dxa" w:w="1500"/>
            <w:tcMar>
              <w:top w:type="dxa" w:w="70"/>
              <w:left w:type="dxa" w:w="110"/>
              <w:bottom w:type="dxa" w:w="70"/>
              <w:right w:type="dxa" w:w="110"/>
            </w:tcMar>
          </w:tcPr>
          <w:p>
            <w:pPr>
              <w:spacing w:after="0" w:line="260"/>
              <w:jc w:val="left"/>
            </w:pPr>
            <w:r>
              <w:rPr>
                <w:b w:val="false"/>
                <w:bCs w:val="false"/>
                <w:color w:val="1F2937"/>
                <w:sz w:val="18"/>
                <w:szCs w:val="18"/>
              </w:rPr>
              <w:t xml:space="preserve">DEM 트랙(별도 브랜치)</w:t>
            </w:r>
          </w:p>
        </w:tc>
        <w:tc>
          <w:tcPr>
            <w:tcW w:type="dxa" w:w="2300"/>
            <w:tcMar>
              <w:top w:type="dxa" w:w="70"/>
              <w:left w:type="dxa" w:w="110"/>
              <w:bottom w:type="dxa" w:w="70"/>
              <w:right w:type="dxa" w:w="110"/>
            </w:tcMar>
          </w:tcPr>
          <w:p>
            <w:pPr>
              <w:spacing w:after="0" w:line="260"/>
              <w:jc w:val="left"/>
            </w:pPr>
            <w:r>
              <w:rPr>
                <w:b w:val="false"/>
                <w:bCs w:val="false"/>
                <w:color w:val="1F2937"/>
                <w:sz w:val="18"/>
                <w:szCs w:val="18"/>
              </w:rPr>
              <w:t xml:space="preserve">미정</w:t>
            </w:r>
          </w:p>
        </w:tc>
      </w:tr>
      <w:tr>
        <w:trPr>
          <w:tblHeader w:val="false"/>
        </w:trPr>
        <w:tc>
          <w:tcPr>
            <w:tcW w:type="dxa" w:w="2100"/>
            <w:tcMar>
              <w:top w:type="dxa" w:w="70"/>
              <w:left w:type="dxa" w:w="110"/>
              <w:bottom w:type="dxa" w:w="70"/>
              <w:right w:type="dxa" w:w="110"/>
            </w:tcMar>
          </w:tcPr>
          <w:p>
            <w:pPr>
              <w:spacing w:after="0" w:line="260"/>
            </w:pPr>
            <w:r>
              <w:rPr>
                <w:b w:val="false"/>
                <w:bCs w:val="false"/>
                <w:color w:val="1F2937"/>
                <w:sz w:val="18"/>
                <w:szCs w:val="18"/>
              </w:rPr>
              <w:t xml:space="preserve">Table S3 Areal capacity</w:t>
            </w:r>
          </w:p>
        </w:tc>
        <w:tc>
          <w:tcPr>
            <w:tcW w:type="dxa" w:w="3100"/>
            <w:tcMar>
              <w:top w:type="dxa" w:w="70"/>
              <w:left w:type="dxa" w:w="110"/>
              <w:bottom w:type="dxa" w:w="70"/>
              <w:right w:type="dxa" w:w="110"/>
            </w:tcMar>
          </w:tcPr>
          <w:p>
            <w:pPr>
              <w:spacing w:after="0" w:line="260"/>
              <w:jc w:val="left"/>
            </w:pPr>
            <w:r>
              <w:rPr>
                <w:b w:val="false"/>
                <w:bCs w:val="false"/>
                <w:color w:val="1F2937"/>
                <w:sz w:val="18"/>
                <w:szCs w:val="18"/>
              </w:rPr>
              <w:t xml:space="preserve">비용량 (mAh g⁻¹)</w:t>
            </w:r>
          </w:p>
        </w:tc>
        <w:tc>
          <w:tcPr>
            <w:tcW w:type="dxa" w:w="1500"/>
            <w:tcMar>
              <w:top w:type="dxa" w:w="70"/>
              <w:left w:type="dxa" w:w="110"/>
              <w:bottom w:type="dxa" w:w="70"/>
              <w:right w:type="dxa" w:w="110"/>
            </w:tcMar>
          </w:tcPr>
          <w:p>
            <w:pPr>
              <w:spacing w:after="0" w:line="260"/>
              <w:jc w:val="left"/>
            </w:pPr>
            <w:r>
              <w:rPr>
                <w:b w:val="false"/>
                <w:bCs w:val="false"/>
                <w:color w:val="1F2937"/>
                <w:sz w:val="18"/>
                <w:szCs w:val="18"/>
              </w:rPr>
              <w:t xml:space="preserve">공저자 회신</w:t>
            </w:r>
          </w:p>
        </w:tc>
        <w:tc>
          <w:tcPr>
            <w:tcW w:type="dxa" w:w="2300"/>
            <w:tcMar>
              <w:top w:type="dxa" w:w="70"/>
              <w:left w:type="dxa" w:w="110"/>
              <w:bottom w:type="dxa" w:w="70"/>
              <w:right w:type="dxa" w:w="110"/>
            </w:tcMar>
          </w:tcPr>
          <w:p>
            <w:pPr>
              <w:spacing w:after="0" w:line="260"/>
              <w:jc w:val="left"/>
            </w:pPr>
            <w:r>
              <w:rPr>
                <w:b w:val="false"/>
                <w:bCs w:val="false"/>
                <w:color w:val="1F2937"/>
                <w:sz w:val="18"/>
                <w:szCs w:val="18"/>
              </w:rPr>
              <w:t xml:space="preserve">회신 즉시</w:t>
            </w:r>
          </w:p>
        </w:tc>
      </w:tr>
    </w:tbl>
    <w:p>
      <w:pPr>
        <w:spacing w:after="120" w:line="276"/>
      </w:pPr>
      <w:r>
        <w:rPr>
          <w:color w:val="6B7280"/>
          <w:sz w:val="20"/>
          <w:szCs w:val="20"/>
        </w:rPr>
        <w:t xml:space="preserve">⚠ Figure 2e 의 공란 [ A ] 는 문장 안의 숫자 한 자리입니다. 그 값이 오면 다른 문장은 하나도 바꾸지 않고 그 자리만 채우면 됩니다 — §5 에 들어갈 문장을 미리 적어 두었습니다.</w:t>
      </w:r>
    </w:p>
    <w:p>
      <w:pPr>
        <w:pStyle w:val="Heading1"/>
        <w:spacing w:after="160" w:before="320"/>
      </w:pPr>
      <w:r>
        <w:rPr>
          <w:b/>
          <w:bCs/>
          <w:color w:val="1F2937"/>
          <w:sz w:val="28"/>
          <w:szCs w:val="28"/>
        </w:rPr>
        <w:t xml:space="preserve">1. v6 대비 무엇이 바뀌나 (DFT 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00"/>
      </w:tblGrid>
      <w:tr>
        <w:trPr>
          <w:tblHeader/>
        </w:trPr>
        <w:tc>
          <w:tcPr>
            <w:tcW w:type="dxa" w:w="2600"/>
            <w:shd w:fill="EEF2FF" w:color="auto" w:val="clear"/>
            <w:tcMar>
              <w:top w:type="dxa" w:w="70"/>
              <w:left w:type="dxa" w:w="110"/>
              <w:bottom w:type="dxa" w:w="70"/>
              <w:right w:type="dxa" w:w="110"/>
            </w:tcMar>
          </w:tcPr>
          <w:p>
            <w:pPr>
              <w:spacing w:after="0" w:line="260"/>
            </w:pPr>
            <w:r>
              <w:rPr>
                <w:b/>
                <w:bCs/>
                <w:color w:val="1F2937"/>
                <w:sz w:val="18"/>
                <w:szCs w:val="18"/>
              </w:rPr>
              <w:t xml:space="preserve">항목</w:t>
            </w:r>
          </w:p>
        </w:tc>
        <w:tc>
          <w:tcPr>
            <w:tcW w:type="dxa" w:w="3000"/>
            <w:shd w:fill="EEF2FF" w:color="auto" w:val="clear"/>
            <w:tcMar>
              <w:top w:type="dxa" w:w="70"/>
              <w:left w:type="dxa" w:w="110"/>
              <w:bottom w:type="dxa" w:w="70"/>
              <w:right w:type="dxa" w:w="110"/>
            </w:tcMar>
          </w:tcPr>
          <w:p>
            <w:pPr>
              <w:spacing w:after="0" w:line="260"/>
            </w:pPr>
            <w:r>
              <w:rPr>
                <w:b/>
                <w:bCs/>
                <w:color w:val="1F2937"/>
                <w:sz w:val="18"/>
                <w:szCs w:val="18"/>
              </w:rPr>
              <w:t xml:space="preserve">v6</w:t>
            </w:r>
          </w:p>
        </w:tc>
        <w:tc>
          <w:tcPr>
            <w:tcW w:type="dxa" w:w="3400"/>
            <w:shd w:fill="EEF2FF" w:color="auto" w:val="clear"/>
            <w:tcMar>
              <w:top w:type="dxa" w:w="70"/>
              <w:left w:type="dxa" w:w="110"/>
              <w:bottom w:type="dxa" w:w="70"/>
              <w:right w:type="dxa" w:w="110"/>
            </w:tcMar>
          </w:tcPr>
          <w:p>
            <w:pPr>
              <w:spacing w:after="0" w:line="260"/>
            </w:pPr>
            <w:r>
              <w:rPr>
                <w:b/>
                <w:bCs/>
                <w:color w:val="1F2937"/>
                <w:sz w:val="18"/>
                <w:szCs w:val="18"/>
              </w:rPr>
              <w:t xml:space="preserve">v8</w:t>
            </w:r>
          </w:p>
        </w:tc>
      </w:tr>
      <w:tr>
        <w:trPr>
          <w:tblHeader w:val="false"/>
        </w:trPr>
        <w:tc>
          <w:tcPr>
            <w:tcW w:type="dxa" w:w="2600"/>
            <w:tcMar>
              <w:top w:type="dxa" w:w="70"/>
              <w:left w:type="dxa" w:w="110"/>
              <w:bottom w:type="dxa" w:w="70"/>
              <w:right w:type="dxa" w:w="110"/>
            </w:tcMar>
          </w:tcPr>
          <w:p>
            <w:pPr>
              <w:spacing w:after="0" w:line="260"/>
            </w:pPr>
            <w:r>
              <w:rPr>
                <w:b w:val="false"/>
                <w:bCs w:val="false"/>
                <w:color w:val="1F2937"/>
                <w:sz w:val="18"/>
                <w:szCs w:val="18"/>
              </w:rPr>
              <w:t xml:space="preserve">계산 코드</w:t>
            </w:r>
          </w:p>
        </w:tc>
        <w:tc>
          <w:tcPr>
            <w:tcW w:type="dxa" w:w="3000"/>
            <w:tcMar>
              <w:top w:type="dxa" w:w="70"/>
              <w:left w:type="dxa" w:w="110"/>
              <w:bottom w:type="dxa" w:w="70"/>
              <w:right w:type="dxa" w:w="110"/>
            </w:tcMar>
          </w:tcPr>
          <w:p>
            <w:pPr>
              <w:spacing w:after="0" w:line="260"/>
              <w:jc w:val="left"/>
            </w:pPr>
            <w:r>
              <w:rPr>
                <w:b w:val="false"/>
                <w:bCs w:val="false"/>
                <w:color w:val="1F2937"/>
                <w:sz w:val="18"/>
                <w:szCs w:val="18"/>
              </w:rPr>
              <w:t xml:space="preserve">Quantum ESPRESSO 로 서술</w:t>
            </w:r>
          </w:p>
        </w:tc>
        <w:tc>
          <w:tcPr>
            <w:tcW w:type="dxa" w:w="3400"/>
            <w:tcMar>
              <w:top w:type="dxa" w:w="70"/>
              <w:left w:type="dxa" w:w="110"/>
              <w:bottom w:type="dxa" w:w="70"/>
              <w:right w:type="dxa" w:w="110"/>
            </w:tcMar>
          </w:tcPr>
          <w:p>
            <w:pPr>
              <w:spacing w:after="0" w:line="260"/>
              <w:jc w:val="left"/>
            </w:pPr>
            <w:r>
              <w:rPr>
                <w:b w:val="false"/>
                <w:bCs w:val="false"/>
                <w:color w:val="1F2937"/>
                <w:sz w:val="18"/>
                <w:szCs w:val="18"/>
              </w:rPr>
              <w:t xml:space="preserve">VASP (PAW) — 인용할 값이 이 트랙의 산출입니다</w:t>
            </w:r>
          </w:p>
        </w:tc>
      </w:tr>
      <w:tr>
        <w:trPr>
          <w:tblHeader w:val="false"/>
        </w:trPr>
        <w:tc>
          <w:tcPr>
            <w:tcW w:type="dxa" w:w="2600"/>
            <w:tcMar>
              <w:top w:type="dxa" w:w="70"/>
              <w:left w:type="dxa" w:w="110"/>
              <w:bottom w:type="dxa" w:w="70"/>
              <w:right w:type="dxa" w:w="110"/>
            </w:tcMar>
          </w:tcPr>
          <w:p>
            <w:pPr>
              <w:spacing w:after="0" w:line="260"/>
            </w:pPr>
            <w:r>
              <w:rPr>
                <w:b w:val="false"/>
                <w:bCs w:val="false"/>
                <w:color w:val="1F2937"/>
                <w:sz w:val="18"/>
                <w:szCs w:val="18"/>
              </w:rPr>
              <w:t xml:space="preserve">기하</w:t>
            </w:r>
          </w:p>
        </w:tc>
        <w:tc>
          <w:tcPr>
            <w:tcW w:type="dxa" w:w="3000"/>
            <w:tcMar>
              <w:top w:type="dxa" w:w="70"/>
              <w:left w:type="dxa" w:w="110"/>
              <w:bottom w:type="dxa" w:w="70"/>
              <w:right w:type="dxa" w:w="110"/>
            </w:tcMar>
          </w:tcPr>
          <w:p>
            <w:pPr>
              <w:spacing w:after="0" w:line="260"/>
              <w:jc w:val="left"/>
            </w:pPr>
            <w:r>
              <w:rPr>
                <w:b w:val="false"/>
                <w:bCs w:val="false"/>
                <w:color w:val="1F2937"/>
                <w:sz w:val="18"/>
                <w:szCs w:val="18"/>
              </w:rPr>
              <w:t xml:space="preserve">서술 없음</w:t>
            </w:r>
          </w:p>
        </w:tc>
        <w:tc>
          <w:tcPr>
            <w:tcW w:type="dxa" w:w="3400"/>
            <w:tcMar>
              <w:top w:type="dxa" w:w="70"/>
              <w:left w:type="dxa" w:w="110"/>
              <w:bottom w:type="dxa" w:w="70"/>
              <w:right w:type="dxa" w:w="110"/>
            </w:tcMar>
          </w:tcPr>
          <w:p>
            <w:pPr>
              <w:spacing w:after="0" w:line="260"/>
              <w:jc w:val="left"/>
            </w:pPr>
            <w:r>
              <w:rPr>
                <w:b w:val="false"/>
                <w:bCs w:val="false"/>
                <w:color w:val="1F2937"/>
                <w:sz w:val="18"/>
                <w:szCs w:val="18"/>
              </w:rPr>
              <w:t xml:space="preserve">UMA 이완 기하 위의 단일점 — DFT 최소점이 아님을 명시</w:t>
            </w:r>
          </w:p>
        </w:tc>
      </w:tr>
      <w:tr>
        <w:trPr>
          <w:tblHeader w:val="false"/>
        </w:trPr>
        <w:tc>
          <w:tcPr>
            <w:tcW w:type="dxa" w:w="2600"/>
            <w:tcMar>
              <w:top w:type="dxa" w:w="70"/>
              <w:left w:type="dxa" w:w="110"/>
              <w:bottom w:type="dxa" w:w="70"/>
              <w:right w:type="dxa" w:w="110"/>
            </w:tcMar>
          </w:tcPr>
          <w:p>
            <w:pPr>
              <w:spacing w:after="0" w:line="260"/>
            </w:pPr>
            <w:r>
              <w:rPr>
                <w:b w:val="false"/>
                <w:bCs w:val="false"/>
                <w:color w:val="1F2937"/>
                <w:sz w:val="18"/>
                <w:szCs w:val="18"/>
              </w:rPr>
              <w:t xml:space="preserve">자기 상태</w:t>
            </w:r>
          </w:p>
        </w:tc>
        <w:tc>
          <w:tcPr>
            <w:tcW w:type="dxa" w:w="3000"/>
            <w:tcMar>
              <w:top w:type="dxa" w:w="70"/>
              <w:left w:type="dxa" w:w="110"/>
              <w:bottom w:type="dxa" w:w="70"/>
              <w:right w:type="dxa" w:w="110"/>
            </w:tcMar>
          </w:tcPr>
          <w:p>
            <w:pPr>
              <w:spacing w:after="0" w:line="260"/>
              <w:jc w:val="left"/>
            </w:pPr>
            <w:r>
              <w:rPr>
                <w:b w:val="false"/>
                <w:bCs w:val="false"/>
                <w:color w:val="1F2937"/>
                <w:sz w:val="18"/>
                <w:szCs w:val="18"/>
              </w:rPr>
              <w:t xml:space="preserve">"반강자성 (net 0), Ni 1.02 μB"</w:t>
            </w:r>
          </w:p>
        </w:tc>
        <w:tc>
          <w:tcPr>
            <w:tcW w:type="dxa" w:w="3400"/>
            <w:tcMar>
              <w:top w:type="dxa" w:w="70"/>
              <w:left w:type="dxa" w:w="110"/>
              <w:bottom w:type="dxa" w:w="70"/>
              <w:right w:type="dxa" w:w="110"/>
            </w:tcMar>
          </w:tcPr>
          <w:p>
            <w:pPr>
              <w:spacing w:after="0" w:line="260"/>
              <w:jc w:val="left"/>
            </w:pPr>
            <w:r>
              <w:rPr>
                <w:b w:val="false"/>
                <w:bCs w:val="false"/>
                <w:color w:val="1F2937"/>
                <w:sz w:val="18"/>
                <w:szCs w:val="18"/>
              </w:rPr>
              <w:t xml:space="preserve">시작 배치를 선언하고, 실현된 모멘트를 기록하는 방식으로 서술</w:t>
            </w:r>
          </w:p>
        </w:tc>
      </w:tr>
      <w:tr>
        <w:trPr>
          <w:tblHeader w:val="false"/>
        </w:trPr>
        <w:tc>
          <w:tcPr>
            <w:tcW w:type="dxa" w:w="2600"/>
            <w:tcMar>
              <w:top w:type="dxa" w:w="70"/>
              <w:left w:type="dxa" w:w="110"/>
              <w:bottom w:type="dxa" w:w="70"/>
              <w:right w:type="dxa" w:w="110"/>
            </w:tcMar>
          </w:tcPr>
          <w:p>
            <w:pPr>
              <w:spacing w:after="0" w:line="260"/>
            </w:pPr>
            <w:r>
              <w:rPr>
                <w:b w:val="false"/>
                <w:bCs w:val="false"/>
                <w:color w:val="1F2937"/>
                <w:sz w:val="18"/>
                <w:szCs w:val="18"/>
              </w:rPr>
              <w:t xml:space="preserve">기준계 대칭성</w:t>
            </w:r>
          </w:p>
        </w:tc>
        <w:tc>
          <w:tcPr>
            <w:tcW w:type="dxa" w:w="3000"/>
            <w:tcMar>
              <w:top w:type="dxa" w:w="70"/>
              <w:left w:type="dxa" w:w="110"/>
              <w:bottom w:type="dxa" w:w="70"/>
              <w:right w:type="dxa" w:w="110"/>
            </w:tcMar>
          </w:tcPr>
          <w:p>
            <w:pPr>
              <w:spacing w:after="0" w:line="260"/>
              <w:jc w:val="left"/>
            </w:pPr>
            <w:r>
              <w:rPr>
                <w:b w:val="false"/>
                <w:bCs w:val="false"/>
                <w:color w:val="1F2937"/>
                <w:sz w:val="18"/>
                <w:szCs w:val="18"/>
              </w:rPr>
              <w:t xml:space="preserve">서술 없음</w:t>
            </w:r>
          </w:p>
        </w:tc>
        <w:tc>
          <w:tcPr>
            <w:tcW w:type="dxa" w:w="3400"/>
            <w:tcMar>
              <w:top w:type="dxa" w:w="70"/>
              <w:left w:type="dxa" w:w="110"/>
              <w:bottom w:type="dxa" w:w="70"/>
              <w:right w:type="dxa" w:w="110"/>
            </w:tcMar>
          </w:tcPr>
          <w:p>
            <w:pPr>
              <w:spacing w:after="0" w:line="260"/>
              <w:jc w:val="left"/>
            </w:pPr>
            <w:r>
              <w:rPr>
                <w:b w:val="false"/>
                <w:bCs w:val="false"/>
                <w:color w:val="1F2937"/>
                <w:sz w:val="18"/>
                <w:szCs w:val="18"/>
              </w:rPr>
              <w:t xml:space="preserve">복합체·슬랩·기체가 모두 같은 스핀 구속 정책 — 이것이 v6 세대 값을 보류시킨 원인</w:t>
            </w:r>
          </w:p>
        </w:tc>
      </w:tr>
      <w:tr>
        <w:trPr>
          <w:tblHeader w:val="false"/>
        </w:trPr>
        <w:tc>
          <w:tcPr>
            <w:tcW w:type="dxa" w:w="2600"/>
            <w:tcMar>
              <w:top w:type="dxa" w:w="70"/>
              <w:left w:type="dxa" w:w="110"/>
              <w:bottom w:type="dxa" w:w="70"/>
              <w:right w:type="dxa" w:w="110"/>
            </w:tcMar>
          </w:tcPr>
          <w:p>
            <w:pPr>
              <w:spacing w:after="0" w:line="260"/>
            </w:pPr>
            <w:r>
              <w:rPr>
                <w:b w:val="false"/>
                <w:bCs w:val="false"/>
                <w:color w:val="1F2937"/>
                <w:sz w:val="18"/>
                <w:szCs w:val="18"/>
              </w:rPr>
              <w:t xml:space="preserve">분산 보정</w:t>
            </w:r>
          </w:p>
        </w:tc>
        <w:tc>
          <w:tcPr>
            <w:tcW w:type="dxa" w:w="3000"/>
            <w:tcMar>
              <w:top w:type="dxa" w:w="70"/>
              <w:left w:type="dxa" w:w="110"/>
              <w:bottom w:type="dxa" w:w="70"/>
              <w:right w:type="dxa" w:w="110"/>
            </w:tcMar>
          </w:tcPr>
          <w:p>
            <w:pPr>
              <w:spacing w:after="0" w:line="260"/>
              <w:jc w:val="left"/>
            </w:pPr>
            <w:r>
              <w:rPr>
                <w:b w:val="false"/>
                <w:bCs w:val="false"/>
                <w:color w:val="1F2937"/>
                <w:sz w:val="18"/>
                <w:szCs w:val="18"/>
              </w:rPr>
              <w:t xml:space="preserve">"Grimme D3"</w:t>
            </w:r>
          </w:p>
        </w:tc>
        <w:tc>
          <w:tcPr>
            <w:tcW w:type="dxa" w:w="3400"/>
            <w:tcMar>
              <w:top w:type="dxa" w:w="70"/>
              <w:left w:type="dxa" w:w="110"/>
              <w:bottom w:type="dxa" w:w="70"/>
              <w:right w:type="dxa" w:w="110"/>
            </w:tcMar>
          </w:tcPr>
          <w:p>
            <w:pPr>
              <w:spacing w:after="0" w:line="260"/>
              <w:jc w:val="left"/>
            </w:pPr>
            <w:r>
              <w:rPr>
                <w:b w:val="false"/>
                <w:bCs w:val="false"/>
                <w:color w:val="1F2937"/>
                <w:sz w:val="18"/>
                <w:szCs w:val="18"/>
              </w:rPr>
              <w:t xml:space="preserve">D3 zero damping 으로 명시 (D3-BJ 아님)</w:t>
            </w:r>
          </w:p>
        </w:tc>
      </w:tr>
      <w:tr>
        <w:trPr>
          <w:tblHeader w:val="false"/>
        </w:trPr>
        <w:tc>
          <w:tcPr>
            <w:tcW w:type="dxa" w:w="2600"/>
            <w:tcMar>
              <w:top w:type="dxa" w:w="70"/>
              <w:left w:type="dxa" w:w="110"/>
              <w:bottom w:type="dxa" w:w="70"/>
              <w:right w:type="dxa" w:w="110"/>
            </w:tcMar>
          </w:tcPr>
          <w:p>
            <w:pPr>
              <w:spacing w:after="0" w:line="260"/>
            </w:pPr>
            <w:r>
              <w:rPr>
                <w:b w:val="false"/>
                <w:bCs w:val="false"/>
                <w:color w:val="1F2937"/>
                <w:sz w:val="18"/>
                <w:szCs w:val="18"/>
              </w:rPr>
              <w:t xml:space="preserve">기전 문장</w:t>
            </w:r>
          </w:p>
        </w:tc>
        <w:tc>
          <w:tcPr>
            <w:tcW w:type="dxa" w:w="3000"/>
            <w:tcMar>
              <w:top w:type="dxa" w:w="70"/>
              <w:left w:type="dxa" w:w="110"/>
              <w:bottom w:type="dxa" w:w="70"/>
              <w:right w:type="dxa" w:w="110"/>
            </w:tcMar>
          </w:tcPr>
          <w:p>
            <w:pPr>
              <w:spacing w:after="0" w:line="260"/>
              <w:jc w:val="left"/>
            </w:pPr>
            <w:r>
              <w:rPr>
                <w:b w:val="false"/>
                <w:bCs w:val="false"/>
                <w:color w:val="1F2937"/>
                <w:sz w:val="18"/>
                <w:szCs w:val="18"/>
              </w:rPr>
              <w:t xml:space="preserve">술포네이트가 표면과 상호작용한다</w:t>
            </w:r>
          </w:p>
        </w:tc>
        <w:tc>
          <w:tcPr>
            <w:tcW w:type="dxa" w:w="3400"/>
            <w:tcMar>
              <w:top w:type="dxa" w:w="70"/>
              <w:left w:type="dxa" w:w="110"/>
              <w:bottom w:type="dxa" w:w="70"/>
              <w:right w:type="dxa" w:w="110"/>
            </w:tcMar>
          </w:tcPr>
          <w:p>
            <w:pPr>
              <w:spacing w:after="0" w:line="260"/>
              <w:jc w:val="left"/>
            </w:pPr>
            <w:r>
              <w:rPr>
                <w:b w:val="false"/>
                <w:bCs w:val="false"/>
                <w:color w:val="1F2937"/>
                <w:sz w:val="18"/>
                <w:szCs w:val="18"/>
              </w:rPr>
              <w:t xml:space="preserve">삭제 — 계산이 그 기전을 보이지 않습니다 (§6)</w:t>
            </w:r>
          </w:p>
        </w:tc>
      </w:tr>
    </w:tbl>
    <w:p>
      <w:pPr>
        <w:pStyle w:val="Heading1"/>
        <w:spacing w:after="160" w:before="320"/>
      </w:pPr>
      <w:r>
        <w:rPr>
          <w:b/>
          <w:bCs/>
          <w:color w:val="1F2937"/>
          <w:sz w:val="28"/>
          <w:szCs w:val="28"/>
        </w:rPr>
        <w:t xml:space="preserve">2. Methods — DFT · 설명형 (Full)</w:t>
      </w:r>
    </w:p>
    <w:p>
      <w:pPr>
        <w:spacing w:after="120" w:line="276"/>
      </w:pPr>
      <w:r>
        <w:rPr>
          <w:color w:val="6B7280"/>
          <w:sz w:val="20"/>
          <w:szCs w:val="20"/>
        </w:rPr>
        <w:t xml:space="preserve">지면이 허용되면 이쪽을 씁니다. 영문 그대로 붙여넣으면 됩니다.</w:t>
      </w:r>
    </w:p>
    <w:p>
      <w:pPr>
        <w:pBdr>
          <w:left w:val="single" w:color="1D4ED8" w:sz="14" w:space="12"/>
        </w:pBdr>
        <w:spacing w:after="140" w:line="300"/>
        <w:ind w:left="340"/>
      </w:pPr>
      <w:r>
        <w:rPr>
          <w:color w:val="1F2937"/>
          <w:sz w:val="20"/>
          <w:szCs w:val="20"/>
        </w:rPr>
        <w:t xml:space="preserve">DFT calculations. Spin-polarised DFT calculations were performed with VASP using projector augmented-wave potentials and the Perdew–Burke–Ernzerhof functional, with Grimme's D3 dispersion correction in the zero-damping form and a rotationally invariant Dudarev +U correction of U − J = 6.2 eV applied to the Ni 3d states. The plane-wave cut-off was 520 eV with an electronic convergence threshold of 1 × 10⁻⁶ eV, Gaussian smearing of 0.05 eV, aspherical gradient corrections within the PAW spheres, and real-space projection disabled.</w:t>
      </w:r>
    </w:p>
    <w:p>
      <w:pPr>
        <w:pBdr>
          <w:left w:val="single" w:color="1D4ED8" w:sz="14" w:space="12"/>
        </w:pBdr>
        <w:spacing w:after="140" w:line="300"/>
        <w:ind w:left="340"/>
      </w:pPr>
      <w:r>
        <w:rPr>
          <w:color w:val="1F2937"/>
          <w:sz w:val="20"/>
          <w:szCs w:val="20"/>
        </w:rPr>
        <w:t xml:space="preserve">The NCM811 surface was represented by a LiNiO₂(104) slab (1 × 4, four layers, 192 atoms, 18.27 × 11.51 Å in plane) with more than 15 Å of vacuum, a Γ-centred 3 × 4 × 1 k-mesh, and a dipole correction along the surface normal. SDCP was represented by its sulfonate-functionalised EDOT repeat unit (C₁₁H₁₆O₆S₂) and PTFE by a C₁₀F₂₂ segment; gas-phase references were computed in cubic boxes with 20 and 24 Å of padding, the reference energy changing by 0.3 meV between them.</w:t>
      </w:r>
    </w:p>
    <w:p>
      <w:pPr>
        <w:pBdr>
          <w:left w:val="single" w:color="1D4ED8" w:sz="14" w:space="12"/>
        </w:pBdr>
        <w:spacing w:after="140" w:line="300"/>
        <w:ind w:left="340"/>
      </w:pPr>
      <w:r>
        <w:rPr>
          <w:color w:val="1F2937"/>
          <w:sz w:val="20"/>
          <w:szCs w:val="20"/>
        </w:rPr>
        <w:t xml:space="preserve">Adsorption configurations were pre-screened over seven surface sites and 48 molecular orientations with the UMA-s-1p1 machine-learned interatomic potential, relaxing the adsorbate together with the outermost 15 % of the slab. The DFT energies reported here are static single points on those machine-learned geometries and are not DFT local minima; identical fixed geometries and an identical computational protocol were used for every species, so that the comparison is made at matched geometry rather than at matched relaxation.</w:t>
      </w:r>
    </w:p>
    <w:p>
      <w:pPr>
        <w:pBdr>
          <w:left w:val="single" w:color="1D4ED8" w:sz="14" w:space="12"/>
        </w:pBdr>
        <w:spacing w:after="140" w:line="300"/>
        <w:ind w:left="340"/>
      </w:pPr>
      <w:r>
        <w:rPr>
          <w:color w:val="1F2937"/>
          <w:sz w:val="20"/>
          <w:szCs w:val="20"/>
        </w:rPr>
        <w:t xml:space="preserve">The magnetic state of the slab was declared rather than optimised. Each calculation started from a collinear antiferromagnetic configuration of the 48 Ni sites (24 up, 24 down, ±1 μB initial moments) with the total moment left unconstrained in the complexes, the clean slab and the gas-phase references alike, so that no species was constrained relative to another. The realised site-projected moments were recorded for every calculation, and energies were differenced only between calculations that realised the same magnetic configuration.</w:t>
      </w:r>
    </w:p>
    <w:p>
      <w:pPr>
        <w:pBdr>
          <w:left w:val="single" w:color="1D4ED8" w:sz="14" w:space="12"/>
        </w:pBdr>
        <w:spacing w:after="140" w:line="300"/>
        <w:ind w:left="340"/>
      </w:pPr>
      <w:r>
        <w:rPr>
          <w:color w:val="1F2937"/>
          <w:sz w:val="20"/>
          <w:szCs w:val="20"/>
        </w:rPr>
        <w:t xml:space="preserve">Adsorption energies were obtained as   E_ads = E_slab+adsorbate − E_slab − E_adsorbate.   (1)</w:t>
      </w:r>
    </w:p>
    <w:p>
      <w:pPr>
        <w:pBdr>
          <w:left w:val="single" w:color="1D4ED8" w:sz="14" w:space="12"/>
        </w:pBdr>
        <w:spacing w:after="140" w:line="300"/>
        <w:ind w:left="340"/>
      </w:pPr>
      <w:r>
        <w:rPr>
          <w:color w:val="1F2937"/>
          <w:sz w:val="20"/>
          <w:szCs w:val="20"/>
        </w:rPr>
        <w:t xml:space="preserve">Limitations. These are vacuum, 0 K, single-molecule quantities evaluated on fixed, machine-learned geometries. They are not adhesion energies, interfacial resistances or coverage-dependent quantities, and the two adsorbates are molecular segments rather than polymers — a real polymer chain contacts the surface at many points simultaneously. Total energies are code- and pseudopotential-specific and are meaningful only as internal differences within this study. The spectroscopic evidence indicates that the as-synthesised SDCP is self-doped, whereas the adsorption model is the neutral repeat unit; the spin distribution of the doped state is moreover chain-length dependent.</w:t>
      </w:r>
    </w:p>
    <w:p>
      <w:pPr>
        <w:pStyle w:val="Heading1"/>
        <w:spacing w:after="160" w:before="320"/>
      </w:pPr>
      <w:r>
        <w:rPr>
          <w:b/>
          <w:bCs/>
          <w:color w:val="1F2937"/>
          <w:sz w:val="28"/>
          <w:szCs w:val="28"/>
        </w:rPr>
        <w:t xml:space="preserve">3. Methods — DFT · 압축형 (Compact)</w:t>
      </w:r>
    </w:p>
    <w:p>
      <w:pPr>
        <w:spacing w:after="120" w:line="276"/>
      </w:pPr>
      <w:r>
        <w:rPr>
          <w:color w:val="6B7280"/>
          <w:sz w:val="20"/>
          <w:szCs w:val="20"/>
        </w:rPr>
        <w:t xml:space="preserve">같은 사실을 담되 문장 수만 줄인 판입니다. 한정어는 하나도 빼지 않았습니다 — 압축은 문장을 줄이는 것이지 유보를 빼는 것이 아닙니다.</w:t>
      </w:r>
    </w:p>
    <w:p>
      <w:pPr>
        <w:pBdr>
          <w:left w:val="single" w:color="1D4ED8" w:sz="14" w:space="12"/>
        </w:pBdr>
        <w:spacing w:after="140" w:line="300"/>
        <w:ind w:left="340"/>
      </w:pPr>
      <w:r>
        <w:rPr>
          <w:color w:val="1F2937"/>
          <w:sz w:val="20"/>
          <w:szCs w:val="20"/>
        </w:rPr>
        <w:t xml:space="preserve">DFT calculations. Spin-polarised DFT calculations were performed with VASP (PAW, PBE) using Grimme D3 dispersion in the zero-damping form, a Dudarev +U correction of U − J = 6.2 eV on the Ni 3d states, a 520 eV cut-off, 1 × 10⁻⁶ eV convergence, 0.05 eV Gaussian smearing and real-space projection disabled. The NCM811 surface was modelled as a LiNiO₂(104) slab (1 × 4, four layers, 192 atoms, 18.27 × 11.51 Å in plane) with more than 15 Å of vacuum, a Γ-centred 3 × 4 × 1 mesh and a dipole correction along the surface normal; SDCP was represented by its sulfonate-functionalised EDOT repeat unit (C₁₁H₁₆O₆S₂) and PTFE by a C₁₀F₂₂ segment, with gas-phase references in 20 and 24 Å boxes (0.3 meV apart).</w:t>
      </w:r>
    </w:p>
    <w:p>
      <w:pPr>
        <w:pBdr>
          <w:left w:val="single" w:color="1D4ED8" w:sz="14" w:space="12"/>
        </w:pBdr>
        <w:spacing w:after="140" w:line="300"/>
        <w:ind w:left="340"/>
      </w:pPr>
      <w:r>
        <w:rPr>
          <w:color w:val="1F2937"/>
          <w:sz w:val="20"/>
          <w:szCs w:val="20"/>
        </w:rPr>
        <w:t xml:space="preserve">Adsorption geometries were pre-screened over seven sites and 48 orientations with the UMA-s-1p1 machine-learned potential; the reported DFT energies are static single points on those geometries and are not DFT minima, the same fixed geometry and protocol being used for every species. The slab magnetic state was declared rather than optimised (collinear antiferromagnetic, 24 ↑ / 24 ↓ Ni, ±1 μB initial moments, total moment unconstrained for complexes, clean slab and gas references alike); realised moments were recorded and energies differenced only between calculations that realised the same configuration. Adsorption energies follow E_ads = E_slab+adsorbate − E_slab − E_adsorbate.</w:t>
      </w:r>
    </w:p>
    <w:p>
      <w:pPr>
        <w:pBdr>
          <w:left w:val="single" w:color="1D4ED8" w:sz="14" w:space="12"/>
        </w:pBdr>
        <w:spacing w:after="140" w:line="300"/>
        <w:ind w:left="340"/>
      </w:pPr>
      <w:r>
        <w:rPr>
          <w:color w:val="1F2937"/>
          <w:sz w:val="20"/>
          <w:szCs w:val="20"/>
        </w:rPr>
        <w:t xml:space="preserve">These are vacuum, 0 K, single-molecule quantities on fixed machine-learned geometries — not adhesion energies, interfacial resistances or coverage-dependent quantities — and the adsorbates are molecular segments rather than polymers. Total energies are code- and pseudopotential-specific and meaningful only as internal differences. The as-synthesised SDCP is self-doped by the spectroscopic evidence, whereas the adsorption model is the neutral repeat unit.</w:t>
      </w:r>
    </w:p>
    <w:p>
      <w:pPr>
        <w:pStyle w:val="Heading1"/>
        <w:spacing w:after="160" w:before="320"/>
      </w:pPr>
      <w:r>
        <w:rPr>
          <w:b/>
          <w:bCs/>
          <w:color w:val="1F2937"/>
          <w:sz w:val="28"/>
          <w:szCs w:val="28"/>
        </w:rPr>
        <w:t xml:space="preserve">4. Table S1 — 전면 교체 (값은 배포 입력파일 실물)</w:t>
      </w:r>
    </w:p>
    <w:p>
      <w:pPr>
        <w:spacing w:after="120" w:line="276"/>
      </w:pPr>
      <w:r>
        <w:rPr>
          <w:color w:val="6B7280"/>
          <w:sz w:val="20"/>
          <w:szCs w:val="20"/>
        </w:rPr>
        <w:t xml:space="preserve">아래 값은 실제로 배포되는 계산 입력에서 그대로 읽은 것입니다. 공란 없음.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00"/>
      </w:tblGrid>
      <w:tr>
        <w:trPr>
          <w:tblHeader/>
        </w:trPr>
        <w:tc>
          <w:tcPr>
            <w:tcW w:type="dxa" w:w="1700"/>
            <w:shd w:fill="EEF2FF" w:color="auto" w:val="clear"/>
            <w:tcMar>
              <w:top w:type="dxa" w:w="70"/>
              <w:left w:type="dxa" w:w="110"/>
              <w:bottom w:type="dxa" w:w="70"/>
              <w:right w:type="dxa" w:w="110"/>
            </w:tcMar>
          </w:tcPr>
          <w:p>
            <w:pPr>
              <w:spacing w:after="0" w:line="260"/>
            </w:pPr>
            <w:r>
              <w:rPr>
                <w:b/>
                <w:bCs/>
                <w:color w:val="1F2937"/>
                <w:sz w:val="18"/>
                <w:szCs w:val="18"/>
              </w:rPr>
              <w:t xml:space="preserve">Category</w:t>
            </w:r>
          </w:p>
        </w:tc>
        <w:tc>
          <w:tcPr>
            <w:tcW w:type="dxa" w:w="3500"/>
            <w:shd w:fill="EEF2FF" w:color="auto" w:val="clear"/>
            <w:tcMar>
              <w:top w:type="dxa" w:w="70"/>
              <w:left w:type="dxa" w:w="110"/>
              <w:bottom w:type="dxa" w:w="70"/>
              <w:right w:type="dxa" w:w="110"/>
            </w:tcMar>
          </w:tcPr>
          <w:p>
            <w:pPr>
              <w:spacing w:after="0" w:line="260"/>
            </w:pPr>
            <w:r>
              <w:rPr>
                <w:b/>
                <w:bCs/>
                <w:color w:val="1F2937"/>
                <w:sz w:val="18"/>
                <w:szCs w:val="18"/>
              </w:rPr>
              <w:t xml:space="preserve">Parameter</w:t>
            </w:r>
          </w:p>
        </w:tc>
        <w:tc>
          <w:tcPr>
            <w:tcW w:type="dxa" w:w="3800"/>
            <w:shd w:fill="EEF2FF" w:color="auto" w:val="clear"/>
            <w:tcMar>
              <w:top w:type="dxa" w:w="70"/>
              <w:left w:type="dxa" w:w="110"/>
              <w:bottom w:type="dxa" w:w="70"/>
              <w:right w:type="dxa" w:w="110"/>
            </w:tcMar>
          </w:tcPr>
          <w:p>
            <w:pPr>
              <w:spacing w:after="0" w:line="260"/>
            </w:pPr>
            <w:r>
              <w:rPr>
                <w:b/>
                <w:bCs/>
                <w:color w:val="1F2937"/>
                <w:sz w:val="18"/>
                <w:szCs w:val="18"/>
              </w:rPr>
              <w:t xml:space="preserve">Value</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Method</w:t>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Code / functional</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VASP (PAW); PBE</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Dispersion</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Grimme D3, zero damping</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Hubbard correction</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Dudarev, U − J = 6.2 eV on Ni 3d</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Plane-wave cut-off</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520 eV</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Electronic convergence</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1 × 10⁻⁶ eV</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Smearing (Gaussian)</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0.05 eV</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Real-space projection</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off</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k-point mesh (slab / molecule)</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3 × 4 × 1 / Γ</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Surface model</w:t>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Slab</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LiNiO₂(104), 1 × 4, four layers, 192 atoms (Li₄₈Ni₄₈O₉₆)</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Cell (in-plane)</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18.27 × 11.51 Å</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Adsorbate–image separation</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&gt; 15 Å</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Dipole correction</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along surface normal</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Magnetic state</w:t>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Starting configuration</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collinear AFM, 24 ↑ / 24 ↓ Ni, ±1 μB</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Total-moment constraint</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none — for complexes, slab and gas references alike</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Reported</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realised site-projected moments per calculation</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Geometry</w:t>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Source</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UMA-s-1p1 relaxation, outer 15 % of slab free</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DFT treatment</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static single point — not a DFT minimum</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Adsorbate</w:t>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SDCP repeat unit (neutral)</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C₁₁H₁₆O₆S₂</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PTFE segment</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C₁₀F₂₂</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Gas-phase box padding</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20 and 24 Å (ΔE = 0.3 meV)</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Search</w:t>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Potential; sites / orientations</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UMA-s-1p1; 7 / 48</w:t>
            </w:r>
          </w:p>
        </w:tc>
      </w:tr>
      <w:tr>
        <w:trPr>
          <w:tblHeader w:val="false"/>
        </w:trPr>
        <w:tc>
          <w:tcPr>
            <w:tcW w:type="dxa" w:w="1700"/>
            <w:tcMar>
              <w:top w:type="dxa" w:w="70"/>
              <w:left w:type="dxa" w:w="110"/>
              <w:bottom w:type="dxa" w:w="70"/>
              <w:right w:type="dxa" w:w="110"/>
            </w:tcMar>
          </w:tcPr>
          <w:p>
            <w:pPr>
              <w:spacing w:after="0" w:line="260"/>
            </w:pPr>
            <w:r>
              <w:rPr>
                <w:b w:val="false"/>
                <w:bCs w:val="false"/>
                <w:color w:val="1F2937"/>
                <w:sz w:val="18"/>
                <w:szCs w:val="18"/>
              </w:rPr>
              <w:t xml:space="preserve">Adsorption energy</w:t>
            </w:r>
          </w:p>
        </w:tc>
        <w:tc>
          <w:tcPr>
            <w:tcW w:type="dxa" w:w="3500"/>
            <w:tcMar>
              <w:top w:type="dxa" w:w="70"/>
              <w:left w:type="dxa" w:w="110"/>
              <w:bottom w:type="dxa" w:w="70"/>
              <w:right w:type="dxa" w:w="110"/>
            </w:tcMar>
          </w:tcPr>
          <w:p>
            <w:pPr>
              <w:spacing w:after="0" w:line="260"/>
              <w:jc w:val="left"/>
            </w:pPr>
            <w:r>
              <w:rPr>
                <w:b w:val="false"/>
                <w:bCs w:val="false"/>
                <w:color w:val="1F2937"/>
                <w:sz w:val="18"/>
                <w:szCs w:val="18"/>
              </w:rPr>
              <w:t xml:space="preserve">Definition</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Equation (1)</w:t>
            </w:r>
          </w:p>
        </w:tc>
      </w:tr>
    </w:tbl>
    <w:p>
      <w:pPr>
        <w:spacing w:after="120" w:line="276"/>
      </w:pPr>
      <w:r>
        <w:rPr>
          <w:color w:val="6B7280"/>
          <w:sz w:val="20"/>
          <w:szCs w:val="20"/>
        </w:rPr>
        <w:t xml:space="preserve">표에서 빼면 안 되는 세 줄입니다 — 심사에서 반드시 확인하는 항목입니다: 기하가 DFT 최소점이 아니라는 것 · 자기 상태가 선언이라는 것 · 기준계와 복합체가 같은 구속 정책을 쓴다는 것.</w:t>
      </w:r>
    </w:p>
    <w:p>
      <w:pPr>
        <w:pStyle w:val="Heading1"/>
        <w:spacing w:after="160" w:before="320"/>
      </w:pPr>
      <w:r>
        <w:rPr>
          <w:b/>
          <w:bCs/>
          <w:color w:val="1F2937"/>
          <w:sz w:val="28"/>
          <w:szCs w:val="28"/>
        </w:rPr>
        <w:t xml:space="preserve">5. 본문 34 (DFT 문단) — 교체안</w:t>
      </w:r>
    </w:p>
    <w:p>
      <w:pPr>
        <w:spacing w:after="120" w:line="276"/>
      </w:pPr>
      <w:r>
        <w:rPr>
          <w:color w:val="6B7280"/>
          <w:sz w:val="20"/>
          <w:szCs w:val="20"/>
        </w:rPr>
        <w:t xml:space="preserve">아래를 그대로 넣고, 대괄호 한 자리만 나중에 채웁니다.</w:t>
      </w:r>
    </w:p>
    <w:p>
      <w:pPr>
        <w:pBdr>
          <w:left w:val="single" w:color="1D4ED8" w:sz="14" w:space="12"/>
        </w:pBdr>
        <w:spacing w:after="140" w:line="300"/>
        <w:ind w:left="340"/>
      </w:pPr>
      <w:r>
        <w:rPr>
          <w:color w:val="1F2937"/>
          <w:sz w:val="20"/>
          <w:szCs w:val="20"/>
        </w:rPr>
        <w:t xml:space="preserve">Density functional theory calculations were used to compare how the two binder chemistries interact with the active material surface (Figure 2e), with the computational model and parameters given in Figure S3 and Table S1. Representative segments of SDCP and of PTFE were placed on a LiNiO₂(104) surface, the adsorption geometry of each being selected by a machine-learned potential over seven surface sites and 48 orientations and then evaluated by DFT at fixed geometry, so that both species are compared under an identical protocol.</w:t>
      </w:r>
    </w:p>
    <w:p>
      <w:pPr>
        <w:pBdr>
          <w:left w:val="single" w:color="B91C1C" w:sz="14" w:space="12"/>
        </w:pBdr>
        <w:spacing w:after="140" w:line="300"/>
        <w:ind w:left="340"/>
      </w:pPr>
      <w:r>
        <w:rPr>
          <w:b/>
          <w:bCs/>
          <w:color w:val="B91C1C"/>
          <w:sz w:val="20"/>
          <w:szCs w:val="20"/>
        </w:rPr>
        <w:t xml:space="preserve">[ A ]  </w:t>
      </w:r>
      <w:r>
        <w:rPr>
          <w:i/>
          <w:iCs/>
          <w:color w:val="1F2937"/>
          <w:sz w:val="20"/>
          <w:szCs w:val="20"/>
        </w:rPr>
        <w:t xml:space="preserve">Across the four pre-registered poses of each segment, the lowest adsorption energy of the SDCP repeat unit was </w:t>
      </w:r>
      <w:r>
        <w:rPr>
          <w:b/>
          <w:bCs/>
          <w:color w:val="B91C1C"/>
          <w:sz w:val="20"/>
          <w:szCs w:val="20"/>
        </w:rPr>
        <w:t xml:space="preserve">[ ___ ] eV</w:t>
      </w:r>
      <w:r>
        <w:rPr>
          <w:i/>
          <w:iCs/>
          <w:color w:val="1F2937"/>
          <w:sz w:val="20"/>
          <w:szCs w:val="20"/>
        </w:rPr>
        <w:t xml:space="preserve"> lower than that of the C₁₀F₂₂ segment.</w:t>
      </w:r>
    </w:p>
    <w:p>
      <w:pPr>
        <w:pBdr>
          <w:left w:val="single" w:color="1D4ED8" w:sz="14" w:space="12"/>
        </w:pBdr>
        <w:spacing w:after="140" w:line="300"/>
        <w:ind w:left="340"/>
      </w:pPr>
      <w:r>
        <w:rPr>
          <w:color w:val="1F2937"/>
          <w:sz w:val="20"/>
          <w:szCs w:val="20"/>
        </w:rPr>
        <w:t xml:space="preserve">The calculations describe an isolated repeat unit on a clean, vacuum-terminated surface at 0 K and are therefore a statement about local chemical affinity rather than about adhesion of the processed electrode.</w:t>
      </w:r>
    </w:p>
    <w:p>
      <w:pPr>
        <w:pStyle w:val="Heading2"/>
        <w:spacing w:after="120" w:before="240"/>
      </w:pPr>
      <w:r>
        <w:rPr>
          <w:b/>
          <w:bCs/>
          <w:color w:val="1F2937"/>
          <w:sz w:val="23"/>
          <w:szCs w:val="23"/>
        </w:rPr>
        <w:t xml:space="preserve">삭제해야 하는 문장</w:t>
      </w:r>
    </w:p>
    <w:p>
      <w:pPr>
        <w:spacing w:after="120" w:line="276"/>
      </w:pPr>
      <w:r>
        <w:rPr>
          <w:color w:val="6B7280"/>
          <w:sz w:val="20"/>
          <w:szCs w:val="20"/>
        </w:rPr>
        <w:t xml:space="preserve">v6 원문: </w:t>
      </w:r>
      <w:r>
        <w:rPr>
          <w:i/>
          <w:iCs/>
          <w:color w:val="1F2937"/>
          <w:sz w:val="20"/>
          <w:szCs w:val="20"/>
        </w:rPr>
        <w:t xml:space="preserve">"The stronger interaction expected for SDCP originates from its polar sulfonate moieties, which can interact more effectively with exposed surface sites of NCM811 than non-polar PTFE."</w:t>
      </w:r>
    </w:p>
    <w:p>
      <w:pPr>
        <w:spacing w:after="120" w:line="276"/>
      </w:pPr>
      <w:r>
        <w:rPr>
          <w:b/>
          <w:bCs/>
          <w:color w:val="B91C1C"/>
          <w:sz w:val="20"/>
          <w:szCs w:val="20"/>
        </w:rPr>
        <w:t xml:space="preserve">→ 삭제합니다. </w:t>
      </w:r>
      <w:r>
        <w:rPr>
          <w:color w:val="1F2937"/>
          <w:sz w:val="20"/>
          <w:szCs w:val="20"/>
        </w:rPr>
        <w:t xml:space="preserve">계산이 그 기전을 보이지 않습니다. 평가된 기하에서 분자와 표면의 실제 최근접 접촉은 탄화수소 C–H 와 표면 O/Ni 사이 2.44 Å 이고, 종전에 근거로 쓰던 술포네이트 O–Li 근접은 재측정에서 4.9–5.4 Å 로 나왔습니다. 술포네이트의 역할은 별도 근거(분광·분산)로 말해야 하며, 흡착 계산이 그것을 뒷받침하지 않습니다.</w:t>
      </w:r>
    </w:p>
    <w:p>
      <w:pPr>
        <w:spacing w:after="120" w:line="276"/>
      </w:pPr>
      <w:r>
        <w:rPr>
          <w:color w:val="6B7280"/>
          <w:sz w:val="20"/>
          <w:szCs w:val="20"/>
        </w:rPr>
        <w:t xml:space="preserve">자리표시자도 함께 삭제: </w:t>
      </w:r>
      <w:r>
        <w:rPr>
          <w:i/>
          <w:iCs/>
          <w:color w:val="1F2937"/>
          <w:sz w:val="20"/>
          <w:szCs w:val="20"/>
        </w:rPr>
        <w:t xml:space="preserve">"Additional text related to DFT."</w:t>
      </w:r>
    </w:p>
    <w:p>
      <w:pPr>
        <w:pStyle w:val="Heading1"/>
        <w:spacing w:after="160" w:before="320"/>
      </w:pPr>
      <w:r>
        <w:rPr>
          <w:b/>
          <w:bCs/>
          <w:color w:val="1F2937"/>
          <w:sz w:val="28"/>
          <w:szCs w:val="28"/>
        </w:rPr>
        <w:t xml:space="preserve">6. 캡션 — 교체안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EEF2FF" w:color="auto" w:val="clear"/>
            <w:tcMar>
              <w:top w:type="dxa" w:w="70"/>
              <w:left w:type="dxa" w:w="110"/>
              <w:bottom w:type="dxa" w:w="70"/>
              <w:right w:type="dxa" w:w="110"/>
            </w:tcMar>
          </w:tcPr>
          <w:p>
            <w:pPr>
              <w:spacing w:after="0" w:line="260"/>
            </w:pPr>
            <w:r>
              <w:rPr>
                <w:b/>
                <w:bCs/>
                <w:color w:val="1F2937"/>
                <w:sz w:val="18"/>
                <w:szCs w:val="18"/>
              </w:rPr>
              <w:t xml:space="preserve">위치</w:t>
            </w:r>
          </w:p>
        </w:tc>
        <w:tc>
          <w:tcPr>
            <w:tcW w:type="dxa" w:w="7100"/>
            <w:shd w:fill="EEF2FF" w:color="auto" w:val="clear"/>
            <w:tcMar>
              <w:top w:type="dxa" w:w="70"/>
              <w:left w:type="dxa" w:w="110"/>
              <w:bottom w:type="dxa" w:w="70"/>
              <w:right w:type="dxa" w:w="110"/>
            </w:tcMar>
          </w:tcPr>
          <w:p>
            <w:pPr>
              <w:spacing w:after="0" w:line="260"/>
            </w:pPr>
            <w:r>
              <w:rPr>
                <w:b/>
                <w:bCs/>
                <w:color w:val="1F2937"/>
                <w:sz w:val="18"/>
                <w:szCs w:val="18"/>
              </w:rPr>
              <w:t xml:space="preserve">교체안 (영문)</w:t>
            </w:r>
          </w:p>
        </w:tc>
      </w:tr>
      <w:tr>
        <w:trPr>
          <w:tblHeader w:val="false"/>
        </w:trPr>
        <w:tc>
          <w:tcPr>
            <w:tcW w:type="dxa" w:w="1900"/>
            <w:tcMar>
              <w:top w:type="dxa" w:w="70"/>
              <w:left w:type="dxa" w:w="110"/>
              <w:bottom w:type="dxa" w:w="70"/>
              <w:right w:type="dxa" w:w="110"/>
            </w:tcMar>
          </w:tcPr>
          <w:p>
            <w:pPr>
              <w:spacing w:after="0" w:line="260"/>
            </w:pPr>
            <w:r>
              <w:rPr>
                <w:b w:val="false"/>
                <w:bCs w:val="false"/>
                <w:color w:val="1F2937"/>
                <w:sz w:val="18"/>
                <w:szCs w:val="18"/>
              </w:rPr>
              <w:t xml:space="preserve">Figure 2(e)</w:t>
            </w:r>
          </w:p>
        </w:tc>
        <w:tc>
          <w:tcPr>
            <w:tcW w:type="dxa" w:w="7100"/>
            <w:tcMar>
              <w:top w:type="dxa" w:w="70"/>
              <w:left w:type="dxa" w:w="110"/>
              <w:bottom w:type="dxa" w:w="70"/>
              <w:right w:type="dxa" w:w="110"/>
            </w:tcMar>
          </w:tcPr>
          <w:p>
            <w:pPr>
              <w:spacing w:after="0" w:line="260"/>
              <w:jc w:val="left"/>
            </w:pPr>
            <w:r>
              <w:rPr>
                <w:b w:val="false"/>
                <w:bCs w:val="false"/>
                <w:color w:val="1F2937"/>
                <w:sz w:val="18"/>
                <w:szCs w:val="18"/>
              </w:rPr>
              <w:t xml:space="preserve">Adsorption of representative SDCP and PTFE segments on a LiNiO₂(104) surface, evaluated by DFT at machine-learned geometries.</w:t>
            </w:r>
          </w:p>
        </w:tc>
      </w:tr>
      <w:tr>
        <w:trPr>
          <w:tblHeader w:val="false"/>
        </w:trPr>
        <w:tc>
          <w:tcPr>
            <w:tcW w:type="dxa" w:w="1900"/>
            <w:tcMar>
              <w:top w:type="dxa" w:w="70"/>
              <w:left w:type="dxa" w:w="110"/>
              <w:bottom w:type="dxa" w:w="70"/>
              <w:right w:type="dxa" w:w="110"/>
            </w:tcMar>
          </w:tcPr>
          <w:p>
            <w:pPr>
              <w:spacing w:after="0" w:line="260"/>
            </w:pPr>
            <w:r>
              <w:rPr>
                <w:b w:val="false"/>
                <w:bCs w:val="false"/>
                <w:color w:val="1F2937"/>
                <w:sz w:val="18"/>
                <w:szCs w:val="18"/>
              </w:rPr>
              <w:t xml:space="preserve">Figure S3</w:t>
            </w:r>
          </w:p>
        </w:tc>
        <w:tc>
          <w:tcPr>
            <w:tcW w:type="dxa" w:w="7100"/>
            <w:tcMar>
              <w:top w:type="dxa" w:w="70"/>
              <w:left w:type="dxa" w:w="110"/>
              <w:bottom w:type="dxa" w:w="70"/>
              <w:right w:type="dxa" w:w="110"/>
            </w:tcMar>
          </w:tcPr>
          <w:p>
            <w:pPr>
              <w:spacing w:after="0" w:line="260"/>
              <w:jc w:val="left"/>
            </w:pPr>
            <w:r>
              <w:rPr>
                <w:b w:val="false"/>
                <w:bCs w:val="false"/>
                <w:color w:val="1F2937"/>
                <w:sz w:val="18"/>
                <w:szCs w:val="18"/>
              </w:rPr>
              <w:t xml:space="preserve">Computational models used for the DFT calculations: the LiNiO₂(104) slab, the SDCP repeat unit (C₁₁H₁₆O₆S₂) and the C₁₀F₂₂ segment, with the adsorption geometry of each species.</w:t>
            </w:r>
          </w:p>
        </w:tc>
      </w:tr>
      <w:tr>
        <w:trPr>
          <w:tblHeader w:val="false"/>
        </w:trPr>
        <w:tc>
          <w:tcPr>
            <w:tcW w:type="dxa" w:w="1900"/>
            <w:tcMar>
              <w:top w:type="dxa" w:w="70"/>
              <w:left w:type="dxa" w:w="110"/>
              <w:bottom w:type="dxa" w:w="70"/>
              <w:right w:type="dxa" w:w="110"/>
            </w:tcMar>
          </w:tcPr>
          <w:p>
            <w:pPr>
              <w:spacing w:after="0" w:line="260"/>
            </w:pPr>
            <w:r>
              <w:rPr>
                <w:b w:val="false"/>
                <w:bCs w:val="false"/>
                <w:color w:val="1F2937"/>
                <w:sz w:val="18"/>
                <w:szCs w:val="18"/>
              </w:rPr>
              <w:t xml:space="preserve">Figure 4(a)</w:t>
            </w:r>
          </w:p>
        </w:tc>
        <w:tc>
          <w:tcPr>
            <w:tcW w:type="dxa" w:w="7100"/>
            <w:tcMar>
              <w:top w:type="dxa" w:w="70"/>
              <w:left w:type="dxa" w:w="110"/>
              <w:bottom w:type="dxa" w:w="70"/>
              <w:right w:type="dxa" w:w="110"/>
            </w:tcMar>
          </w:tcPr>
          <w:p>
            <w:pPr>
              <w:spacing w:after="0" w:line="260"/>
              <w:jc w:val="left"/>
            </w:pPr>
            <w:r>
              <w:rPr>
                <w:b w:val="false"/>
                <w:bCs w:val="false"/>
                <w:color w:val="1F2937"/>
                <w:sz w:val="18"/>
                <w:szCs w:val="18"/>
              </w:rPr>
              <w:t xml:space="preserve">DEM-packed and MPM-compacted electronic conduction networks of the SBE and DBE.</w:t>
            </w:r>
          </w:p>
        </w:tc>
      </w:tr>
      <w:tr>
        <w:trPr>
          <w:tblHeader w:val="false"/>
        </w:trPr>
        <w:tc>
          <w:tcPr>
            <w:tcW w:type="dxa" w:w="1900"/>
            <w:tcMar>
              <w:top w:type="dxa" w:w="70"/>
              <w:left w:type="dxa" w:w="110"/>
              <w:bottom w:type="dxa" w:w="70"/>
              <w:right w:type="dxa" w:w="110"/>
            </w:tcMar>
          </w:tcPr>
          <w:p>
            <w:pPr>
              <w:spacing w:after="0" w:line="260"/>
            </w:pPr>
            <w:r>
              <w:rPr>
                <w:b w:val="false"/>
                <w:bCs w:val="false"/>
                <w:color w:val="1F2937"/>
                <w:sz w:val="18"/>
                <w:szCs w:val="18"/>
              </w:rPr>
              <w:t xml:space="preserve">Figure 4(b)</w:t>
            </w:r>
          </w:p>
        </w:tc>
        <w:tc>
          <w:tcPr>
            <w:tcW w:type="dxa" w:w="7100"/>
            <w:tcMar>
              <w:top w:type="dxa" w:w="70"/>
              <w:left w:type="dxa" w:w="110"/>
              <w:bottom w:type="dxa" w:w="70"/>
              <w:right w:type="dxa" w:w="110"/>
            </w:tcMar>
          </w:tcPr>
          <w:p>
            <w:pPr>
              <w:spacing w:after="0" w:line="260"/>
              <w:jc w:val="left"/>
            </w:pPr>
            <w:r>
              <w:rPr>
                <w:b w:val="false"/>
                <w:bCs w:val="false"/>
                <w:color w:val="1F2937"/>
                <w:sz w:val="18"/>
                <w:szCs w:val="18"/>
              </w:rPr>
              <w:t xml:space="preserve">Effective electronic conductivities of the SBE and DBE under the two binder conventions, each averaged over the eight prescribed grid-origin phases.</w:t>
            </w:r>
          </w:p>
        </w:tc>
      </w:tr>
    </w:tbl>
    <w:p>
      <w:pPr>
        <w:spacing w:after="120" w:line="276"/>
      </w:pPr>
      <w:r>
        <w:rPr>
          <w:color w:val="6B7280"/>
          <w:sz w:val="20"/>
          <w:szCs w:val="20"/>
        </w:rPr>
        <w:t xml:space="preserve">v6 의 "(e) DFT." 와 "Figure S3. DFT" 는 자리표시자입니다.</w:t>
      </w:r>
    </w:p>
    <w:p>
      <w:pPr>
        <w:pStyle w:val="Heading1"/>
        <w:spacing w:after="160" w:before="320"/>
      </w:pPr>
      <w:r>
        <w:rPr>
          <w:b/>
          <w:bCs/>
          <w:color w:val="1F2937"/>
          <w:sz w:val="28"/>
          <w:szCs w:val="28"/>
        </w:rPr>
        <w:t xml:space="preserve">7. 무엇을 주장할 수 있고 무엇은 못 하나</w:t>
      </w:r>
    </w:p>
    <w:p>
      <w:pPr>
        <w:spacing w:after="120" w:line="276"/>
      </w:pPr>
      <w:r>
        <w:rPr>
          <w:color w:val="6B7280"/>
          <w:sz w:val="20"/>
          <w:szCs w:val="20"/>
        </w:rPr>
        <w:t xml:space="preserve">계산이 끝난 뒤에도 아래 구분은 그대로입니다. 미리 정해 둡니다.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700"/>
        <w:gridCol w:w="1500"/>
        <w:gridCol w:w="2800"/>
      </w:tblGrid>
      <w:tr>
        <w:trPr>
          <w:tblHeader/>
        </w:trPr>
        <w:tc>
          <w:tcPr>
            <w:tcW w:type="dxa" w:w="4700"/>
            <w:shd w:fill="EEF2FF" w:color="auto" w:val="clear"/>
            <w:tcMar>
              <w:top w:type="dxa" w:w="70"/>
              <w:left w:type="dxa" w:w="110"/>
              <w:bottom w:type="dxa" w:w="70"/>
              <w:right w:type="dxa" w:w="110"/>
            </w:tcMar>
          </w:tcPr>
          <w:p>
            <w:pPr>
              <w:spacing w:after="0" w:line="260"/>
            </w:pPr>
            <w:r>
              <w:rPr>
                <w:b/>
                <w:bCs/>
                <w:color w:val="1F2937"/>
                <w:sz w:val="18"/>
                <w:szCs w:val="18"/>
              </w:rPr>
              <w:t xml:space="preserve">원고에 쓰려는 문장</w:t>
            </w:r>
          </w:p>
        </w:tc>
        <w:tc>
          <w:tcPr>
            <w:tcW w:type="dxa" w:w="1500"/>
            <w:shd w:fill="EEF2FF" w:color="auto" w:val="clear"/>
            <w:tcMar>
              <w:top w:type="dxa" w:w="70"/>
              <w:left w:type="dxa" w:w="110"/>
              <w:bottom w:type="dxa" w:w="70"/>
              <w:right w:type="dxa" w:w="110"/>
            </w:tcMar>
          </w:tcPr>
          <w:p>
            <w:pPr>
              <w:spacing w:after="0" w:line="260"/>
            </w:pPr>
            <w:r>
              <w:rPr>
                <w:b/>
                <w:bCs/>
                <w:color w:val="1F2937"/>
                <w:sz w:val="18"/>
                <w:szCs w:val="18"/>
              </w:rPr>
              <w:t xml:space="preserve">가능</w:t>
            </w:r>
          </w:p>
        </w:tc>
        <w:tc>
          <w:tcPr>
            <w:tcW w:type="dxa" w:w="2800"/>
            <w:shd w:fill="EEF2FF" w:color="auto" w:val="clear"/>
            <w:tcMar>
              <w:top w:type="dxa" w:w="70"/>
              <w:left w:type="dxa" w:w="110"/>
              <w:bottom w:type="dxa" w:w="70"/>
              <w:right w:type="dxa" w:w="110"/>
            </w:tcMar>
          </w:tcPr>
          <w:p>
            <w:pPr>
              <w:spacing w:after="0" w:line="260"/>
            </w:pPr>
            <w:r>
              <w:rPr>
                <w:b/>
                <w:bCs/>
                <w:color w:val="1F2937"/>
                <w:sz w:val="18"/>
                <w:szCs w:val="18"/>
              </w:rPr>
              <w:t xml:space="preserve">이유</w:t>
            </w:r>
          </w:p>
        </w:tc>
      </w:tr>
      <w:tr>
        <w:trPr>
          <w:tblHeader w:val="false"/>
        </w:trPr>
        <w:tc>
          <w:tcPr>
            <w:tcW w:type="dxa" w:w="4700"/>
            <w:tcMar>
              <w:top w:type="dxa" w:w="70"/>
              <w:left w:type="dxa" w:w="110"/>
              <w:bottom w:type="dxa" w:w="70"/>
              <w:right w:type="dxa" w:w="110"/>
            </w:tcMar>
          </w:tcPr>
          <w:p>
            <w:pPr>
              <w:spacing w:after="0" w:line="260"/>
            </w:pPr>
            <w:r>
              <w:rPr>
                <w:b w:val="false"/>
                <w:bCs w:val="false"/>
                <w:color w:val="1F2937"/>
                <w:sz w:val="18"/>
                <w:szCs w:val="18"/>
              </w:rPr>
              <w:t xml:space="preserve">SDCP 조각이 PTFE 조각보다 표면에 더 세게 붙는다</w:t>
            </w:r>
          </w:p>
        </w:tc>
        <w:tc>
          <w:tcPr>
            <w:tcW w:type="dxa" w:w="1500"/>
            <w:tcMar>
              <w:top w:type="dxa" w:w="70"/>
              <w:left w:type="dxa" w:w="110"/>
              <w:bottom w:type="dxa" w:w="70"/>
              <w:right w:type="dxa" w:w="110"/>
            </w:tcMar>
          </w:tcPr>
          <w:p>
            <w:pPr>
              <w:spacing w:after="0" w:line="260"/>
              <w:jc w:val="left"/>
            </w:pPr>
            <w:r>
              <w:rPr>
                <w:b w:val="false"/>
                <w:bCs w:val="false"/>
                <w:color w:val="1F2937"/>
                <w:sz w:val="18"/>
                <w:szCs w:val="18"/>
              </w:rPr>
              <w:t xml:space="preserve">가능</w:t>
            </w:r>
          </w:p>
        </w:tc>
        <w:tc>
          <w:tcPr>
            <w:tcW w:type="dxa" w:w="2800"/>
            <w:tcMar>
              <w:top w:type="dxa" w:w="70"/>
              <w:left w:type="dxa" w:w="110"/>
              <w:bottom w:type="dxa" w:w="70"/>
              <w:right w:type="dxa" w:w="110"/>
            </w:tcMar>
          </w:tcPr>
          <w:p>
            <w:pPr>
              <w:spacing w:after="0" w:line="260"/>
              <w:jc w:val="left"/>
            </w:pPr>
            <w:r>
              <w:rPr>
                <w:b w:val="false"/>
                <w:bCs w:val="false"/>
                <w:color w:val="1F2937"/>
                <w:sz w:val="18"/>
                <w:szCs w:val="18"/>
              </w:rPr>
              <w:t xml:space="preserve">사전등록한 비교량이며 두 조각이 같은 프로토콜입니다</w:t>
            </w:r>
          </w:p>
        </w:tc>
      </w:tr>
      <w:tr>
        <w:trPr>
          <w:tblHeader w:val="false"/>
        </w:trPr>
        <w:tc>
          <w:tcPr>
            <w:tcW w:type="dxa" w:w="4700"/>
            <w:tcMar>
              <w:top w:type="dxa" w:w="70"/>
              <w:left w:type="dxa" w:w="110"/>
              <w:bottom w:type="dxa" w:w="70"/>
              <w:right w:type="dxa" w:w="110"/>
            </w:tcMar>
          </w:tcPr>
          <w:p>
            <w:pPr>
              <w:spacing w:after="0" w:line="260"/>
            </w:pPr>
            <w:r>
              <w:rPr>
                <w:b w:val="false"/>
                <w:bCs w:val="false"/>
                <w:color w:val="1F2937"/>
                <w:sz w:val="18"/>
                <w:szCs w:val="18"/>
              </w:rPr>
              <w:t xml:space="preserve">흡착에너지 절대값 (−0.X eV)</w:t>
            </w:r>
          </w:p>
        </w:tc>
        <w:tc>
          <w:tcPr>
            <w:tcW w:type="dxa" w:w="1500"/>
            <w:tcMar>
              <w:top w:type="dxa" w:w="70"/>
              <w:left w:type="dxa" w:w="110"/>
              <w:bottom w:type="dxa" w:w="70"/>
              <w:right w:type="dxa" w:w="110"/>
            </w:tcMar>
          </w:tcPr>
          <w:p>
            <w:pPr>
              <w:spacing w:after="0" w:line="260"/>
              <w:jc w:val="left"/>
            </w:pPr>
            <w:r>
              <w:rPr>
                <w:b w:val="false"/>
                <w:bCs w:val="false"/>
                <w:color w:val="1F2937"/>
                <w:sz w:val="18"/>
                <w:szCs w:val="18"/>
              </w:rPr>
              <w:t xml:space="preserve">조건부</w:t>
            </w:r>
          </w:p>
        </w:tc>
        <w:tc>
          <w:tcPr>
            <w:tcW w:type="dxa" w:w="2800"/>
            <w:tcMar>
              <w:top w:type="dxa" w:w="70"/>
              <w:left w:type="dxa" w:w="110"/>
              <w:bottom w:type="dxa" w:w="70"/>
              <w:right w:type="dxa" w:w="110"/>
            </w:tcMar>
          </w:tcPr>
          <w:p>
            <w:pPr>
              <w:spacing w:after="0" w:line="260"/>
              <w:jc w:val="left"/>
            </w:pPr>
            <w:r>
              <w:rPr>
                <w:b w:val="false"/>
                <w:bCs w:val="false"/>
                <w:color w:val="1F2937"/>
                <w:sz w:val="18"/>
                <w:szCs w:val="18"/>
              </w:rPr>
              <w:t xml:space="preserve">"기계학습 기하 위의 단일점" 을 반드시 함께 적을 때만</w:t>
            </w:r>
          </w:p>
        </w:tc>
      </w:tr>
      <w:tr>
        <w:trPr>
          <w:tblHeader w:val="false"/>
        </w:trPr>
        <w:tc>
          <w:tcPr>
            <w:tcW w:type="dxa" w:w="4700"/>
            <w:tcMar>
              <w:top w:type="dxa" w:w="70"/>
              <w:left w:type="dxa" w:w="110"/>
              <w:bottom w:type="dxa" w:w="70"/>
              <w:right w:type="dxa" w:w="110"/>
            </w:tcMar>
          </w:tcPr>
          <w:p>
            <w:pPr>
              <w:spacing w:after="0" w:line="260"/>
            </w:pPr>
            <w:r>
              <w:rPr>
                <w:b w:val="false"/>
                <w:bCs w:val="false"/>
                <w:color w:val="1F2937"/>
                <w:sz w:val="18"/>
                <w:szCs w:val="18"/>
              </w:rPr>
              <w:t xml:space="preserve">SDCP 가 Li 자리를 선호한다</w:t>
            </w:r>
          </w:p>
        </w:tc>
        <w:tc>
          <w:tcPr>
            <w:tcW w:type="dxa" w:w="1500"/>
            <w:tcMar>
              <w:top w:type="dxa" w:w="70"/>
              <w:left w:type="dxa" w:w="110"/>
              <w:bottom w:type="dxa" w:w="70"/>
              <w:right w:type="dxa" w:w="110"/>
            </w:tcMar>
          </w:tcPr>
          <w:p>
            <w:pPr>
              <w:spacing w:after="0" w:line="260"/>
              <w:jc w:val="left"/>
            </w:pPr>
            <w:r>
              <w:rPr>
                <w:b w:val="false"/>
                <w:bCs w:val="false"/>
                <w:color w:val="1F2937"/>
                <w:sz w:val="18"/>
                <w:szCs w:val="18"/>
              </w:rPr>
              <w:t xml:space="preserve">불가</w:t>
            </w:r>
          </w:p>
        </w:tc>
        <w:tc>
          <w:tcPr>
            <w:tcW w:type="dxa" w:w="2800"/>
            <w:tcMar>
              <w:top w:type="dxa" w:w="70"/>
              <w:left w:type="dxa" w:w="110"/>
              <w:bottom w:type="dxa" w:w="70"/>
              <w:right w:type="dxa" w:w="110"/>
            </w:tcMar>
          </w:tcPr>
          <w:p>
            <w:pPr>
              <w:spacing w:after="0" w:line="260"/>
              <w:jc w:val="left"/>
            </w:pPr>
            <w:r>
              <w:rPr>
                <w:b w:val="false"/>
                <w:bCs w:val="false"/>
                <w:color w:val="1F2937"/>
                <w:sz w:val="18"/>
                <w:szCs w:val="18"/>
              </w:rPr>
              <w:t xml:space="preserve">자리 간 차이가 판정 해상도(30 meV) 아래입니다</w:t>
            </w:r>
          </w:p>
        </w:tc>
      </w:tr>
      <w:tr>
        <w:trPr>
          <w:tblHeader w:val="false"/>
        </w:trPr>
        <w:tc>
          <w:tcPr>
            <w:tcW w:type="dxa" w:w="4700"/>
            <w:tcMar>
              <w:top w:type="dxa" w:w="70"/>
              <w:left w:type="dxa" w:w="110"/>
              <w:bottom w:type="dxa" w:w="70"/>
              <w:right w:type="dxa" w:w="110"/>
            </w:tcMar>
          </w:tcPr>
          <w:p>
            <w:pPr>
              <w:spacing w:after="0" w:line="260"/>
            </w:pPr>
            <w:r>
              <w:rPr>
                <w:b w:val="false"/>
                <w:bCs w:val="false"/>
                <w:color w:val="1F2937"/>
                <w:sz w:val="18"/>
                <w:szCs w:val="18"/>
              </w:rPr>
              <w:t xml:space="preserve">술포네이트가 표면에 앵커링한다</w:t>
            </w:r>
          </w:p>
        </w:tc>
        <w:tc>
          <w:tcPr>
            <w:tcW w:type="dxa" w:w="1500"/>
            <w:tcMar>
              <w:top w:type="dxa" w:w="70"/>
              <w:left w:type="dxa" w:w="110"/>
              <w:bottom w:type="dxa" w:w="70"/>
              <w:right w:type="dxa" w:w="110"/>
            </w:tcMar>
          </w:tcPr>
          <w:p>
            <w:pPr>
              <w:spacing w:after="0" w:line="260"/>
              <w:jc w:val="left"/>
            </w:pPr>
            <w:r>
              <w:rPr>
                <w:b w:val="false"/>
                <w:bCs w:val="false"/>
                <w:color w:val="1F2937"/>
                <w:sz w:val="18"/>
                <w:szCs w:val="18"/>
              </w:rPr>
              <w:t xml:space="preserve">불가</w:t>
            </w:r>
          </w:p>
        </w:tc>
        <w:tc>
          <w:tcPr>
            <w:tcW w:type="dxa" w:w="2800"/>
            <w:tcMar>
              <w:top w:type="dxa" w:w="70"/>
              <w:left w:type="dxa" w:w="110"/>
              <w:bottom w:type="dxa" w:w="70"/>
              <w:right w:type="dxa" w:w="110"/>
            </w:tcMar>
          </w:tcPr>
          <w:p>
            <w:pPr>
              <w:spacing w:after="0" w:line="260"/>
              <w:jc w:val="left"/>
            </w:pPr>
            <w:r>
              <w:rPr>
                <w:b w:val="false"/>
                <w:bCs w:val="false"/>
                <w:color w:val="1F2937"/>
                <w:sz w:val="18"/>
                <w:szCs w:val="18"/>
              </w:rPr>
              <w:t xml:space="preserve">실제 최근접 접촉이 C–H 이고 기전 근거가 없습니다</w:t>
            </w:r>
          </w:p>
        </w:tc>
      </w:tr>
      <w:tr>
        <w:trPr>
          <w:tblHeader w:val="false"/>
        </w:trPr>
        <w:tc>
          <w:tcPr>
            <w:tcW w:type="dxa" w:w="4700"/>
            <w:tcMar>
              <w:top w:type="dxa" w:w="70"/>
              <w:left w:type="dxa" w:w="110"/>
              <w:bottom w:type="dxa" w:w="70"/>
              <w:right w:type="dxa" w:w="110"/>
            </w:tcMar>
          </w:tcPr>
          <w:p>
            <w:pPr>
              <w:spacing w:after="0" w:line="260"/>
            </w:pPr>
            <w:r>
              <w:rPr>
                <w:b w:val="false"/>
                <w:bCs w:val="false"/>
                <w:color w:val="1F2937"/>
                <w:sz w:val="18"/>
                <w:szCs w:val="18"/>
              </w:rPr>
              <w:t xml:space="preserve">자가도핑 상태의 흡착</w:t>
            </w:r>
          </w:p>
        </w:tc>
        <w:tc>
          <w:tcPr>
            <w:tcW w:type="dxa" w:w="1500"/>
            <w:tcMar>
              <w:top w:type="dxa" w:w="70"/>
              <w:left w:type="dxa" w:w="110"/>
              <w:bottom w:type="dxa" w:w="70"/>
              <w:right w:type="dxa" w:w="110"/>
            </w:tcMar>
          </w:tcPr>
          <w:p>
            <w:pPr>
              <w:spacing w:after="0" w:line="260"/>
              <w:jc w:val="left"/>
            </w:pPr>
            <w:r>
              <w:rPr>
                <w:b w:val="false"/>
                <w:bCs w:val="false"/>
                <w:color w:val="1F2937"/>
                <w:sz w:val="18"/>
                <w:szCs w:val="18"/>
              </w:rPr>
              <w:t xml:space="preserve">불가</w:t>
            </w:r>
          </w:p>
        </w:tc>
        <w:tc>
          <w:tcPr>
            <w:tcW w:type="dxa" w:w="2800"/>
            <w:tcMar>
              <w:top w:type="dxa" w:w="70"/>
              <w:left w:type="dxa" w:w="110"/>
              <w:bottom w:type="dxa" w:w="70"/>
              <w:right w:type="dxa" w:w="110"/>
            </w:tcMar>
          </w:tcPr>
          <w:p>
            <w:pPr>
              <w:spacing w:after="0" w:line="260"/>
              <w:jc w:val="left"/>
            </w:pPr>
            <w:r>
              <w:rPr>
                <w:b w:val="false"/>
                <w:bCs w:val="false"/>
                <w:color w:val="1F2937"/>
                <w:sz w:val="18"/>
                <w:szCs w:val="18"/>
              </w:rPr>
              <w:t xml:space="preserve">이번 계산은 중성 반복단위만 다룹니다</w:t>
            </w:r>
          </w:p>
        </w:tc>
      </w:tr>
      <w:tr>
        <w:trPr>
          <w:tblHeader w:val="false"/>
        </w:trPr>
        <w:tc>
          <w:tcPr>
            <w:tcW w:type="dxa" w:w="4700"/>
            <w:tcMar>
              <w:top w:type="dxa" w:w="70"/>
              <w:left w:type="dxa" w:w="110"/>
              <w:bottom w:type="dxa" w:w="70"/>
              <w:right w:type="dxa" w:w="110"/>
            </w:tcMar>
          </w:tcPr>
          <w:p>
            <w:pPr>
              <w:spacing w:after="0" w:line="260"/>
            </w:pPr>
            <w:r>
              <w:rPr>
                <w:b w:val="false"/>
                <w:bCs w:val="false"/>
                <w:color w:val="1F2937"/>
                <w:sz w:val="18"/>
                <w:szCs w:val="18"/>
              </w:rPr>
              <w:t xml:space="preserve">전역 최소 자세 / "항상"</w:t>
            </w:r>
          </w:p>
        </w:tc>
        <w:tc>
          <w:tcPr>
            <w:tcW w:type="dxa" w:w="1500"/>
            <w:tcMar>
              <w:top w:type="dxa" w:w="70"/>
              <w:left w:type="dxa" w:w="110"/>
              <w:bottom w:type="dxa" w:w="70"/>
              <w:right w:type="dxa" w:w="110"/>
            </w:tcMar>
          </w:tcPr>
          <w:p>
            <w:pPr>
              <w:spacing w:after="0" w:line="260"/>
              <w:jc w:val="left"/>
            </w:pPr>
            <w:r>
              <w:rPr>
                <w:b w:val="false"/>
                <w:bCs w:val="false"/>
                <w:color w:val="1F2937"/>
                <w:sz w:val="18"/>
                <w:szCs w:val="18"/>
              </w:rPr>
              <w:t xml:space="preserve">불가</w:t>
            </w:r>
          </w:p>
        </w:tc>
        <w:tc>
          <w:tcPr>
            <w:tcW w:type="dxa" w:w="2800"/>
            <w:tcMar>
              <w:top w:type="dxa" w:w="70"/>
              <w:left w:type="dxa" w:w="110"/>
              <w:bottom w:type="dxa" w:w="70"/>
              <w:right w:type="dxa" w:w="110"/>
            </w:tcMar>
          </w:tcPr>
          <w:p>
            <w:pPr>
              <w:spacing w:after="0" w:line="260"/>
              <w:jc w:val="left"/>
            </w:pPr>
            <w:r>
              <w:rPr>
                <w:b w:val="false"/>
                <w:bCs w:val="false"/>
                <w:color w:val="1F2937"/>
                <w:sz w:val="18"/>
                <w:szCs w:val="18"/>
              </w:rPr>
              <w:t xml:space="preserve">자세를 전수로 보지 않았습니다</w:t>
            </w:r>
          </w:p>
        </w:tc>
      </w:tr>
    </w:tbl>
    <w:p>
      <w:pPr>
        <w:pStyle w:val="Heading1"/>
        <w:spacing w:after="160" w:before="320"/>
      </w:pPr>
      <w:r>
        <w:rPr>
          <w:b/>
          <w:bCs/>
          <w:color w:val="1F2937"/>
          <w:sz w:val="28"/>
          <w:szCs w:val="28"/>
        </w:rPr>
        <w:t xml:space="preserve">8. DEM 축 (Table S2 · S3 · Figure 4)</w:t>
      </w:r>
    </w:p>
    <w:p>
      <w:pPr>
        <w:spacing w:after="120" w:line="276"/>
      </w:pPr>
      <w:r>
        <w:rPr>
          <w:color w:val="6B7280"/>
          <w:sz w:val="20"/>
          <w:szCs w:val="20"/>
        </w:rPr>
        <w:t xml:space="preserve">이 부분은 별도 트랙에서 관리되며, v7 문서의 서술이 그대로 유효합니다. 이 문서에서는 공란 상태만 적어 둡니다.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00"/>
      </w:tblGrid>
      <w:tr>
        <w:trPr>
          <w:tblHeader/>
        </w:trPr>
        <w:tc>
          <w:tcPr>
            <w:tcW w:type="dxa" w:w="3000"/>
            <w:shd w:fill="EEF2FF" w:color="auto" w:val="clear"/>
            <w:tcMar>
              <w:top w:type="dxa" w:w="70"/>
              <w:left w:type="dxa" w:w="110"/>
              <w:bottom w:type="dxa" w:w="70"/>
              <w:right w:type="dxa" w:w="110"/>
            </w:tcMar>
          </w:tcPr>
          <w:p>
            <w:pPr>
              <w:spacing w:after="0" w:line="260"/>
            </w:pPr>
            <w:r>
              <w:rPr>
                <w:b/>
                <w:bCs/>
                <w:color w:val="1F2937"/>
                <w:sz w:val="18"/>
                <w:szCs w:val="18"/>
              </w:rPr>
              <w:t xml:space="preserve">행</w:t>
            </w:r>
          </w:p>
        </w:tc>
        <w:tc>
          <w:tcPr>
            <w:tcW w:type="dxa" w:w="2200"/>
            <w:shd w:fill="EEF2FF" w:color="auto" w:val="clear"/>
            <w:tcMar>
              <w:top w:type="dxa" w:w="70"/>
              <w:left w:type="dxa" w:w="110"/>
              <w:bottom w:type="dxa" w:w="70"/>
              <w:right w:type="dxa" w:w="110"/>
            </w:tcMar>
          </w:tcPr>
          <w:p>
            <w:pPr>
              <w:spacing w:after="0" w:line="260"/>
            </w:pPr>
            <w:r>
              <w:rPr>
                <w:b/>
                <w:bCs/>
                <w:color w:val="1F2937"/>
                <w:sz w:val="18"/>
                <w:szCs w:val="18"/>
              </w:rPr>
              <w:t xml:space="preserve">상태</w:t>
            </w:r>
          </w:p>
        </w:tc>
        <w:tc>
          <w:tcPr>
            <w:tcW w:type="dxa" w:w="3800"/>
            <w:shd w:fill="EEF2FF" w:color="auto" w:val="clear"/>
            <w:tcMar>
              <w:top w:type="dxa" w:w="70"/>
              <w:left w:type="dxa" w:w="110"/>
              <w:bottom w:type="dxa" w:w="70"/>
              <w:right w:type="dxa" w:w="110"/>
            </w:tcMar>
          </w:tcPr>
          <w:p>
            <w:pPr>
              <w:spacing w:after="0" w:line="260"/>
            </w:pPr>
            <w:r>
              <w:rPr>
                <w:b/>
                <w:bCs/>
                <w:color w:val="1F2937"/>
                <w:sz w:val="18"/>
                <w:szCs w:val="18"/>
              </w:rPr>
              <w:t xml:space="preserve">비고</w:t>
            </w:r>
          </w:p>
        </w:tc>
      </w:tr>
      <w:tr>
        <w:trPr>
          <w:tblHeader w:val="false"/>
        </w:trPr>
        <w:tc>
          <w:tcPr>
            <w:tcW w:type="dxa" w:w="3000"/>
            <w:tcMar>
              <w:top w:type="dxa" w:w="70"/>
              <w:left w:type="dxa" w:w="110"/>
              <w:bottom w:type="dxa" w:w="70"/>
              <w:right w:type="dxa" w:w="110"/>
            </w:tcMar>
          </w:tcPr>
          <w:p>
            <w:pPr>
              <w:spacing w:after="0" w:line="260"/>
            </w:pPr>
            <w:r>
              <w:rPr>
                <w:b w:val="false"/>
                <w:bCs w:val="false"/>
                <w:color w:val="1F2937"/>
                <w:sz w:val="18"/>
                <w:szCs w:val="18"/>
              </w:rPr>
              <w:t xml:space="preserve">σ_ele (두 규약)</w:t>
            </w:r>
          </w:p>
        </w:tc>
        <w:tc>
          <w:tcPr>
            <w:tcW w:type="dxa" w:w="2200"/>
            <w:tcMar>
              <w:top w:type="dxa" w:w="70"/>
              <w:left w:type="dxa" w:w="110"/>
              <w:bottom w:type="dxa" w:w="70"/>
              <w:right w:type="dxa" w:w="110"/>
            </w:tcMar>
          </w:tcPr>
          <w:p>
            <w:pPr>
              <w:spacing w:after="0" w:line="260"/>
              <w:jc w:val="left"/>
            </w:pPr>
            <w:r>
              <w:rPr>
                <w:b w:val="false"/>
                <w:bCs w:val="false"/>
                <w:color w:val="1F2937"/>
                <w:sz w:val="18"/>
                <w:szCs w:val="18"/>
              </w:rPr>
              <w:t xml:space="preserve">확정</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본문과 Table S3 에 실을 수 있습니다</w:t>
            </w:r>
          </w:p>
        </w:tc>
      </w:tr>
      <w:tr>
        <w:trPr>
          <w:tblHeader w:val="false"/>
        </w:trPr>
        <w:tc>
          <w:tcPr>
            <w:tcW w:type="dxa" w:w="3000"/>
            <w:tcMar>
              <w:top w:type="dxa" w:w="70"/>
              <w:left w:type="dxa" w:w="110"/>
              <w:bottom w:type="dxa" w:w="70"/>
              <w:right w:type="dxa" w:w="110"/>
            </w:tcMar>
          </w:tcPr>
          <w:p>
            <w:pPr>
              <w:spacing w:after="0" w:line="260"/>
            </w:pPr>
            <w:r>
              <w:rPr>
                <w:b w:val="false"/>
                <w:bCs w:val="false"/>
                <w:color w:val="1F2937"/>
                <w:sz w:val="18"/>
                <w:szCs w:val="18"/>
              </w:rPr>
              <w:t xml:space="preserve">구조 지표 5행</w:t>
            </w:r>
          </w:p>
        </w:tc>
        <w:tc>
          <w:tcPr>
            <w:tcW w:type="dxa" w:w="2200"/>
            <w:tcMar>
              <w:top w:type="dxa" w:w="70"/>
              <w:left w:type="dxa" w:w="110"/>
              <w:bottom w:type="dxa" w:w="70"/>
              <w:right w:type="dxa" w:w="110"/>
            </w:tcMar>
          </w:tcPr>
          <w:p>
            <w:pPr>
              <w:spacing w:after="0" w:line="260"/>
              <w:jc w:val="left"/>
            </w:pPr>
            <w:r>
              <w:rPr>
                <w:b w:val="false"/>
                <w:bCs w:val="false"/>
                <w:color w:val="1F2937"/>
                <w:sz w:val="18"/>
                <w:szCs w:val="18"/>
              </w:rPr>
              <w:t xml:space="preserve">확정</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절대값이 v6 과 다릅니다 — 규약을 함께 적어야 합니다</w:t>
            </w:r>
          </w:p>
        </w:tc>
      </w:tr>
      <w:tr>
        <w:trPr>
          <w:tblHeader w:val="false"/>
        </w:trPr>
        <w:tc>
          <w:tcPr>
            <w:tcW w:type="dxa" w:w="3000"/>
            <w:tcMar>
              <w:top w:type="dxa" w:w="70"/>
              <w:left w:type="dxa" w:w="110"/>
              <w:bottom w:type="dxa" w:w="70"/>
              <w:right w:type="dxa" w:w="110"/>
            </w:tcMar>
          </w:tcPr>
          <w:p>
            <w:pPr>
              <w:spacing w:after="0" w:line="260"/>
            </w:pPr>
            <w:r>
              <w:rPr>
                <w:b w:val="false"/>
                <w:bCs w:val="false"/>
                <w:color w:val="1F2937"/>
                <w:sz w:val="18"/>
                <w:szCs w:val="18"/>
              </w:rPr>
              <w:t xml:space="preserve">σ_ion</w:t>
            </w:r>
          </w:p>
        </w:tc>
        <w:tc>
          <w:tcPr>
            <w:tcW w:type="dxa" w:w="2200"/>
            <w:tcMar>
              <w:top w:type="dxa" w:w="70"/>
              <w:left w:type="dxa" w:w="110"/>
              <w:bottom w:type="dxa" w:w="70"/>
              <w:right w:type="dxa" w:w="110"/>
            </w:tcMar>
          </w:tcPr>
          <w:p>
            <w:pPr>
              <w:spacing w:after="0" w:line="260"/>
              <w:jc w:val="left"/>
            </w:pPr>
            <w:r>
              <w:rPr>
                <w:b w:val="false"/>
                <w:bCs w:val="false"/>
                <w:color w:val="1F2937"/>
                <w:sz w:val="18"/>
                <w:szCs w:val="18"/>
              </w:rPr>
              <w:t xml:space="preserve">공란</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값이 나왔으나 입력 규약 문제로 사용할 수 없습니다</w:t>
            </w:r>
          </w:p>
        </w:tc>
      </w:tr>
      <w:tr>
        <w:trPr>
          <w:tblHeader w:val="false"/>
        </w:trPr>
        <w:tc>
          <w:tcPr>
            <w:tcW w:type="dxa" w:w="3000"/>
            <w:tcMar>
              <w:top w:type="dxa" w:w="70"/>
              <w:left w:type="dxa" w:w="110"/>
              <w:bottom w:type="dxa" w:w="70"/>
              <w:right w:type="dxa" w:w="110"/>
            </w:tcMar>
          </w:tcPr>
          <w:p>
            <w:pPr>
              <w:spacing w:after="0" w:line="260"/>
            </w:pPr>
            <w:r>
              <w:rPr>
                <w:b w:val="false"/>
                <w:bCs w:val="false"/>
                <w:color w:val="1F2937"/>
                <w:sz w:val="18"/>
                <w:szCs w:val="18"/>
              </w:rPr>
              <w:t xml:space="preserve">Areal capacity</w:t>
            </w:r>
          </w:p>
        </w:tc>
        <w:tc>
          <w:tcPr>
            <w:tcW w:type="dxa" w:w="2200"/>
            <w:tcMar>
              <w:top w:type="dxa" w:w="70"/>
              <w:left w:type="dxa" w:w="110"/>
              <w:bottom w:type="dxa" w:w="70"/>
              <w:right w:type="dxa" w:w="110"/>
            </w:tcMar>
          </w:tcPr>
          <w:p>
            <w:pPr>
              <w:spacing w:after="0" w:line="260"/>
              <w:jc w:val="left"/>
            </w:pPr>
            <w:r>
              <w:rPr>
                <w:b w:val="false"/>
                <w:bCs w:val="false"/>
                <w:color w:val="1F2937"/>
                <w:sz w:val="18"/>
                <w:szCs w:val="18"/>
              </w:rPr>
              <w:t xml:space="preserve">공란</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비용량(mAh g⁻¹) 회신이 필요합니다</w:t>
            </w:r>
          </w:p>
        </w:tc>
      </w:tr>
      <w:tr>
        <w:trPr>
          <w:tblHeader w:val="false"/>
        </w:trPr>
        <w:tc>
          <w:tcPr>
            <w:tcW w:type="dxa" w:w="3000"/>
            <w:tcMar>
              <w:top w:type="dxa" w:w="70"/>
              <w:left w:type="dxa" w:w="110"/>
              <w:bottom w:type="dxa" w:w="70"/>
              <w:right w:type="dxa" w:w="110"/>
            </w:tcMar>
          </w:tcPr>
          <w:p>
            <w:pPr>
              <w:spacing w:after="0" w:line="260"/>
            </w:pPr>
            <w:r>
              <w:rPr>
                <w:b w:val="false"/>
                <w:bCs w:val="false"/>
                <w:color w:val="1F2937"/>
                <w:sz w:val="18"/>
                <w:szCs w:val="18"/>
              </w:rPr>
              <w:t xml:space="preserve">Figure 4(b)</w:t>
            </w:r>
          </w:p>
        </w:tc>
        <w:tc>
          <w:tcPr>
            <w:tcW w:type="dxa" w:w="2200"/>
            <w:tcMar>
              <w:top w:type="dxa" w:w="70"/>
              <w:left w:type="dxa" w:w="110"/>
              <w:bottom w:type="dxa" w:w="70"/>
              <w:right w:type="dxa" w:w="110"/>
            </w:tcMar>
          </w:tcPr>
          <w:p>
            <w:pPr>
              <w:spacing w:after="0" w:line="260"/>
              <w:jc w:val="left"/>
            </w:pPr>
            <w:r>
              <w:rPr>
                <w:b w:val="false"/>
                <w:bCs w:val="false"/>
                <w:color w:val="1F2937"/>
                <w:sz w:val="18"/>
                <w:szCs w:val="18"/>
              </w:rPr>
              <w:t xml:space="preserve">확정</w:t>
            </w:r>
          </w:p>
        </w:tc>
        <w:tc>
          <w:tcPr>
            <w:tcW w:type="dxa" w:w="3800"/>
            <w:tcMar>
              <w:top w:type="dxa" w:w="70"/>
              <w:left w:type="dxa" w:w="110"/>
              <w:bottom w:type="dxa" w:w="70"/>
              <w:right w:type="dxa" w:w="110"/>
            </w:tcMar>
          </w:tcPr>
          <w:p>
            <w:pPr>
              <w:spacing w:after="0" w:line="260"/>
              <w:jc w:val="left"/>
            </w:pPr>
            <w:r>
              <w:rPr>
                <w:b w:val="false"/>
                <w:bCs w:val="false"/>
                <w:color w:val="1F2937"/>
                <w:sz w:val="18"/>
                <w:szCs w:val="18"/>
              </w:rPr>
              <w:t xml:space="preserve">두 규약 병기로 재작도되었습니다</w:t>
            </w:r>
          </w:p>
        </w:tc>
      </w:tr>
    </w:tbl>
    <w:p>
      <w:pPr>
        <w:pStyle w:val="Heading1"/>
        <w:spacing w:after="160" w:before="320"/>
      </w:pPr>
      <w:r>
        <w:rPr>
          <w:b/>
          <w:bCs/>
          <w:color w:val="1F2937"/>
          <w:sz w:val="28"/>
          <w:szCs w:val="28"/>
        </w:rPr>
        <w:t xml:space="preserve">9. 일정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00"/>
      </w:tblGrid>
      <w:tr>
        <w:trPr>
          <w:tblHeader/>
        </w:trPr>
        <w:tc>
          <w:tcPr>
            <w:tcW w:type="dxa" w:w="3400"/>
            <w:shd w:fill="EEF2FF" w:color="auto" w:val="clear"/>
            <w:tcMar>
              <w:top w:type="dxa" w:w="70"/>
              <w:left w:type="dxa" w:w="110"/>
              <w:bottom w:type="dxa" w:w="70"/>
              <w:right w:type="dxa" w:w="110"/>
            </w:tcMar>
          </w:tcPr>
          <w:p>
            <w:pPr>
              <w:spacing w:after="0" w:line="260"/>
            </w:pPr>
            <w:r>
              <w:rPr>
                <w:b/>
                <w:bCs/>
                <w:color w:val="1F2937"/>
                <w:sz w:val="18"/>
                <w:szCs w:val="18"/>
              </w:rPr>
              <w:t xml:space="preserve">단계</w:t>
            </w:r>
          </w:p>
        </w:tc>
        <w:tc>
          <w:tcPr>
            <w:tcW w:type="dxa" w:w="2400"/>
            <w:shd w:fill="EEF2FF" w:color="auto" w:val="clear"/>
            <w:tcMar>
              <w:top w:type="dxa" w:w="70"/>
              <w:left w:type="dxa" w:w="110"/>
              <w:bottom w:type="dxa" w:w="70"/>
              <w:right w:type="dxa" w:w="110"/>
            </w:tcMar>
          </w:tcPr>
          <w:p>
            <w:pPr>
              <w:spacing w:after="0" w:line="260"/>
            </w:pPr>
            <w:r>
              <w:rPr>
                <w:b/>
                <w:bCs/>
                <w:color w:val="1F2937"/>
                <w:sz w:val="18"/>
                <w:szCs w:val="18"/>
              </w:rPr>
              <w:t xml:space="preserve">소요</w:t>
            </w:r>
          </w:p>
        </w:tc>
        <w:tc>
          <w:tcPr>
            <w:tcW w:type="dxa" w:w="3200"/>
            <w:shd w:fill="EEF2FF" w:color="auto" w:val="clear"/>
            <w:tcMar>
              <w:top w:type="dxa" w:w="70"/>
              <w:left w:type="dxa" w:w="110"/>
              <w:bottom w:type="dxa" w:w="70"/>
              <w:right w:type="dxa" w:w="110"/>
            </w:tcMar>
          </w:tcPr>
          <w:p>
            <w:pPr>
              <w:spacing w:after="0" w:line="260"/>
            </w:pPr>
            <w:r>
              <w:rPr>
                <w:b/>
                <w:bCs/>
                <w:color w:val="1F2937"/>
                <w:sz w:val="18"/>
                <w:szCs w:val="18"/>
              </w:rPr>
              <w:t xml:space="preserve">비고</w:t>
            </w:r>
          </w:p>
        </w:tc>
      </w:tr>
      <w:tr>
        <w:trPr>
          <w:tblHeader w:val="false"/>
        </w:trPr>
        <w:tc>
          <w:tcPr>
            <w:tcW w:type="dxa" w:w="3400"/>
            <w:tcMar>
              <w:top w:type="dxa" w:w="70"/>
              <w:left w:type="dxa" w:w="110"/>
              <w:bottom w:type="dxa" w:w="70"/>
              <w:right w:type="dxa" w:w="110"/>
            </w:tcMar>
          </w:tcPr>
          <w:p>
            <w:pPr>
              <w:spacing w:after="0" w:line="260"/>
            </w:pPr>
            <w:r>
              <w:rPr>
                <w:b w:val="false"/>
                <w:bCs w:val="false"/>
                <w:color w:val="1F2937"/>
                <w:sz w:val="18"/>
                <w:szCs w:val="18"/>
              </w:rPr>
              <w:t xml:space="preserve">계산 제출 준비</w:t>
            </w:r>
          </w:p>
        </w:tc>
        <w:tc>
          <w:tcPr>
            <w:tcW w:type="dxa" w:w="2400"/>
            <w:tcMar>
              <w:top w:type="dxa" w:w="70"/>
              <w:left w:type="dxa" w:w="110"/>
              <w:bottom w:type="dxa" w:w="70"/>
              <w:right w:type="dxa" w:w="110"/>
            </w:tcMar>
          </w:tcPr>
          <w:p>
            <w:pPr>
              <w:spacing w:after="0" w:line="260"/>
              <w:jc w:val="left"/>
            </w:pPr>
            <w:r>
              <w:rPr>
                <w:b w:val="false"/>
                <w:bCs w:val="false"/>
                <w:color w:val="1F2937"/>
                <w:sz w:val="18"/>
                <w:szCs w:val="18"/>
              </w:rPr>
              <w:t xml:space="preserve">진행 중</w:t>
            </w:r>
          </w:p>
        </w:tc>
        <w:tc>
          <w:tcPr>
            <w:tcW w:type="dxa" w:w="3200"/>
            <w:tcMar>
              <w:top w:type="dxa" w:w="70"/>
              <w:left w:type="dxa" w:w="110"/>
              <w:bottom w:type="dxa" w:w="70"/>
              <w:right w:type="dxa" w:w="110"/>
            </w:tcMar>
          </w:tcPr>
          <w:p>
            <w:pPr>
              <w:spacing w:after="0" w:line="260"/>
              <w:jc w:val="left"/>
            </w:pPr>
            <w:r>
              <w:rPr>
                <w:b w:val="false"/>
                <w:bCs w:val="false"/>
                <w:color w:val="1F2937"/>
                <w:sz w:val="18"/>
                <w:szCs w:val="18"/>
              </w:rPr>
              <w:t xml:space="preserve">입력 42건 · 검증 절차 정리 중</w:t>
            </w:r>
          </w:p>
        </w:tc>
      </w:tr>
      <w:tr>
        <w:trPr>
          <w:tblHeader w:val="false"/>
        </w:trPr>
        <w:tc>
          <w:tcPr>
            <w:tcW w:type="dxa" w:w="3400"/>
            <w:tcMar>
              <w:top w:type="dxa" w:w="70"/>
              <w:left w:type="dxa" w:w="110"/>
              <w:bottom w:type="dxa" w:w="70"/>
              <w:right w:type="dxa" w:w="110"/>
            </w:tcMar>
          </w:tcPr>
          <w:p>
            <w:pPr>
              <w:spacing w:after="0" w:line="260"/>
            </w:pPr>
            <w:r>
              <w:rPr>
                <w:b w:val="false"/>
                <w:bCs w:val="false"/>
                <w:color w:val="1F2937"/>
                <w:sz w:val="18"/>
                <w:szCs w:val="18"/>
              </w:rPr>
              <w:t xml:space="preserve">계산 실행</w:t>
            </w:r>
          </w:p>
        </w:tc>
        <w:tc>
          <w:tcPr>
            <w:tcW w:type="dxa" w:w="2400"/>
            <w:tcMar>
              <w:top w:type="dxa" w:w="70"/>
              <w:left w:type="dxa" w:w="110"/>
              <w:bottom w:type="dxa" w:w="70"/>
              <w:right w:type="dxa" w:w="110"/>
            </w:tcMar>
          </w:tcPr>
          <w:p>
            <w:pPr>
              <w:spacing w:after="0" w:line="260"/>
              <w:jc w:val="left"/>
            </w:pPr>
            <w:r>
              <w:rPr>
                <w:b w:val="false"/>
                <w:bCs w:val="false"/>
                <w:color w:val="1F2937"/>
                <w:sz w:val="18"/>
                <w:szCs w:val="18"/>
              </w:rPr>
              <w:t xml:space="preserve">약 3–4일</w:t>
            </w:r>
          </w:p>
        </w:tc>
        <w:tc>
          <w:tcPr>
            <w:tcW w:type="dxa" w:w="3200"/>
            <w:tcMar>
              <w:top w:type="dxa" w:w="70"/>
              <w:left w:type="dxa" w:w="110"/>
              <w:bottom w:type="dxa" w:w="70"/>
              <w:right w:type="dxa" w:w="110"/>
            </w:tcMar>
          </w:tcPr>
          <w:p>
            <w:pPr>
              <w:spacing w:after="0" w:line="260"/>
              <w:jc w:val="left"/>
            </w:pPr>
            <w:r>
              <w:rPr>
                <w:b w:val="false"/>
                <w:bCs w:val="false"/>
                <w:color w:val="1F2937"/>
                <w:sz w:val="18"/>
                <w:szCs w:val="18"/>
              </w:rPr>
              <w:t xml:space="preserve">동시 실행 10건 이상이면 3일, 8건이면 4일에 가깝습니다</w:t>
            </w:r>
          </w:p>
        </w:tc>
      </w:tr>
      <w:tr>
        <w:trPr>
          <w:tblHeader w:val="false"/>
        </w:trPr>
        <w:tc>
          <w:tcPr>
            <w:tcW w:type="dxa" w:w="3400"/>
            <w:tcMar>
              <w:top w:type="dxa" w:w="70"/>
              <w:left w:type="dxa" w:w="110"/>
              <w:bottom w:type="dxa" w:w="70"/>
              <w:right w:type="dxa" w:w="110"/>
            </w:tcMar>
          </w:tcPr>
          <w:p>
            <w:pPr>
              <w:spacing w:after="0" w:line="260"/>
            </w:pPr>
            <w:r>
              <w:rPr>
                <w:b w:val="false"/>
                <w:bCs w:val="false"/>
                <w:color w:val="1F2937"/>
                <w:sz w:val="18"/>
                <w:szCs w:val="18"/>
              </w:rPr>
              <w:t xml:space="preserve">결과 회수 · 판독</w:t>
            </w:r>
          </w:p>
        </w:tc>
        <w:tc>
          <w:tcPr>
            <w:tcW w:type="dxa" w:w="2400"/>
            <w:tcMar>
              <w:top w:type="dxa" w:w="70"/>
              <w:left w:type="dxa" w:w="110"/>
              <w:bottom w:type="dxa" w:w="70"/>
              <w:right w:type="dxa" w:w="110"/>
            </w:tcMar>
          </w:tcPr>
          <w:p>
            <w:pPr>
              <w:spacing w:after="0" w:line="260"/>
              <w:jc w:val="left"/>
            </w:pPr>
            <w:r>
              <w:rPr>
                <w:b w:val="false"/>
                <w:bCs w:val="false"/>
                <w:color w:val="1F2937"/>
                <w:sz w:val="18"/>
                <w:szCs w:val="18"/>
              </w:rPr>
              <w:t xml:space="preserve">1일</w:t>
            </w:r>
          </w:p>
        </w:tc>
        <w:tc>
          <w:tcPr>
            <w:tcW w:type="dxa" w:w="3200"/>
            <w:tcMar>
              <w:top w:type="dxa" w:w="70"/>
              <w:left w:type="dxa" w:w="110"/>
              <w:bottom w:type="dxa" w:w="70"/>
              <w:right w:type="dxa" w:w="110"/>
            </w:tcMar>
          </w:tcPr>
          <w:p>
            <w:pPr>
              <w:spacing w:after="0" w:line="260"/>
              <w:jc w:val="left"/>
            </w:pPr>
            <w:r>
              <w:rPr>
                <w:b w:val="false"/>
                <w:bCs w:val="false"/>
                <w:color w:val="1F2937"/>
                <w:sz w:val="18"/>
                <w:szCs w:val="18"/>
              </w:rPr>
              <w:t xml:space="preserve">그 뒤 [ A ] 한 자리를 채우면 §5 가 완성됩니다</w:t>
            </w:r>
          </w:p>
        </w:tc>
      </w:tr>
    </w:tbl>
    <w:p>
      <w:pPr>
        <w:spacing w:after="120" w:line="276"/>
      </w:pPr>
      <w:r>
        <w:rPr>
          <w:b/>
          <w:bCs/>
          <w:color w:val="1F2937"/>
          <w:sz w:val="20"/>
          <w:szCs w:val="20"/>
        </w:rPr>
        <w:t xml:space="preserve">⚠ 이 문서의 다른 모든 문장은 계산 결과와 무관하게 지금 확정입니다. 기다리는 것은 §5 의 대괄호 한 자리뿐입니다.</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2026-08-30T06:38:44.324Z</dcterms:created>
  <dcterms:modified xsi:type="dcterms:W3CDTF">2026-08-30T06:38:44.324Z</dcterms:modified>
</cp:coreProperties>
</file>

<file path=docProps/custom.xml><?xml version="1.0" encoding="utf-8"?>
<Properties xmlns="http://schemas.openxmlformats.org/officeDocument/2006/custom-properties" xmlns:vt="http://schemas.openxmlformats.org/officeDocument/2006/docPropsVTypes"/>
</file>