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Computational details</w:t>
      </w:r>
    </w:p>
    <w:p>
      <w:pPr>
        <w:spacing w:after="0" w:line="480" w:lineRule="auto"/>
        <w:ind w:firstLineChars="150" w:firstLine="360"/>
        <w:jc w:val="both"/>
      </w:pPr>
      <w:r>
        <w:t xml:space="preserve">DFT calculations were performed with Quantum ESPRESSO [1–3] using the Perdew–Burke–Ernzerhof (PBE) generalized gradient approximation (GGA) [4]. Kinetic energy cutoffs of 60 and 480 Ry were used for the wavefunctions and charge density, respectively, the Brillouin zone was sampled with Γ-centered Monkhorst–Pack </w:t>
      </w:r>
      <w:r>
        <w:rPr>
          <w:i/>
          <w:iCs/>
        </w:rPr>
        <w:t xml:space="preserve">k</w:t>
      </w:r>
      <w:r>
        <w:t xml:space="preserve">-point grids [5], and self-consistent calculations were converged to 10</w:t>
      </w:r>
      <w:r>
        <w:rPr>
          <w:vertAlign w:val="superscript"/>
        </w:rPr>
        <w:t xml:space="preserve">−8</w:t>
      </w:r>
      <w:r>
        <w:t xml:space="preserve"> Ry.</w:t>
      </w:r>
    </w:p>
    <w:p>
      <w:pPr>
        <w:spacing w:after="0" w:line="480" w:lineRule="auto"/>
        <w:ind w:firstLineChars="150" w:firstLine="360"/>
        <w:jc w:val="both"/>
      </w:pPr>
      <w:r>
        <w:t xml:space="preserve">Li migration barriers were calculated with the climbing-image nudged elastic band (CI-NEB) method [6] for a Li vacancy hopping between nearest-neighbor 8</w:t>
      </w:r>
      <w:r>
        <w:rPr>
          <w:i/>
          <w:iCs/>
        </w:rPr>
        <w:t xml:space="preserve">c</w:t>
      </w:r>
      <w:r>
        <w:t xml:space="preserve"> sites. Antifluorite Li</w:t>
      </w:r>
      <w:r>
        <w:rPr>
          <w:vertAlign w:val="subscript"/>
        </w:rPr>
        <w:t xml:space="preserve">2</w:t>
      </w:r>
      <w:r>
        <w:t xml:space="preserve">S (</w:t>
      </w:r>
      <w:r>
        <w:rPr>
          <w:i/>
          <w:iCs/>
        </w:rPr>
        <w:t xml:space="preserve">Fm</w:t>
      </w:r>
      <w:r>
        <w:t xml:space="preserve">3̅</w:t>
      </w:r>
      <w:r>
        <w:rPr>
          <w:i/>
          <w:iCs/>
        </w:rPr>
        <w:t xml:space="preserve">m</w:t>
      </w:r>
      <w:r>
        <w:t xml:space="preserve">; mp-1153 in the Materials Project database [7]) and an ordered BiF</w:t>
      </w:r>
      <w:r>
        <w:rPr>
          <w:vertAlign w:val="subscript"/>
        </w:rPr>
        <w:t xml:space="preserve">3</w:t>
      </w:r>
      <w:r>
        <w:t xml:space="preserve">-type Li</w:t>
      </w:r>
      <w:r>
        <w:rPr>
          <w:vertAlign w:val="subscript"/>
        </w:rPr>
        <w:t xml:space="preserve">3</w:t>
      </w:r>
      <w:r>
        <w:t xml:space="preserve">Nd model (</w:t>
      </w:r>
      <w:r>
        <w:rPr>
          <w:i/>
          <w:iCs/>
        </w:rPr>
        <w:t xml:space="preserve">Fm</w:t>
      </w:r>
      <w:r>
        <w:t xml:space="preserve">3̅</w:t>
      </w:r>
      <w:r>
        <w:rPr>
          <w:i/>
          <w:iCs/>
        </w:rPr>
        <w:t xml:space="preserve">m</w:t>
      </w:r>
      <w:r>
        <w:t xml:space="preserve">; mp-976264, a hypothetical phase above the convex hull) were first relaxed with variable cell. Ultrasoft GBRV pseudopotentials were used for Li and S [8], and a projector augmented-wave (PAW) dataset from PSlibrary with the Nd 4</w:t>
      </w:r>
      <w:r>
        <w:rPr>
          <w:i/>
          <w:iCs/>
        </w:rPr>
        <w:t xml:space="preserve">f</w:t>
      </w:r>
      <w:r>
        <w:t xml:space="preserve"> electrons frozen in the core was used for Nd [9]. The vacancies were placed in 3 × 3 × 3 (Li</w:t>
      </w:r>
      <w:r>
        <w:rPr>
          <w:vertAlign w:val="subscript"/>
        </w:rPr>
        <w:t xml:space="preserve">2</w:t>
      </w:r>
      <w:r>
        <w:t xml:space="preserve">S, 80 atoms) and 2 × 2 × 2 (Li</w:t>
      </w:r>
      <w:r>
        <w:rPr>
          <w:vertAlign w:val="subscript"/>
        </w:rPr>
        <w:t xml:space="preserve">3</w:t>
      </w:r>
      <w:r>
        <w:t xml:space="preserve">Nd, 31 atoms) supercells of the primitive cells, sampled with a 3 × 3 × 3 </w:t>
      </w:r>
      <w:r>
        <w:rPr>
          <w:i/>
          <w:iCs/>
        </w:rPr>
        <w:t xml:space="preserve">k</w:t>
      </w:r>
      <w:r>
        <w:t xml:space="preserve">-point grid. The vacancy in the insulating Li</w:t>
      </w:r>
      <w:r>
        <w:rPr>
          <w:vertAlign w:val="subscript"/>
        </w:rPr>
        <w:t xml:space="preserve">2</w:t>
      </w:r>
      <w:r>
        <w:t xml:space="preserve">S was modeled in the negatively charged state (V</w:t>
      </w:r>
      <w:r>
        <w:rPr>
          <w:vertAlign w:val="subscript"/>
        </w:rPr>
        <w:t xml:space="preserve">Li</w:t>
      </w:r>
      <w:r>
        <w:rPr>
          <w:vertAlign w:val="superscript"/>
        </w:rPr>
        <w:t xml:space="preserve">−</w:t>
      </w:r>
      <w:r>
        <w:t xml:space="preserve">) with a uniform compensating background charge and Gaussian smearing of 0.005 Ry, whereas that in the metallic Li</w:t>
      </w:r>
      <w:r>
        <w:rPr>
          <w:vertAlign w:val="subscript"/>
        </w:rPr>
        <w:t xml:space="preserve">3</w:t>
      </w:r>
      <w:r>
        <w:t xml:space="preserve">Nd was modeled as neutral with Marzari–Vanderbilt smearing [10] of 0.02 Ry.</w:t>
      </w:r>
    </w:p>
    <w:p>
      <w:pPr>
        <w:spacing w:after="0" w:line="480" w:lineRule="auto"/>
        <w:ind w:firstLineChars="150" w:firstLine="360"/>
        <w:jc w:val="both"/>
      </w:pPr>
      <w:r>
        <w:t xml:space="preserve">The two vacancy endpoints were relaxed at fixed cell until all force components were below 10</w:t>
      </w:r>
      <w:r>
        <w:rPr>
          <w:vertAlign w:val="superscript"/>
        </w:rPr>
        <w:t xml:space="preserve">−3</w:t>
      </w:r>
      <w:r>
        <w:t xml:space="preserve"> Ry bohr</w:t>
      </w:r>
      <w:r>
        <w:rPr>
          <w:vertAlign w:val="superscript"/>
        </w:rPr>
        <w:t xml:space="preserve">−1</w:t>
      </w:r>
      <w:r>
        <w:t xml:space="preserve">, and the minimum-energy path, represented by seven images including the two endpoints, was optimized until the force perpendicular to the path fell below 0.05 eV Å</w:t>
      </w:r>
      <w:r>
        <w:rPr>
          <w:vertAlign w:val="superscript"/>
        </w:rPr>
        <w:t xml:space="preserve">−1</w:t>
      </w:r>
      <w:r>
        <w:t xml:space="preserve">. For Li</w:t>
      </w:r>
      <w:r>
        <w:rPr>
          <w:vertAlign w:val="subscript"/>
        </w:rPr>
        <w:t xml:space="preserve">3</w:t>
      </w:r>
      <w:r>
        <w:t xml:space="preserve">Nd, both vacancy endpoints reconstructed substantially on relaxation from the ideal lattice, so the barrier refers to this locally reconstructed 2 × 2 × 2 model. A check with a 3 × 3 × 3 supercell was attempted, but its vacancy endpoints also reconstructed substantially and the CI-NEB between them did not converge; the Li</w:t>
      </w:r>
      <w:r>
        <w:rPr>
          <w:vertAlign w:val="subscript"/>
        </w:rPr>
        <w:t xml:space="preserve">3</w:t>
      </w:r>
      <w:r>
        <w:t xml:space="preserve">Nd barrier is therefore not converged with respect to cell size.</w:t>
      </w:r>
    </w:p>
    <w:p>
      <w:pPr>
        <w:spacing w:after="0" w:line="480" w:lineRule="auto"/>
        <w:ind w:firstLineChars="150" w:firstLine="360"/>
        <w:jc w:val="both"/>
      </w:pPr>
      <w:r>
        <w:t xml:space="preserve">The band gaps of the interphase components in Fig. 3h were calculated for Li</w:t>
      </w:r>
      <w:r>
        <w:rPr>
          <w:vertAlign w:val="subscript"/>
        </w:rPr>
        <w:t xml:space="preserve">2</w:t>
      </w:r>
      <w:r>
        <w:t xml:space="preserve">S (mp-1153, </w:t>
      </w:r>
      <w:r>
        <w:rPr>
          <w:i/>
          <w:iCs/>
        </w:rPr>
        <w:t xml:space="preserve">Fm</w:t>
      </w:r>
      <w:r>
        <w:t xml:space="preserve">3̅</w:t>
      </w:r>
      <w:r>
        <w:rPr>
          <w:i/>
          <w:iCs/>
        </w:rPr>
        <w:t xml:space="preserve">m</w:t>
      </w:r>
      <w:r>
        <w:t xml:space="preserve">), Li</w:t>
      </w:r>
      <w:r>
        <w:rPr>
          <w:vertAlign w:val="subscript"/>
        </w:rPr>
        <w:t xml:space="preserve">3</w:t>
      </w:r>
      <w:r>
        <w:t xml:space="preserve">P (mp-736, </w:t>
      </w:r>
      <w:r>
        <w:rPr>
          <w:i/>
          <w:iCs/>
        </w:rPr>
        <w:t xml:space="preserve">P</w:t>
      </w:r>
      <w:r>
        <w:t xml:space="preserve">6</w:t>
      </w:r>
      <w:r>
        <w:rPr>
          <w:vertAlign w:val="subscript"/>
        </w:rPr>
        <w:t xml:space="preserve">3</w:t>
      </w:r>
      <w:r>
        <w:t xml:space="preserve">/</w:t>
      </w:r>
      <w:r>
        <w:rPr>
          <w:i/>
          <w:iCs/>
        </w:rPr>
        <w:t xml:space="preserve">mmc</w:t>
      </w:r>
      <w:r>
        <w:t xml:space="preserve">), Li</w:t>
      </w:r>
      <w:r>
        <w:rPr>
          <w:vertAlign w:val="subscript"/>
        </w:rPr>
        <w:t xml:space="preserve">2</w:t>
      </w:r>
      <w:r>
        <w:t xml:space="preserve">O (mp-1960, </w:t>
      </w:r>
      <w:r>
        <w:rPr>
          <w:i/>
          <w:iCs/>
        </w:rPr>
        <w:t xml:space="preserve">Fm</w:t>
      </w:r>
      <w:r>
        <w:t xml:space="preserve">3̅</w:t>
      </w:r>
      <w:r>
        <w:rPr>
          <w:i/>
          <w:iCs/>
        </w:rPr>
        <w:t xml:space="preserve">m</w:t>
      </w:r>
      <w:r>
        <w:t xml:space="preserve">), β-Li</w:t>
      </w:r>
      <w:r>
        <w:rPr>
          <w:vertAlign w:val="subscript"/>
        </w:rPr>
        <w:t xml:space="preserve">3</w:t>
      </w:r>
      <w:r>
        <w:t xml:space="preserve">PO</w:t>
      </w:r>
      <w:r>
        <w:rPr>
          <w:vertAlign w:val="subscript"/>
        </w:rPr>
        <w:t xml:space="preserve">4</w:t>
      </w:r>
      <w:r>
        <w:t xml:space="preserve"> (mp-13725, </w:t>
      </w:r>
      <w:r>
        <w:rPr>
          <w:i/>
          <w:iCs/>
        </w:rPr>
        <w:t xml:space="preserve">Pmn</w:t>
      </w:r>
      <w:r>
        <w:t xml:space="preserve">2</w:t>
      </w:r>
      <w:r>
        <w:rPr>
          <w:vertAlign w:val="subscript"/>
        </w:rPr>
        <w:t xml:space="preserve">1</w:t>
      </w:r>
      <w:r>
        <w:t xml:space="preserve">), and rock-salt LiCl (mp-22905, </w:t>
      </w:r>
      <w:r>
        <w:rPr>
          <w:i/>
          <w:iCs/>
        </w:rPr>
        <w:t xml:space="preserve">Fm</w:t>
      </w:r>
      <w:r>
        <w:t xml:space="preserve">3̅</w:t>
      </w:r>
      <w:r>
        <w:rPr>
          <w:i/>
          <w:iCs/>
        </w:rPr>
        <w:t xml:space="preserve">m</w:t>
      </w:r>
      <w:r>
        <w:t xml:space="preserve">), starting from the Materials Project structures [7]. Ultrasoft GBRV pseudopotentials were used for Li, S, and Cl [8], and PSlibrary datasets for P (ultrasoft) and O (PAW) [9]. The structures were fully relaxed with Marzari–Vanderbilt smearing [10] of 0.01 Ry and a </w:t>
      </w:r>
      <w:r>
        <w:rPr>
          <w:i/>
          <w:iCs/>
        </w:rPr>
        <w:t xml:space="preserve">k</w:t>
      </w:r>
      <w:r>
        <w:t xml:space="preserve">-point spacing of 0.30 Å</w:t>
      </w:r>
      <w:r>
        <w:rPr>
          <w:vertAlign w:val="superscript"/>
        </w:rPr>
        <w:t xml:space="preserve">−1</w:t>
      </w:r>
      <w:r>
        <w:t xml:space="preserve">, and the band gap was obtained from the Kohn–Sham eigenvalues at the valence band maximum and conduction band minimum of a non-self-consistent calculation with fixed occupations on a denser </w:t>
      </w:r>
      <w:r>
        <w:rPr>
          <w:i/>
          <w:iCs/>
        </w:rPr>
        <w:t xml:space="preserve">k</w:t>
      </w:r>
      <w:r>
        <w:t xml:space="preserve">-point grid (spacing 0.15 Å</w:t>
      </w:r>
      <w:r>
        <w:rPr>
          <w:vertAlign w:val="superscript"/>
        </w:rPr>
        <w:t xml:space="preserve">−1</w:t>
      </w:r>
      <w:r>
        <w:t xml:space="preserve">).</w:t>
      </w:r>
    </w:p>
    <w:p>
      <w:pPr>
        <w:spacing w:after="0" w:line="480" w:lineRule="auto"/>
        <w:ind w:firstLineChars="150" w:firstLine="360"/>
        <w:jc w:val="both"/>
      </w:pPr>
      <w:r>
        <w:t xml:space="preserve">Interfacial reaction energies between the solid electrolytes (SEs) and NCM (LiNi</w:t>
      </w:r>
      <w:r>
        <w:rPr>
          <w:vertAlign w:val="subscript"/>
        </w:rPr>
        <w:t xml:space="preserve">0.8</w:t>
      </w:r>
      <w:r>
        <w:t xml:space="preserve">Co</w:t>
      </w:r>
      <w:r>
        <w:rPr>
          <w:vertAlign w:val="subscript"/>
        </w:rPr>
        <w:t xml:space="preserve">0.1</w:t>
      </w:r>
      <w:r>
        <w:t xml:space="preserve">Mn</w:t>
      </w:r>
      <w:r>
        <w:rPr>
          <w:vertAlign w:val="subscript"/>
        </w:rPr>
        <w:t xml:space="preserve">0.1</w:t>
      </w:r>
      <w:r>
        <w:t xml:space="preserve">O</w:t>
      </w:r>
      <w:r>
        <w:rPr>
          <w:vertAlign w:val="subscript"/>
        </w:rPr>
        <w:t xml:space="preserve">2</w:t>
      </w:r>
      <w:r>
        <w:t xml:space="preserve">) were calculated following the approach of Richards et al. [11], as implemented in pymatgen [12], using Materials Project energies [7] in the mixed GGA/GGA+</w:t>
      </w:r>
      <w:r>
        <w:rPr>
          <w:i/>
          <w:iCs/>
        </w:rPr>
        <w:t xml:space="preserve">U</w:t>
      </w:r>
      <w:r>
        <w:t xml:space="preserve"> scheme [13]. LPSCl</w:t>
      </w:r>
      <w:r>
        <w:rPr>
          <w:vertAlign w:val="subscript"/>
        </w:rPr>
        <w:t xml:space="preserve">1.6</w:t>
      </w:r>
      <w:r>
        <w:t xml:space="preserv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NdO-LPSCl</w:t>
      </w:r>
      <w:r>
        <w:rPr>
          <w:vertAlign w:val="subscript"/>
        </w:rPr>
        <w:t xml:space="preserve">1.6</w:t>
      </w:r>
      <w:r>
        <w:t xml:space="preserve"> (Li</w:t>
      </w:r>
      <w:r>
        <w:rPr>
          <w:vertAlign w:val="subscript"/>
        </w:rPr>
        <w:t xml:space="preserve">5.44</w:t>
      </w:r>
      <w:r>
        <w:t xml:space="preserve">Nd</w:t>
      </w:r>
      <w:r>
        <w:rPr>
          <w:vertAlign w:val="subscript"/>
        </w:rPr>
        <w:t xml:space="preserve">0.02</w:t>
      </w:r>
      <w:r>
        <w:t xml:space="preserve">P</w:t>
      </w:r>
      <w:r>
        <w:rPr>
          <w:vertAlign w:val="subscript"/>
        </w:rPr>
        <w:t xml:space="preserve">0.98</w:t>
      </w:r>
      <w:r>
        <w:t xml:space="preserve">S</w:t>
      </w:r>
      <w:r>
        <w:rPr>
          <w:vertAlign w:val="subscript"/>
        </w:rPr>
        <w:t xml:space="preserve">4.37</w:t>
      </w:r>
      <w:r>
        <w:t xml:space="preserve">O</w:t>
      </w:r>
      <w:r>
        <w:rPr>
          <w:vertAlign w:val="subscript"/>
        </w:rPr>
        <w:t xml:space="preserve">0.03</w:t>
      </w:r>
      <w:r>
        <w:t xml:space="preserve">Cl</w:t>
      </w:r>
      <w:r>
        <w:rPr>
          <w:vertAlign w:val="subscript"/>
        </w:rPr>
        <w:t xml:space="preserve">1.6</w:t>
      </w:r>
      <w:r>
        <w:t xml:space="preserve">), and NCM were represented by the convex-hull energies at their compositions. The interface was treated as open to Li, with the Li chemical potential set by the applied voltage </w:t>
      </w:r>
      <w:r>
        <w:rPr>
          <w:i/>
          <w:iCs/>
        </w:rPr>
        <w:t xml:space="preserve">φ</w:t>
      </w:r>
      <w:r>
        <w:t xml:space="preserve"> (vs. Li/Li</w:t>
      </w:r>
      <w:r>
        <w:rPr>
          <w:vertAlign w:val="superscript"/>
        </w:rPr>
        <w:t xml:space="preserve">+</w:t>
      </w:r>
      <w:r>
        <w:t xml:space="preserve">) through Eq. (S1) [14], where </w:t>
      </w:r>
      <w:r>
        <w:rPr>
          <w:i/>
          <w:iCs/>
        </w:rPr>
        <w:t xml:space="preserve">μ</w:t>
      </w:r>
      <w:r>
        <w:rPr>
          <w:vertAlign w:val="subscript"/>
        </w:rPr>
        <w:t xml:space="preserve">Li</w:t>
      </w:r>
      <w:r>
        <w:rPr>
          <w:vertAlign w:val="superscript"/>
        </w:rPr>
        <w:t xml:space="preserve">0</w:t>
      </w:r>
      <w:r>
        <w:t xml:space="preserve"> is the chemical potential of Li metal and </w:t>
      </w:r>
      <w:r>
        <w:rPr>
          <w:i/>
          <w:iCs/>
        </w:rPr>
        <w:t xml:space="preserve">e</w:t>
      </w:r>
      <w:r>
        <w:t xml:space="preserve"> is the elementary charge. With the grand potential of each phase defined by Eq. (S2), where </w:t>
      </w:r>
      <w:r>
        <w:rPr>
          <w:i/>
          <w:iCs/>
        </w:rPr>
        <w:t xml:space="preserve">E</w:t>
      </w:r>
      <w:r>
        <w:t xml:space="preserve"> is its energy and </w:t>
      </w:r>
      <w:r>
        <w:rPr>
          <w:i/>
          <w:iCs/>
        </w:rPr>
        <w:t xml:space="preserve">N</w:t>
      </w:r>
      <w:r>
        <w:rPr>
          <w:vertAlign w:val="subscript"/>
        </w:rPr>
        <w:t xml:space="preserve">Li</w:t>
      </w:r>
      <w:r>
        <w:t xml:space="preserve"> is its number of Li atoms, the reaction energy was obtained from Eq. (S3), where </w:t>
      </w:r>
      <w:r>
        <w:rPr>
          <w:i/>
          <w:iCs/>
        </w:rPr>
        <w:t xml:space="preserve">x</w:t>
      </w:r>
      <w:r>
        <w:t xml:space="preserve"> is the fraction of SE in the SE/NCM mixture, </w:t>
      </w:r>
      <w:r>
        <w:rPr>
          <w:i/>
          <w:iCs/>
        </w:rPr>
        <w:t xml:space="preserve">Φ</w:t>
      </w:r>
      <w:r>
        <w:rPr>
          <w:vertAlign w:val="subscript"/>
        </w:rPr>
        <w:t xml:space="preserve">eq</w:t>
      </w:r>
      <w:r>
        <w:t xml:space="preserve">(</w:t>
      </w:r>
      <w:r>
        <w:rPr>
          <w:i/>
          <w:iCs/>
        </w:rPr>
        <w:t xml:space="preserve">x</w:t>
      </w:r>
      <w:r>
        <w:t xml:space="preserve">) is the grand potential of the equilibrium phases of the mixture, and </w:t>
      </w:r>
      <w:r>
        <w:rPr>
          <w:i/>
          <w:iCs/>
        </w:rPr>
        <w:t xml:space="preserve">Φ</w:t>
      </w:r>
      <w:r>
        <w:rPr>
          <w:vertAlign w:val="subscript"/>
        </w:rPr>
        <w:t xml:space="preserve">SE</w:t>
      </w:r>
      <w:r>
        <w:t xml:space="preserve"> and </w:t>
      </w:r>
      <w:r>
        <w:rPr>
          <w:i/>
          <w:iCs/>
        </w:rPr>
        <w:t xml:space="preserve">Φ</w:t>
      </w:r>
      <w:r>
        <w:rPr>
          <w:vertAlign w:val="subscript"/>
        </w:rPr>
        <w:t xml:space="preserve">NCM</w:t>
      </w:r>
      <w:r>
        <w:t xml:space="preserve"> are those of the unreacted SE and NCM; all grand potentials were normalized per atom excluding Li. The calculations were performed at six voltages between 2.5 and 4.5 V, and the reaction products were taken from the equilibrium phases at the minimizing </w:t>
      </w:r>
      <w:r>
        <w:rPr>
          <w:i/>
          <w:iCs/>
        </w:rPr>
        <w:t xml:space="preserve">x</w:t>
      </w:r>
      <w:r>
        <w:t xml:space="preserve">.</w:t>
      </w:r>
    </w:p>
    <w:p>
      <w:pPr>
        <w:tabs>
          <w:tab w:val="center" w:pos="4513"/>
          <w:tab w:val="right" w:pos="9026"/>
        </w:tabs>
        <w:spacing w:after="0" w:line="480" w:lineRule="auto"/>
      </w:pPr>
      <w:r>
        <w:tab/>
      </w:r>
      <m:oMath>
        <m:sSub>
          <m:e>
            <m:r>
              <w:rPr>
                <w:rFonts w:ascii="Cambria Math" w:hAnsi="Cambria Math"/>
              </w:rPr>
              <m:t xml:space="preserve">μ</m:t>
            </m:r>
          </m:e>
          <m:sub>
            <m:r>
              <m:rPr>
                <m:sty m:val="p"/>
              </m:rPr>
              <w:rPr>
                <w:rFonts w:ascii="Cambria Math" w:hAnsi="Cambria Math"/>
              </w:rPr>
              <m:t xml:space="preserve">Li</m:t>
            </m:r>
          </m:sub>
        </m:sSub>
        <m:d>
          <m:e>
            <m:r>
              <w:rPr>
                <w:rFonts w:ascii="Cambria Math" w:hAnsi="Cambria Math"/>
              </w:rPr>
              <m:t xml:space="preserve">φ</m:t>
            </m:r>
          </m:e>
        </m:d>
        <m:r>
          <m:rPr>
            <m:sty m:val="p"/>
          </m:rPr>
          <w:rPr>
            <w:rFonts w:ascii="Cambria Math" w:hAnsi="Cambria Math"/>
          </w:rPr>
          <m:t xml:space="preserve">=</m:t>
        </m:r>
        <m:sSubSup>
          <m:e>
            <m:r>
              <w:rPr>
                <w:rFonts w:ascii="Cambria Math" w:hAnsi="Cambria Math"/>
              </w:rPr>
              <m:t xml:space="preserve">μ</m:t>
            </m:r>
          </m:e>
          <m:sub>
            <m:r>
              <m:rPr>
                <m:sty m:val="p"/>
              </m:rPr>
              <w:rPr>
                <w:rFonts w:ascii="Cambria Math" w:hAnsi="Cambria Math"/>
              </w:rPr>
              <m:t xml:space="preserve">Li</m:t>
            </m:r>
          </m:sub>
          <m:sup>
            <m:r>
              <m:rPr>
                <m:sty m:val="p"/>
              </m:rPr>
              <w:rPr>
                <w:rFonts w:ascii="Cambria Math" w:hAnsi="Cambria Math"/>
              </w:rPr>
              <m:t xml:space="preserve">0</m:t>
            </m:r>
          </m:sup>
        </m:sSubSup>
        <m:r>
          <m:rPr>
            <m:sty m:val="p"/>
          </m:rPr>
          <w:rPr>
            <w:rFonts w:ascii="Cambria Math" w:hAnsi="Cambria Math"/>
          </w:rPr>
          <m:t xml:space="preserve">−</m:t>
        </m:r>
        <m:r>
          <w:rPr>
            <w:rFonts w:ascii="Cambria Math" w:hAnsi="Cambria Math"/>
          </w:rPr>
          <m:t xml:space="preserve">e</m:t>
        </m:r>
        <m:r>
          <w:rPr>
            <w:rFonts w:ascii="Cambria Math" w:hAnsi="Cambria Math"/>
          </w:rPr>
          <m:t xml:space="preserve">φ</m:t>
        </m:r>
      </m:oMath>
      <w:r>
        <w:tab/>
        <w:t xml:space="preserve">(S1)</w:t>
      </w:r>
    </w:p>
    <w:p>
      <w:pPr>
        <w:tabs>
          <w:tab w:val="center" w:pos="4513"/>
          <w:tab w:val="right" w:pos="9026"/>
        </w:tabs>
        <w:spacing w:after="0" w:line="480" w:lineRule="auto"/>
      </w:pPr>
      <w:r>
        <w:tab/>
      </w:r>
      <m:oMath>
        <m:r>
          <w:rPr>
            <w:rFonts w:ascii="Cambria Math" w:hAnsi="Cambria Math"/>
          </w:rPr>
          <m:t xml:space="preserve">Φ</m:t>
        </m:r>
        <m:r>
          <m:rPr>
            <m:sty m:val="p"/>
          </m:rPr>
          <w:rPr>
            <w:rFonts w:ascii="Cambria Math" w:hAnsi="Cambria Math"/>
          </w:rPr>
          <m:t xml:space="preserve">=</m:t>
        </m:r>
        <m:r>
          <w:rPr>
            <w:rFonts w:ascii="Cambria Math" w:hAnsi="Cambria Math"/>
          </w:rPr>
          <m:t xml:space="preserve">E</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Li</m:t>
            </m:r>
          </m:sub>
        </m:sSub>
        <m:sSub>
          <m:e>
            <m:r>
              <w:rPr>
                <w:rFonts w:ascii="Cambria Math" w:hAnsi="Cambria Math"/>
              </w:rPr>
              <m:t xml:space="preserve">N</m:t>
            </m:r>
          </m:e>
          <m:sub>
            <m:r>
              <m:rPr>
                <m:sty m:val="p"/>
              </m:rPr>
              <w:rPr>
                <w:rFonts w:ascii="Cambria Math" w:hAnsi="Cambria Math"/>
              </w:rPr>
              <m:t xml:space="preserve">Li</m:t>
            </m:r>
          </m:sub>
        </m:sSub>
      </m:oMath>
      <w:r>
        <w:tab/>
        <w:t xml:space="preserve">(S2)</w:t>
      </w:r>
    </w:p>
    <w:p>
      <w:pPr>
        <w:tabs>
          <w:tab w:val="center" w:pos="4513"/>
          <w:tab w:val="right" w:pos="9026"/>
        </w:tabs>
        <w:spacing w:after="0" w:line="480" w:lineRule="auto"/>
      </w:pPr>
      <w:r>
        <w:tab/>
      </w:r>
      <m:oMath>
        <m:r>
          <m:rPr>
            <m:sty m:val="p"/>
          </m:rPr>
          <w:rPr>
            <w:rFonts w:ascii="Cambria Math" w:hAnsi="Cambria Math"/>
          </w:rPr>
          <m:t xml:space="preserve">Δ</m:t>
        </m:r>
        <m:sSub>
          <m:e>
            <m:r>
              <w:rPr>
                <w:rFonts w:ascii="Cambria Math" w:hAnsi="Cambria Math"/>
              </w:rPr>
              <m:t xml:space="preserve">E</m:t>
            </m:r>
          </m:e>
          <m:sub>
            <m:r>
              <m:rPr>
                <m:sty m:val="p"/>
              </m:rPr>
              <w:rPr>
                <w:rFonts w:ascii="Cambria Math" w:hAnsi="Cambria Math"/>
              </w:rPr>
              <m:t xml:space="preserve">rxn</m:t>
            </m:r>
          </m:sub>
        </m:sSub>
        <m:d>
          <m:e>
            <m:r>
              <w:rPr>
                <w:rFonts w:ascii="Cambria Math" w:hAnsi="Cambria Math"/>
              </w:rPr>
              <m:t xml:space="preserve">φ</m:t>
            </m:r>
          </m:e>
        </m:d>
        <m:r>
          <m:rPr>
            <m:sty m:val="p"/>
          </m:rPr>
          <w:rPr>
            <w:rFonts w:ascii="Cambria Math" w:hAnsi="Cambria Math"/>
          </w:rPr>
          <m:t xml:space="preserve">=</m:t>
        </m:r>
        <m:func>
          <m:fName>
            <m:limLow>
              <m:e>
                <m:r>
                  <m:rPr>
                    <m:sty m:val="p"/>
                  </m:rPr>
                  <w:rPr>
                    <w:rFonts w:ascii="Cambria Math" w:hAnsi="Cambria Math"/>
                  </w:rPr>
                  <m:t xml:space="preserve">min</m:t>
                </m:r>
              </m:e>
              <m:lim>
                <m:r>
                  <w:rPr>
                    <w:rFonts w:ascii="Cambria Math" w:hAnsi="Cambria Math"/>
                  </w:rPr>
                  <m:t xml:space="preserve">x</m:t>
                </m:r>
              </m:lim>
            </m:limLow>
          </m:fName>
          <m:e>
            <m:d>
              <m:dPr>
                <m:begChr m:val="["/>
                <m:endChr m:val="]"/>
              </m:dPr>
              <m:e>
                <m:sSub>
                  <m:e>
                    <m:r>
                      <w:rPr>
                        <w:rFonts w:ascii="Cambria Math" w:hAnsi="Cambria Math"/>
                      </w:rPr>
                      <m:t xml:space="preserve">Φ</m:t>
                    </m:r>
                  </m:e>
                  <m:sub>
                    <m:r>
                      <m:rPr>
                        <m:sty m:val="p"/>
                      </m:rPr>
                      <w:rPr>
                        <w:rFonts w:ascii="Cambria Math" w:hAnsi="Cambria Math"/>
                      </w:rPr>
                      <m:t xml:space="preserve">eq</m:t>
                    </m:r>
                  </m:sub>
                </m:sSub>
                <m:d>
                  <m:e>
                    <m:r>
                      <w:rPr>
                        <w:rFonts w:ascii="Cambria Math" w:hAnsi="Cambria Math"/>
                      </w:rPr>
                      <m:t xml:space="preserve">x</m:t>
                    </m:r>
                  </m:e>
                </m:d>
                <m:r>
                  <m:rPr>
                    <m:sty m:val="p"/>
                  </m:rPr>
                  <w:rPr>
                    <w:rFonts w:ascii="Cambria Math" w:hAnsi="Cambria Math"/>
                  </w:rPr>
                  <m:t xml:space="preserve">−</m:t>
                </m:r>
                <m:r>
                  <w:rPr>
                    <w:rFonts w:ascii="Cambria Math" w:hAnsi="Cambria Math"/>
                  </w:rPr>
                  <m:t xml:space="preserve">x</m:t>
                </m:r>
                <m:sSub>
                  <m:e>
                    <m:r>
                      <w:rPr>
                        <w:rFonts w:ascii="Cambria Math" w:hAnsi="Cambria Math"/>
                      </w:rPr>
                      <m:t xml:space="preserve">Φ</m:t>
                    </m:r>
                  </m:e>
                  <m:sub>
                    <m:r>
                      <m:rPr>
                        <m:sty m:val="p"/>
                      </m:rPr>
                      <w:rPr>
                        <w:rFonts w:ascii="Cambria Math" w:hAnsi="Cambria Math"/>
                      </w:rPr>
                      <m:t xml:space="preserve">SE</m:t>
                    </m:r>
                  </m:sub>
                </m:sSub>
                <m:r>
                  <m:rPr>
                    <m:sty m:val="p"/>
                  </m:rPr>
                  <w:rPr>
                    <w:rFonts w:ascii="Cambria Math" w:hAnsi="Cambria Math"/>
                  </w:rPr>
                  <m:t xml:space="preserve">−</m:t>
                </m:r>
                <m:d>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x</m:t>
                    </m:r>
                  </m:e>
                </m:d>
                <m:sSub>
                  <m:e>
                    <m:r>
                      <w:rPr>
                        <w:rFonts w:ascii="Cambria Math" w:hAnsi="Cambria Math"/>
                      </w:rPr>
                      <m:t xml:space="preserve">Φ</m:t>
                    </m:r>
                  </m:e>
                  <m:sub>
                    <m:r>
                      <m:rPr>
                        <m:sty m:val="p"/>
                      </m:rPr>
                      <w:rPr>
                        <w:rFonts w:ascii="Cambria Math" w:hAnsi="Cambria Math"/>
                      </w:rPr>
                      <m:t xml:space="preserve">NCM</m:t>
                    </m:r>
                  </m:sub>
                </m:sSub>
              </m:e>
            </m:d>
          </m:e>
        </m:func>
      </m:oMath>
      <w:r>
        <w:tab/>
        <w:t xml:space="preserve">(S3)</w:t>
      </w:r>
    </w:p>
    <w:p>
      <w:pPr>
        <w:spacing w:after="0" w:line="480" w:lineRule="auto"/>
        <w:ind w:firstLineChars="150" w:firstLine="360"/>
        <w:jc w:val="both"/>
      </w:pPr>
      <w:r>
        <w:t xml:space="preserve">The band gaps of the Nd-containing cathode–electrolyte interphase components, including NdP</w:t>
      </w:r>
      <w:r>
        <w:rPr>
          <w:vertAlign w:val="subscript"/>
        </w:rPr>
        <w:t xml:space="preserve">5</w:t>
      </w:r>
      <w:r>
        <w:t xml:space="preserve">O</w:t>
      </w:r>
      <w:r>
        <w:rPr>
          <w:vertAlign w:val="subscript"/>
        </w:rPr>
        <w:t xml:space="preserve">14</w:t>
      </w:r>
      <w:r>
        <w:t xml:space="preserve"> (mp-560681, </w:t>
      </w:r>
      <w:r>
        <w:rPr>
          <w:i/>
          <w:iCs/>
        </w:rPr>
        <w:t xml:space="preserve">Pmna</w:t>
      </w:r>
      <w:r>
        <w:t xml:space="preserve">), were calculated with the same procedure, but with PAW datasets from PSlibrary for all elements [9]. Because the Nd 4</w:t>
      </w:r>
      <w:r>
        <w:rPr>
          <w:i/>
          <w:iCs/>
        </w:rPr>
        <w:t xml:space="preserve">f</w:t>
      </w:r>
      <w:r>
        <w:t xml:space="preserve"> electrons are frozen in the core of the Nd dataset, the calculations were non-spin-polarized and no Hubbard </w:t>
      </w:r>
      <w:r>
        <w:rPr>
          <w:i/>
          <w:iCs/>
        </w:rPr>
        <w:t xml:space="preserve">U</w:t>
      </w:r>
      <w:r>
        <w:t xml:space="preserve"> correction was applied.</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N. Marzari, D. Vanderbilt, A. De Vita, M. C. Payne, Thermal contraction and disordering of the Al(110) surface, Phys. Rev. Lett. 82 (1999) 3296–3299. https://doi.org/10.1103/PhysRevLett.82.3296.</w:t>
      </w:r>
    </w:p>
    <w:p>
      <w:pPr>
        <w:tabs>
          <w:tab w:val="left" w:pos="560"/>
        </w:tabs>
        <w:spacing w:after="0" w:line="480" w:lineRule="auto"/>
        <w:ind w:left="560" w:hanging="560"/>
      </w:pPr>
      <w:r>
        <w:t xml:space="preserve">[11]</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[12]</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[13]</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[14]</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