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Methods (simulation) — revision v7</w:t>
      </w:r>
    </w:p>
    <w:p>
      <w:r>
        <w:t>SBE / DBE microstructure reconstruction and transport simulation — replacement text and revised SI tables for co-author review, 2026-08-29</w:t>
      </w:r>
    </w:p>
    <w:p>
      <w:r>
        <w:rPr>
          <w:b/>
          <w:color w:val="B00000"/>
          <w:sz w:val="24"/>
        </w:rPr>
        <w:t>PROVISIONAL — NOT FOR SUBMISSION</w:t>
      </w:r>
    </w:p>
    <w:p>
      <w:pPr>
        <w:spacing w:after="120"/>
        <w:jc w:val="both"/>
      </w:pPr>
      <w:r>
        <w:rPr>
          <w:b w:val="0"/>
          <w:i w:val="0"/>
          <w:sz w:val="19"/>
        </w:rPr>
        <w:t>이 문서는 투고용 교체안이 아니라 쟁점을 결정하기 위한 검토 패키지입니다. 적대 리뷰(R10)가 투고 준비를 NO-GO 로 판정했고, 해제조건 8개 중 4개가 남아 있습니다. Methods 본문(영문)은 그대로 붙여 넣을 수 있는 상태이지만, Table S3 의 일부 행은 아직 값이 없어 대괄호로 사유를 적어 두었습니다.</w:t>
      </w:r>
    </w:p>
    <w:p>
      <w:pPr>
        <w:pStyle w:val="Heading2"/>
      </w:pPr>
      <w:r>
        <w:rPr>
          <w:color w:val="1A1A1A"/>
        </w:rPr>
        <w:t>해제조건 8개 — 현재 상태</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fill="E8E8E8"/>
          </w:tcPr>
          <w:p>
            <w:pPr>
              <w:spacing w:before="20" w:after="20"/>
            </w:pPr>
            <w:r/>
            <w:r>
              <w:rPr>
                <w:b/>
                <w:sz w:val="16"/>
              </w:rPr>
              <w:t>#</w:t>
            </w:r>
          </w:p>
        </w:tc>
        <w:tc>
          <w:tcPr>
            <w:tcW w:type="dxa" w:w="2835"/>
            <w:shd w:val="clear" w:fill="E8E8E8"/>
          </w:tcPr>
          <w:p>
            <w:pPr>
              <w:spacing w:before="20" w:after="20"/>
            </w:pPr>
            <w:r/>
            <w:r>
              <w:rPr>
                <w:b/>
                <w:sz w:val="16"/>
              </w:rPr>
              <w:t>조건</w:t>
            </w:r>
          </w:p>
        </w:tc>
        <w:tc>
          <w:tcPr>
            <w:tcW w:type="dxa" w:w="1020"/>
            <w:shd w:val="clear" w:fill="E8E8E8"/>
          </w:tcPr>
          <w:p>
            <w:pPr>
              <w:spacing w:before="20" w:after="20"/>
            </w:pPr>
            <w:r/>
            <w:r>
              <w:rPr>
                <w:b/>
                <w:sz w:val="16"/>
              </w:rPr>
              <w:t>상태</w:t>
            </w:r>
          </w:p>
        </w:tc>
        <w:tc>
          <w:tcPr>
            <w:tcW w:type="dxa" w:w="5102"/>
            <w:shd w:val="clear" w:fill="E8E8E8"/>
          </w:tcPr>
          <w:p>
            <w:pPr>
              <w:spacing w:before="20" w:after="20"/>
            </w:pPr>
            <w:r/>
            <w:r>
              <w:rPr>
                <w:b/>
                <w:sz w:val="16"/>
              </w:rPr>
              <w:t>설명</w:t>
            </w:r>
          </w:p>
        </w:tc>
      </w:tr>
      <w:tr>
        <w:tc>
          <w:tcPr>
            <w:tcW w:type="dxa" w:w="510"/>
          </w:tcPr>
          <w:p>
            <w:pPr>
              <w:spacing w:before="20" w:after="20"/>
            </w:pPr>
            <w:r/>
            <w:r>
              <w:rPr>
                <w:sz w:val="16"/>
              </w:rPr>
              <w:t>①</w:t>
            </w:r>
          </w:p>
        </w:tc>
        <w:tc>
          <w:tcPr>
            <w:tcW w:type="dxa" w:w="2835"/>
          </w:tcPr>
          <w:p>
            <w:pPr>
              <w:spacing w:before="20" w:after="20"/>
            </w:pPr>
            <w:r/>
            <w:r>
              <w:rPr>
                <w:sz w:val="16"/>
              </w:rPr>
              <w:t>두 PTFE 규약을 동등한 sensitivity 두 점으로 표기</w:t>
            </w:r>
          </w:p>
        </w:tc>
        <w:tc>
          <w:tcPr>
            <w:tcW w:type="dxa" w:w="1020"/>
          </w:tcPr>
          <w:p>
            <w:pPr>
              <w:spacing w:before="20" w:after="20"/>
            </w:pPr>
            <w:r/>
            <w:r>
              <w:rPr>
                <w:sz w:val="16"/>
              </w:rPr>
              <w:t>해소</w:t>
            </w:r>
          </w:p>
        </w:tc>
        <w:tc>
          <w:tcPr>
            <w:tcW w:type="dxa" w:w="5102"/>
          </w:tcPr>
          <w:p>
            <w:pPr>
              <w:spacing w:before="20" w:after="20"/>
            </w:pPr>
            <w:r/>
            <w:r>
              <w:rPr>
                <w:sz w:val="16"/>
              </w:rPr>
              <w:t>굵은 글씨·reported·resolved 표기를 전부 제거했습니다.</w:t>
            </w:r>
          </w:p>
        </w:tc>
      </w:tr>
      <w:tr>
        <w:tc>
          <w:tcPr>
            <w:tcW w:type="dxa" w:w="510"/>
          </w:tcPr>
          <w:p>
            <w:pPr>
              <w:spacing w:before="20" w:after="20"/>
            </w:pPr>
            <w:r/>
            <w:r>
              <w:rPr>
                <w:sz w:val="16"/>
              </w:rPr>
              <w:t>②</w:t>
            </w:r>
          </w:p>
        </w:tc>
        <w:tc>
          <w:tcPr>
            <w:tcW w:type="dxa" w:w="2835"/>
          </w:tcPr>
          <w:p>
            <w:pPr>
              <w:spacing w:before="20" w:after="20"/>
            </w:pPr>
            <w:r/>
            <w:r>
              <w:rPr>
                <w:sz w:val="16"/>
              </w:rPr>
              <w:t>1.35 GPa 의 출처를 정확히 서술</w:t>
            </w:r>
          </w:p>
        </w:tc>
        <w:tc>
          <w:tcPr>
            <w:tcW w:type="dxa" w:w="1020"/>
          </w:tcPr>
          <w:p>
            <w:pPr>
              <w:spacing w:before="20" w:after="20"/>
            </w:pPr>
            <w:r/>
            <w:r>
              <w:rPr>
                <w:sz w:val="16"/>
              </w:rPr>
              <w:t>해소</w:t>
            </w:r>
          </w:p>
        </w:tc>
        <w:tc>
          <w:tcPr>
            <w:tcW w:type="dxa" w:w="5102"/>
          </w:tcPr>
          <w:p>
            <w:pPr>
              <w:spacing w:before="20" w:after="20"/>
            </w:pPr>
            <w:r/>
            <w:r>
              <w:rPr>
                <w:sz w:val="16"/>
              </w:rPr>
              <w:t>'경험적 접촉법칙 입력값이지 LPSCl 고유 물성이 아니다' 로 고쳤습니다.</w:t>
            </w:r>
          </w:p>
        </w:tc>
      </w:tr>
      <w:tr>
        <w:tc>
          <w:tcPr>
            <w:tcW w:type="dxa" w:w="510"/>
          </w:tcPr>
          <w:p>
            <w:pPr>
              <w:spacing w:before="20" w:after="20"/>
            </w:pPr>
            <w:r/>
            <w:r>
              <w:rPr>
                <w:sz w:val="16"/>
              </w:rPr>
              <w:t>③</w:t>
            </w:r>
          </w:p>
        </w:tc>
        <w:tc>
          <w:tcPr>
            <w:tcW w:type="dxa" w:w="2835"/>
          </w:tcPr>
          <w:p>
            <w:pPr>
              <w:spacing w:before="20" w:after="20"/>
            </w:pPr>
            <w:r/>
            <w:r>
              <w:rPr>
                <w:sz w:val="16"/>
              </w:rPr>
              <w:t>'하한(lower bound)' 표현 철회</w:t>
            </w:r>
          </w:p>
        </w:tc>
        <w:tc>
          <w:tcPr>
            <w:tcW w:type="dxa" w:w="1020"/>
          </w:tcPr>
          <w:p>
            <w:pPr>
              <w:spacing w:before="20" w:after="20"/>
            </w:pPr>
            <w:r/>
            <w:r>
              <w:rPr>
                <w:sz w:val="16"/>
              </w:rPr>
              <w:t>해소</w:t>
            </w:r>
          </w:p>
        </w:tc>
        <w:tc>
          <w:tcPr>
            <w:tcW w:type="dxa" w:w="5102"/>
          </w:tcPr>
          <w:p>
            <w:pPr>
              <w:spacing w:before="20" w:after="20"/>
            </w:pPr>
            <w:r/>
            <w:r>
              <w:rPr>
                <w:sz w:val="16"/>
              </w:rPr>
              <w:t>격자 미수렴은 '검토한 세분 구간에서 단조 증가' 로만 적고 전역 한계를 주장하지 않습니다.</w:t>
            </w:r>
          </w:p>
        </w:tc>
      </w:tr>
      <w:tr>
        <w:tc>
          <w:tcPr>
            <w:tcW w:type="dxa" w:w="510"/>
          </w:tcPr>
          <w:p>
            <w:pPr>
              <w:spacing w:before="20" w:after="20"/>
            </w:pPr>
            <w:r/>
            <w:r>
              <w:rPr>
                <w:sz w:val="16"/>
              </w:rPr>
              <w:t>④</w:t>
            </w:r>
          </w:p>
        </w:tc>
        <w:tc>
          <w:tcPr>
            <w:tcW w:type="dxa" w:w="2835"/>
          </w:tcPr>
          <w:p>
            <w:pPr>
              <w:spacing w:before="20" w:after="20"/>
            </w:pPr>
            <w:r/>
            <w:r>
              <w:rPr>
                <w:sz w:val="16"/>
              </w:rPr>
              <w:t>W4 32팔 원자료(JSON·receipt) 리포 커밋</w:t>
            </w:r>
          </w:p>
        </w:tc>
        <w:tc>
          <w:tcPr>
            <w:tcW w:type="dxa" w:w="1020"/>
          </w:tcPr>
          <w:p>
            <w:pPr>
              <w:spacing w:before="20" w:after="20"/>
            </w:pPr>
            <w:r/>
            <w:r>
              <w:rPr>
                <w:sz w:val="16"/>
              </w:rPr>
              <w:t>미해소</w:t>
            </w:r>
          </w:p>
        </w:tc>
        <w:tc>
          <w:tcPr>
            <w:tcW w:type="dxa" w:w="5102"/>
          </w:tcPr>
          <w:p>
            <w:pPr>
              <w:spacing w:before="20" w:after="20"/>
            </w:pPr>
            <w:r/>
            <w:r>
              <w:rPr>
                <w:sz w:val="16"/>
              </w:rPr>
              <w:t>제3자가 σ_ele 를 재검증할 수 없는 상태입니다. 축약기(reduce_arm_payloads.py)는 준비돼 있고 계산기에서 전송만 남았습니다. 이것이 풀리기 전에는 Table S3 의 σ_ele 도 '검증 가능' 이 아니라 '내부 확인' 입니다.</w:t>
            </w:r>
          </w:p>
        </w:tc>
      </w:tr>
      <w:tr>
        <w:tc>
          <w:tcPr>
            <w:tcW w:type="dxa" w:w="510"/>
          </w:tcPr>
          <w:p>
            <w:pPr>
              <w:spacing w:before="20" w:after="20"/>
            </w:pPr>
            <w:r/>
            <w:r>
              <w:rPr>
                <w:sz w:val="16"/>
              </w:rPr>
              <w:t>⑤</w:t>
            </w:r>
          </w:p>
        </w:tc>
        <w:tc>
          <w:tcPr>
            <w:tcW w:type="dxa" w:w="2835"/>
          </w:tcPr>
          <w:p>
            <w:pPr>
              <w:spacing w:before="20" w:after="20"/>
            </w:pPr>
            <w:r/>
            <w:r>
              <w:rPr>
                <w:sz w:val="16"/>
              </w:rPr>
              <w:t>σ_ion 과 Table S3 나머지 행</w:t>
            </w:r>
          </w:p>
        </w:tc>
        <w:tc>
          <w:tcPr>
            <w:tcW w:type="dxa" w:w="1020"/>
          </w:tcPr>
          <w:p>
            <w:pPr>
              <w:spacing w:before="20" w:after="20"/>
            </w:pPr>
            <w:r/>
            <w:r>
              <w:rPr>
                <w:sz w:val="16"/>
              </w:rPr>
              <w:t>진행 중</w:t>
            </w:r>
          </w:p>
        </w:tc>
        <w:tc>
          <w:tcPr>
            <w:tcW w:type="dxa" w:w="5102"/>
          </w:tcPr>
          <w:p>
            <w:pPr>
              <w:spacing w:before="20" w:after="20"/>
            </w:pPr>
            <w:r/>
            <w:r>
              <w:rPr>
                <w:sz w:val="16"/>
              </w:rPr>
              <w:t>이온 전용 런이 계산기에서 돌고 있습니다(16팔). 구조 지표 다섯 행은 새 침대에서 다시 뽑아야 합니다 — 본문이 그 중 하나(AM 입자당 CBD 접촉 수)를 직접 인용하므로 빼는 것이 아니라 갱신해야 하는 항목입니다.</w:t>
            </w:r>
          </w:p>
        </w:tc>
      </w:tr>
      <w:tr>
        <w:tc>
          <w:tcPr>
            <w:tcW w:type="dxa" w:w="510"/>
          </w:tcPr>
          <w:p>
            <w:pPr>
              <w:spacing w:before="20" w:after="20"/>
            </w:pPr>
            <w:r/>
            <w:r>
              <w:rPr>
                <w:sz w:val="16"/>
              </w:rPr>
              <w:t>⑥</w:t>
            </w:r>
          </w:p>
        </w:tc>
        <w:tc>
          <w:tcPr>
            <w:tcW w:type="dxa" w:w="2835"/>
          </w:tcPr>
          <w:p>
            <w:pPr>
              <w:spacing w:before="20" w:after="20"/>
            </w:pPr>
            <w:r/>
            <w:r>
              <w:rPr>
                <w:sz w:val="16"/>
              </w:rPr>
              <w:t>ε_union · thickness 의 연산 정의 명시</w:t>
            </w:r>
          </w:p>
        </w:tc>
        <w:tc>
          <w:tcPr>
            <w:tcW w:type="dxa" w:w="1020"/>
          </w:tcPr>
          <w:p>
            <w:pPr>
              <w:spacing w:before="20" w:after="20"/>
            </w:pPr>
            <w:r/>
            <w:r>
              <w:rPr>
                <w:sz w:val="16"/>
              </w:rPr>
              <w:t>해소</w:t>
            </w:r>
          </w:p>
        </w:tc>
        <w:tc>
          <w:tcPr>
            <w:tcW w:type="dxa" w:w="5102"/>
          </w:tcPr>
          <w:p>
            <w:pPr>
              <w:spacing w:before="20" w:after="20"/>
            </w:pPr>
            <w:r/>
            <w:r>
              <w:rPr>
                <w:sz w:val="16"/>
              </w:rPr>
              <w:t>두 값이 어떻게 계산되는지, 통상적인 전극 porosity 와 무엇이 다른지 적었습니다.</w:t>
            </w:r>
          </w:p>
        </w:tc>
      </w:tr>
      <w:tr>
        <w:tc>
          <w:tcPr>
            <w:tcW w:type="dxa" w:w="510"/>
          </w:tcPr>
          <w:p>
            <w:pPr>
              <w:spacing w:before="20" w:after="20"/>
            </w:pPr>
            <w:r/>
            <w:r>
              <w:rPr>
                <w:sz w:val="16"/>
              </w:rPr>
              <w:t>⑦</w:t>
            </w:r>
          </w:p>
        </w:tc>
        <w:tc>
          <w:tcPr>
            <w:tcW w:type="dxa" w:w="2835"/>
          </w:tcPr>
          <w:p>
            <w:pPr>
              <w:spacing w:before="20" w:after="20"/>
            </w:pPr>
            <w:r/>
            <w:r>
              <w:rPr>
                <w:sz w:val="16"/>
              </w:rPr>
              <w:t>그림·표 생성기 배선 및 Figure 4b 재작도</w:t>
            </w:r>
          </w:p>
        </w:tc>
        <w:tc>
          <w:tcPr>
            <w:tcW w:type="dxa" w:w="1020"/>
          </w:tcPr>
          <w:p>
            <w:pPr>
              <w:spacing w:before="20" w:after="20"/>
            </w:pPr>
            <w:r/>
            <w:r>
              <w:rPr>
                <w:sz w:val="16"/>
              </w:rPr>
              <w:t>미해소</w:t>
            </w:r>
          </w:p>
        </w:tc>
        <w:tc>
          <w:tcPr>
            <w:tcW w:type="dxa" w:w="5102"/>
          </w:tcPr>
          <w:p>
            <w:pPr>
              <w:spacing w:before="20" w:after="20"/>
            </w:pPr>
            <w:r/>
            <w:r>
              <w:rPr>
                <w:sz w:val="16"/>
              </w:rPr>
              <w:t>Figure 4b 는 철회된 세대의 σ 값을 그린 그림입니다. 두 규약을 병기해 다시 그려야 합니다.</w:t>
            </w:r>
          </w:p>
        </w:tc>
      </w:tr>
      <w:tr>
        <w:tc>
          <w:tcPr>
            <w:tcW w:type="dxa" w:w="510"/>
          </w:tcPr>
          <w:p>
            <w:pPr>
              <w:spacing w:before="20" w:after="20"/>
            </w:pPr>
            <w:r/>
            <w:r>
              <w:rPr>
                <w:sz w:val="16"/>
              </w:rPr>
              <w:t>⑧</w:t>
            </w:r>
          </w:p>
        </w:tc>
        <w:tc>
          <w:tcPr>
            <w:tcW w:type="dxa" w:w="2835"/>
          </w:tcPr>
          <w:p>
            <w:pPr>
              <w:spacing w:before="20" w:after="20"/>
            </w:pPr>
            <w:r/>
            <w:r>
              <w:rPr>
                <w:sz w:val="16"/>
              </w:rPr>
              <w:t>두 판(설명형·압축형) 사실 일치 + 외부 DOCX 캡션 감사</w:t>
            </w:r>
          </w:p>
        </w:tc>
        <w:tc>
          <w:tcPr>
            <w:tcW w:type="dxa" w:w="1020"/>
          </w:tcPr>
          <w:p>
            <w:pPr>
              <w:spacing w:before="20" w:after="20"/>
            </w:pPr>
            <w:r/>
            <w:r>
              <w:rPr>
                <w:sz w:val="16"/>
              </w:rPr>
              <w:t>부분 해소</w:t>
            </w:r>
          </w:p>
        </w:tc>
        <w:tc>
          <w:tcPr>
            <w:tcW w:type="dxa" w:w="5102"/>
          </w:tcPr>
          <w:p>
            <w:pPr>
              <w:spacing w:before="20" w:after="20"/>
            </w:pPr>
            <w:r/>
            <w:r>
              <w:rPr>
                <w:sz w:val="16"/>
              </w:rPr>
              <w:t>두 판의 사실 일치는 맞췄습니다. Figure S16–S18 캡션은 아직 감사하지 않았습니다 — 그 파일이 리포 밖에 있어 자동 검사의 사정권 밖입니다.</w:t>
            </w:r>
          </w:p>
        </w:tc>
      </w:tr>
    </w:tbl>
    <w:p>
      <w:r>
        <w:br w:type="page"/>
      </w:r>
    </w:p>
    <w:p>
      <w:pPr>
        <w:pStyle w:val="Heading1"/>
      </w:pPr>
      <w:r>
        <w:rPr>
          <w:color w:val="1A1A1A"/>
        </w:rPr>
        <w:t>1. v6 대비 무엇이 바뀌나 (넷)</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fill="E8E8E8"/>
          </w:tcPr>
          <w:p>
            <w:pPr>
              <w:spacing w:before="20" w:after="20"/>
            </w:pPr>
            <w:r/>
            <w:r>
              <w:rPr>
                <w:b/>
                <w:sz w:val="16"/>
              </w:rPr>
              <w:t>#</w:t>
            </w:r>
          </w:p>
        </w:tc>
        <w:tc>
          <w:tcPr>
            <w:tcW w:type="dxa" w:w="2381"/>
            <w:shd w:val="clear" w:fill="E8E8E8"/>
          </w:tcPr>
          <w:p>
            <w:pPr>
              <w:spacing w:before="20" w:after="20"/>
            </w:pPr>
            <w:r/>
            <w:r>
              <w:rPr>
                <w:b/>
                <w:sz w:val="16"/>
              </w:rPr>
              <w:t>v6</w:t>
            </w:r>
          </w:p>
        </w:tc>
        <w:tc>
          <w:tcPr>
            <w:tcW w:type="dxa" w:w="2608"/>
            <w:shd w:val="clear" w:fill="E8E8E8"/>
          </w:tcPr>
          <w:p>
            <w:pPr>
              <w:spacing w:before="20" w:after="20"/>
            </w:pPr>
            <w:r/>
            <w:r>
              <w:rPr>
                <w:b/>
                <w:sz w:val="16"/>
              </w:rPr>
              <w:t>v7</w:t>
            </w:r>
          </w:p>
        </w:tc>
        <w:tc>
          <w:tcPr>
            <w:tcW w:type="dxa" w:w="3969"/>
            <w:shd w:val="clear" w:fill="E8E8E8"/>
          </w:tcPr>
          <w:p>
            <w:pPr>
              <w:spacing w:before="20" w:after="20"/>
            </w:pPr>
            <w:r/>
            <w:r>
              <w:rPr>
                <w:b/>
                <w:sz w:val="16"/>
              </w:rPr>
              <w:t>왜 바꾸는가</w:t>
            </w:r>
          </w:p>
        </w:tc>
      </w:tr>
      <w:tr>
        <w:tc>
          <w:tcPr>
            <w:tcW w:type="dxa" w:w="510"/>
          </w:tcPr>
          <w:p>
            <w:pPr>
              <w:spacing w:before="20" w:after="20"/>
            </w:pPr>
            <w:r/>
            <w:r>
              <w:rPr>
                <w:sz w:val="16"/>
              </w:rPr>
              <w:t>1</w:t>
            </w:r>
          </w:p>
        </w:tc>
        <w:tc>
          <w:tcPr>
            <w:tcW w:type="dxa" w:w="2381"/>
          </w:tcPr>
          <w:p>
            <w:pPr>
              <w:spacing w:before="20" w:after="20"/>
            </w:pPr>
            <w:r/>
            <w:r>
              <w:rPr>
                <w:sz w:val="16"/>
              </w:rPr>
              <w:t>전 과정을 'DEM' 으로 부름</w:t>
            </w:r>
          </w:p>
        </w:tc>
        <w:tc>
          <w:tcPr>
            <w:tcW w:type="dxa" w:w="2608"/>
          </w:tcPr>
          <w:p>
            <w:pPr>
              <w:spacing w:before="20" w:after="20"/>
            </w:pPr>
            <w:r/>
            <w:r>
              <w:rPr>
                <w:sz w:val="16"/>
              </w:rPr>
              <w:t>DEM · MPM · voxel FV 를 이름으로 분리</w:t>
            </w:r>
          </w:p>
        </w:tc>
        <w:tc>
          <w:tcPr>
            <w:tcW w:type="dxa" w:w="3969"/>
          </w:tcPr>
          <w:p>
            <w:pPr>
              <w:spacing w:before="20" w:after="20"/>
            </w:pPr>
            <w:r/>
            <w:r>
              <w:rPr>
                <w:sz w:val="16"/>
              </w:rPr>
              <w:t>실제로 세 도구입니다. 표 제목과 그림 설명이 전부 DEM 이라 공저자도 MPM 이 쓰인 것을 볼 수 없었습니다.</w:t>
            </w:r>
          </w:p>
        </w:tc>
      </w:tr>
      <w:tr>
        <w:tc>
          <w:tcPr>
            <w:tcW w:type="dxa" w:w="510"/>
          </w:tcPr>
          <w:p>
            <w:pPr>
              <w:spacing w:before="20" w:after="20"/>
            </w:pPr>
            <w:r/>
            <w:r>
              <w:rPr>
                <w:sz w:val="16"/>
              </w:rPr>
              <w:t>2</w:t>
            </w:r>
          </w:p>
        </w:tc>
        <w:tc>
          <w:tcPr>
            <w:tcW w:type="dxa" w:w="2381"/>
          </w:tcPr>
          <w:p>
            <w:pPr>
              <w:spacing w:before="20" w:after="20"/>
            </w:pPr>
            <w:r/>
            <w:r>
              <w:rPr>
                <w:sz w:val="16"/>
              </w:rPr>
              <w:t>'E 를 24 → 1.35 GPa 로 연화' 가 문장 앞</w:t>
            </w:r>
          </w:p>
        </w:tc>
        <w:tc>
          <w:tcPr>
            <w:tcW w:type="dxa" w:w="2608"/>
          </w:tcPr>
          <w:p>
            <w:pPr>
              <w:spacing w:before="20" w:after="20"/>
            </w:pPr>
            <w:r/>
            <w:r>
              <w:rPr>
                <w:sz w:val="16"/>
              </w:rPr>
              <w:t>치밀화 표적이 앞, E 는 그 표적을 맞추는 노브로 뒤</w:t>
            </w:r>
          </w:p>
        </w:tc>
        <w:tc>
          <w:tcPr>
            <w:tcW w:type="dxa" w:w="3969"/>
          </w:tcPr>
          <w:p>
            <w:pPr>
              <w:spacing w:before="20" w:after="20"/>
            </w:pPr>
            <w:r/>
            <w:r>
              <w:rPr>
                <w:sz w:val="16"/>
              </w:rPr>
              <w:t>실제로 한 일이 그것입니다. 두 값은 Table S2 에 그대로 남깁니다 — 감추는 것이 아니라 순서를 바로잡는 것입니다.</w:t>
            </w:r>
          </w:p>
        </w:tc>
      </w:tr>
      <w:tr>
        <w:tc>
          <w:tcPr>
            <w:tcW w:type="dxa" w:w="510"/>
          </w:tcPr>
          <w:p>
            <w:pPr>
              <w:spacing w:before="20" w:after="20"/>
            </w:pPr>
            <w:r/>
            <w:r>
              <w:rPr>
                <w:sz w:val="16"/>
              </w:rPr>
              <w:t>3</w:t>
            </w:r>
          </w:p>
        </w:tc>
        <w:tc>
          <w:tcPr>
            <w:tcW w:type="dxa" w:w="2381"/>
          </w:tcPr>
          <w:p>
            <w:pPr>
              <w:spacing w:before="20" w:after="20"/>
            </w:pPr>
            <w:r/>
            <w:r>
              <w:rPr>
                <w:sz w:val="16"/>
              </w:rPr>
              <w:t>'paired mean with its standard error'</w:t>
            </w:r>
          </w:p>
        </w:tc>
        <w:tc>
          <w:tcPr>
            <w:tcW w:type="dxa" w:w="2608"/>
          </w:tcPr>
          <w:p>
            <w:pPr>
              <w:spacing w:before="20" w:after="20"/>
            </w:pPr>
            <w:r/>
            <w:r>
              <w:rPr>
                <w:sz w:val="16"/>
              </w:rPr>
              <w:t>origin-phase spread 와 range, 표준오차·신뢰구간은 명시적으로 부정</w:t>
            </w:r>
          </w:p>
        </w:tc>
        <w:tc>
          <w:tcPr>
            <w:tcW w:type="dxa" w:w="3969"/>
          </w:tcPr>
          <w:p>
            <w:pPr>
              <w:spacing w:before="20" w:after="20"/>
            </w:pPr>
            <w:r/>
            <w:r>
              <w:rPr>
                <w:sz w:val="16"/>
              </w:rPr>
              <w:t>8개 origin 은 한 침대의 완전한 2×2×2 factorial 이라 복제 오차 자유도가 0 입니다. sd/√8 은 표준오차가 아닙니다.</w:t>
            </w:r>
          </w:p>
        </w:tc>
      </w:tr>
      <w:tr>
        <w:tc>
          <w:tcPr>
            <w:tcW w:type="dxa" w:w="510"/>
          </w:tcPr>
          <w:p>
            <w:pPr>
              <w:spacing w:before="20" w:after="20"/>
            </w:pPr>
            <w:r/>
            <w:r>
              <w:rPr>
                <w:sz w:val="16"/>
              </w:rPr>
              <w:t>4</w:t>
            </w:r>
          </w:p>
        </w:tc>
        <w:tc>
          <w:tcPr>
            <w:tcW w:type="dxa" w:w="2381"/>
          </w:tcPr>
          <w:p>
            <w:pPr>
              <w:spacing w:before="20" w:after="20"/>
            </w:pPr>
            <w:r/>
            <w:r>
              <w:rPr>
                <w:sz w:val="16"/>
              </w:rPr>
              <w:t>PTFE 규약·탄소 전도도 규약이 암묵적</w:t>
            </w:r>
          </w:p>
        </w:tc>
        <w:tc>
          <w:tcPr>
            <w:tcW w:type="dxa" w:w="2608"/>
          </w:tcPr>
          <w:p>
            <w:pPr>
              <w:spacing w:before="20" w:after="20"/>
            </w:pPr>
            <w:r/>
            <w:r>
              <w:rPr>
                <w:sz w:val="16"/>
              </w:rPr>
              <w:t>둘 다 명시, PTFE 는 두 규약을 나란히</w:t>
            </w:r>
          </w:p>
        </w:tc>
        <w:tc>
          <w:tcPr>
            <w:tcW w:type="dxa" w:w="3969"/>
          </w:tcPr>
          <w:p>
            <w:pPr>
              <w:spacing w:before="20" w:after="20"/>
            </w:pPr>
            <w:r/>
            <w:r>
              <w:rPr>
                <w:sz w:val="16"/>
              </w:rPr>
              <w:t>이득의 크기가 규약에 크게 의존합니다(비 1.124 ↔ 1.308). 하나만 적으면 독자가 그것을 물리로 읽습니다.</w:t>
            </w:r>
          </w:p>
        </w:tc>
      </w:tr>
    </w:tbl>
    <w:p>
      <w:pPr>
        <w:spacing w:after="120"/>
        <w:jc w:val="both"/>
      </w:pPr>
      <w:r>
        <w:rPr>
          <w:b w:val="0"/>
          <w:i w:val="0"/>
          <w:sz w:val="19"/>
        </w:rPr>
        <w:t>PTFE 규약에 대해서는 한 가지를 분명히 해 둡니다. 초안은 처음에 '안 그림' 을 주 규약으로 썼는데 이유가 편집 편의였고, 지적을 받고 '차단' 으로 뒤집었는데 이번에는 두 값을 본 뒤에 큰 쪽으로 옮긴 것이라 결과 독립이 아니었습니다. 그래서 지금은 어느 쪽도 주 규약으로 지정하지 않고 동등한 두 sensitivity 점으로 적습니다. 더 근본적으로, centerline 규약은 PTFE 를 제대로 해상한 규약이 아닙니다 — 한 셀 폭 중심선을 찍고 그 셀을 정확히 0 으로 제거하는 방식이라, 얇은 코팅의 공간 범위는 과소 표현하면서 찍힌 셀에서는 차단을 과대 표현합니다. 직경을 인식하는 변형은 아직 구현돼 있지 않습니다.</w:t>
      </w:r>
    </w:p>
    <w:p>
      <w:r>
        <w:br w:type="page"/>
      </w:r>
    </w:p>
    <w:p>
      <w:pPr>
        <w:pStyle w:val="Heading1"/>
      </w:pPr>
      <w:r>
        <w:rPr>
          <w:color w:val="1A1A1A"/>
        </w:rPr>
        <w:t>2. Methods — 설명형 (Full)</w:t>
      </w:r>
    </w:p>
    <w:p>
      <w:pPr>
        <w:spacing w:after="120"/>
        <w:jc w:val="both"/>
      </w:pPr>
      <w:r>
        <w:rPr>
          <w:b w:val="0"/>
          <w:i/>
          <w:sz w:val="18"/>
        </w:rPr>
        <w:t>독자가 이해할 수 있도록 단계를 나눠 쓴 판입니다. 지면이 허용되면 이쪽을 씁니다.</w:t>
      </w:r>
    </w:p>
    <w:p>
      <w:pPr>
        <w:jc w:val="both"/>
      </w:pPr>
      <w:r>
        <w:rPr>
          <w:b/>
          <w:sz w:val="20"/>
        </w:rPr>
        <w:t xml:space="preserve">Microstructure reconstruction and transport simulation. </w:t>
      </w:r>
    </w:p>
    <w:p>
      <w:pPr>
        <w:jc w:val="both"/>
      </w:pPr>
      <w:r>
        <w:rPr>
          <w:sz w:val="20"/>
        </w:rPr>
        <w:t>Three-dimensional SBE and DBE microstructures were built in two stages and then used as the geometry for a separate transport calculation, so that three distinct tools are involved: a discrete element method (DEM) for the rigid-particle packing, a material point method (MPM) for the plastic deformation of the electrolyte, and a finite-volume solver on a voxel grid for the effective conductivities.</w:t>
      </w:r>
    </w:p>
    <w:p>
      <w:pPr>
        <w:jc w:val="both"/>
      </w:pPr>
      <w:r>
        <w:rPr>
          <w:b/>
          <w:sz w:val="20"/>
        </w:rPr>
        <w:t xml:space="preserve">Stage 1 — DEM packing. </w:t>
      </w:r>
      <w:r>
        <w:rPr>
          <w:sz w:val="20"/>
        </w:rPr>
        <w:t>Rigid-sphere packing was computed in LIGGGHTS using 1,271 NCM811 spheres (radius 2.5 μm) and 146,420 LPSCl spheres (radius 0.5 μm), sized after the experimental powders and mixed at 70:27 by weight in a 50 × 50 μm² domain, compacted under displacement control. Rigid-sphere contacts do reproduce particle rearrangement, but not the plastic flattening, fracture and grain-boundary deformation that also densify sulfide powders, so the contact stiffness of LPSCl was selected against a densification target for sulfide cold pressing rather than taken from the dense material. The 1.35 GPa value is an empirical contact-law input, not an intrinsic LPSCl modulus and not an independent validation of the present SBE/DBE beds; the dense-material value (24 GPa) is listed beside it in Table S2. The ~10 % target is derived from composite and glass literature rather than measured directly on pure LPSCl at 300 MPa, and the 11–12 % contact overlap is a pure-SE simulation consistency result rather than a measured calibration target.</w:t>
      </w:r>
    </w:p>
    <w:p>
      <w:pPr>
        <w:jc w:val="both"/>
      </w:pPr>
      <w:r>
        <w:rPr>
          <w:b/>
          <w:sz w:val="20"/>
        </w:rPr>
        <w:t xml:space="preserve">Stage 2 — MPM compaction. </w:t>
      </w:r>
      <w:r>
        <w:rPr>
          <w:sz w:val="20"/>
        </w:rPr>
        <w:t>Plastic deformation was then resolved on the fixed DEM skeleton with a GPU-accelerated MPM. VGCF fibres, PTFE fibrils and SDCP particles were present in the material-point cloud during this stage at the experimental weight fractions, so their stiffness enters the compaction rather than being added afterwards. The deviatoric plasticity follows a J2 (von Mises) model with a yield strength of 0.30 GPa; the elastic pair E = 1.53 GPa and ν = 0.49 is a model choice that sets K = 25.5 GPa and G = 0.51 GPa, confining the softening to shear while leaving the bulk response at a dense-solid value. The resulting beds are more compacted than the experimental porosity anchor, so this parameterisation is not a validation of the present SBE/DBE geometry.</w:t>
      </w:r>
    </w:p>
    <w:p>
      <w:pPr>
        <w:jc w:val="both"/>
      </w:pPr>
      <w:r>
        <w:rPr>
          <w:b/>
          <w:sz w:val="20"/>
        </w:rPr>
        <w:t xml:space="preserve">Stage 3 — voxel transport. </w:t>
      </w:r>
      <w:r>
        <w:rPr>
          <w:sz w:val="20"/>
        </w:rPr>
        <w:t>Each microstructure was rasterized onto a cubic grid with a voxel edge of 0.15 μm. Adjacent conducting voxels were coupled through harmonic-mean conductances and the potential field obtained from ∇·(σ∇φ) = 0, with 1 V applied between the separator (φ = 0) and current-collector (φ = 1 V) faces and the remaining boundaries insulating; the effective conductivity was taken from the total current. NCM811, VGCF and SDCP carried the electronic network and LPSCl and SDCP the ionic network. The insulating binder was treated under two conventions, reported as equivalent sensitivity points rather than one primary result: omitted from the electronic grid, and with its centerline voxels excluded from conduction. Neither is established as closer to a real thin coating — the one-cell centerline under-represents the coating’s spatial extent while over-blocking where it is stamped, and the diameter-aware variant is not implemented. Note that omitting the binder from the conduction grid does not remove it from the model: its mass and stiffness are present in the DEM–MPM bed, and only its direct insulating exclusion on the electronic grid is absent.</w:t>
      </w:r>
    </w:p>
    <w:p>
      <w:pPr>
        <w:jc w:val="both"/>
      </w:pPr>
      <w:r>
        <w:rPr>
          <w:b/>
          <w:sz w:val="20"/>
        </w:rPr>
        <w:t xml:space="preserve">Conductivity of the carbon network. </w:t>
      </w:r>
      <w:r>
        <w:rPr>
          <w:sz w:val="20"/>
        </w:rPr>
        <w:t>The conductivity assigned to VGCF is an effective network value, not a fibre material constant. Voxelisation fuses touching fibres into shared cells and therefore removes the fibre–fibre contact resistance that dominates a real carbon network — the two orders of magnitude between the compressed-powder (≈ 83 S cm⁻¹) and single-filament (≈ 10⁴ S cm⁻¹) values of VGCF-H is essentially that contact resistance. The powder-scale value (100 S cm⁻¹) was therefore adopted and rescaled to the voxel grid so that the axial conductance of a fibre is preserved (78.5 S cm⁻¹ at 0.15 μm).</w:t>
      </w:r>
    </w:p>
    <w:p>
      <w:pPr>
        <w:jc w:val="both"/>
      </w:pPr>
      <w:r>
        <w:rPr>
          <w:b/>
          <w:sz w:val="20"/>
        </w:rPr>
        <w:t xml:space="preserve">Grid-origin ensemble and reported statistics. </w:t>
      </w:r>
      <w:r>
        <w:rPr>
          <w:sz w:val="20"/>
        </w:rPr>
        <w:t>Because the voxel grid samples the same microstructure differently depending on where its origin falls, each electrode was solved at all eight half-voxel origin shifts of a 2 × 2 × 2 factorial, the SBE and DBE sharing the same origins so that ratios are formed pair by pair. The eight phases are a complete factorial of a single bed rather than independent replicates, so ratios are reported as the mean over the eight prescribed phases together with the spread across them and the observed range; no standard error or confidence interval is implied. All arms reached the solver convergence criterion.</w:t>
      </w:r>
    </w:p>
    <w:p>
      <w:pPr>
        <w:jc w:val="both"/>
      </w:pPr>
      <w:r>
        <w:rPr>
          <w:b/>
          <w:sz w:val="20"/>
        </w:rPr>
        <w:t xml:space="preserve">Values under the two binder conventions. </w:t>
      </w:r>
      <w:r>
        <w:rPr>
          <w:sz w:val="20"/>
        </w:rPr>
        <w:t>With PTFE centerline voxels excluded (exact-zero sensitivity convention) the effective electronic conductivity is 54.0 mS cm⁻¹ (SBE) and 70.6 mS cm⁻¹ (DBE), a paired ratio of 1.308 (spread 0.003 across the eight origin phases; observed range 1.302–1.310). Leaving PTFE unresolved gives 72.3 and 81.3 mS cm⁻¹, a ratio of 1.124 (spread 0.003; range 1.120–1.127). The two differ only in whether the binder’s centerline voxels are excluded from conduction — a machine-checked contract confirms that no other parameter differs — and neither is established as closer to a real thin coating: the one-cell centerline under-represents the coating’s spatial extent while over-blocking where it is stamped. They are therefore reported as two equivalent model-form sensitivity points; the direction of the change is common to both, its magnitude is not. Ohmic loss per phase was evaluated as Σ gₖ Δφₖ², summed over the voxel-to-voxel connections belonging to that phase.</w:t>
      </w:r>
    </w:p>
    <w:p>
      <w:pPr>
        <w:jc w:val="both"/>
      </w:pPr>
      <w:r>
        <w:rPr>
          <w:b/>
          <w:sz w:val="20"/>
        </w:rPr>
        <w:t xml:space="preserve">Limitations. </w:t>
      </w:r>
      <w:r>
        <w:rPr>
          <w:sz w:val="20"/>
        </w:rPr>
        <w:t>The absolute conductivities have not been calibrated against a composition-matched measurement and should be read as the output of an idealised bulk model: the solver places no contact resistance at any interface — between active particles, between active material and carbon, or at the current collector — so it does not reproduce the quantity a two-terminal DC-polarisation measurement returns. The ratio is not grid-converged: refining the voxel edge increases it monotonically without following a power law, so the reported gain is larger at finer voxels over the refinement interval examined; neither a continuum extrapolation nor a global bound is established. Explicitly restoring the additive contacts that voxelisation drops recovers only about a fifth of that grid dependence — measured under the binder-omitted convention only, and not transferable to the exact-zero convention. The magnitude is also conditional on the carbon conductivity being treated as an effective network constant: at the single-filament value, a hundredfold higher, the ordering reverses. That upper arm is not better physics but a doubly idealised sensitivity at one origin phase, assuming perfect fibre–fibre contact on top of equipotential fibres; a single scalar can absorb part of the missing resistance numerically but is not identified as a fibre–fibre contact parameter. Two further limits apply: the beds are more compacted than the experimental porosity anchor, and the specimen provenance of the SDCP conductivity (250 S cm⁻¹) is not established.</w:t>
      </w:r>
    </w:p>
    <w:p>
      <w:r>
        <w:br w:type="page"/>
      </w:r>
    </w:p>
    <w:p>
      <w:pPr>
        <w:pStyle w:val="Heading1"/>
      </w:pPr>
      <w:r>
        <w:rPr>
          <w:color w:val="1A1A1A"/>
        </w:rPr>
        <w:t>3. Methods — 압축형 (Compact)</w:t>
      </w:r>
    </w:p>
    <w:p>
      <w:pPr>
        <w:spacing w:after="120"/>
        <w:jc w:val="both"/>
      </w:pPr>
      <w:r>
        <w:rPr>
          <w:b w:val="0"/>
          <w:i/>
          <w:sz w:val="18"/>
        </w:rPr>
        <w:t>같은 사실을 담되 문장 수만 줄인 판입니다. 한정어는 하나도 빼지 않았습니다 — 압축은 문장을 줄이는 것이지 유보를 빼는 것이 아닙니다.</w:t>
      </w:r>
    </w:p>
    <w:p>
      <w:pPr>
        <w:jc w:val="both"/>
      </w:pPr>
      <w:r>
        <w:rPr>
          <w:b/>
          <w:sz w:val="20"/>
        </w:rPr>
        <w:t xml:space="preserve">Microstructure reconstruction and transport simulation. </w:t>
      </w:r>
      <w:r>
        <w:rPr>
          <w:sz w:val="20"/>
        </w:rPr>
        <w:t>Three-dimensional SBE and DBE microstructures were built with a discrete element method (DEM) for the rigid-particle packing and a material point method (MPM) for the plastic deformation of the electrolyte, and the effective conductivities were then obtained with a finite-volume solver on a voxel grid. Rigid-sphere packing was computed in LIGGGHTS from 1,271 NCM811 spheres (r = 2.5 μm) and 146,420 LPSCl spheres (r = 0.5 μm), mixed 70:27 by weight in a 50 × 50 μm² domain and compacted under displacement control. Rigid spheres do rearrange but cannot flatten, fracture or deform grain boundaries, so the LPSCl contact stiffness was selected against a densification target for sulfide cold pressing rather than taken from the dense material: 1.35 GPa is an empirical contact-law input, not an intrinsic modulus and not a validation of these beds, and 24 GPa is listed alongside it in Table S2. The ~10 % target is derived from composite and glass literature rather than measured on pure LPSCl, and the 11–12 % overlap is a pure-SE simulation result, not a measured target. Plastic deformation was then resolved on the fixed DEM skeleton by MPM with J2 plasticity (σ_y = 0.30 GPa); the elastic pair E = 1.53 GPa, ν = 0.49 is a model choice giving K = 25.5 GPa and G = 0.51 GPa, confining the softening to shear. VGCF, PTFE and SDCP were present in the material-point cloud during compaction at the experimental weight fractions. The resulting beds are more compacted than the experimental porosity anchor.</w:t>
      </w:r>
    </w:p>
    <w:p>
      <w:pPr>
        <w:jc w:val="both"/>
      </w:pPr>
      <w:r>
        <w:rPr>
          <w:sz w:val="20"/>
        </w:rPr>
        <w:t>Each microstructure was rasterized at a voxel edge of 0.15 μm; adjacent conducting voxels were coupled through harmonic-mean conductances and ∇·(σ∇φ) = 0 solved with 1 V between the separator and current-collector faces, the remaining boundaries insulating. NCM811, VGCF and SDCP carried the electronic network and LPSCl and SDCP the ionic network. The insulating binder was treated under two conventions reported as equivalent sensitivity points — omitted from the electronic grid, and with its centerline voxels excluded — since neither is established as closer to a real thin coating: the one-cell centerline under-represents the coating’s extent while over-blocking where stamped, and omitting it removes only the electronic exclusion, the binder’s mass and stiffness remaining in the bed. The VGCF conductivity is an effective network value rather than a fibre constant, since voxelisation removes the fibre–fibre contact resistance that separates the powder (≈ 83 S cm⁻¹) and single-filament (≈ 10⁴ S cm⁻¹) values; the powder-scale value was adopted and rescaled to preserve axial fibre conductance (78.5 S cm⁻¹).</w:t>
      </w:r>
    </w:p>
    <w:p>
      <w:pPr>
        <w:jc w:val="both"/>
      </w:pPr>
      <w:r>
        <w:rPr>
          <w:sz w:val="20"/>
        </w:rPr>
        <w:t>Each electrode was solved at all eight half-voxel grid-origin shifts of a 2 × 2 × 2 factorial, SBE and DBE sharing the same origins so that ratios are paired. These eight phases are a complete factorial of a single bed rather than independent replicates, so ratios are given as the mean over the prescribed phases with the spread and observed range; no standard error and no confidence interval are implied. Ohmic loss per phase was evaluated as Σ gₖ Δφₖ². The two binder conventions give 72.3/81.3 mS cm⁻¹ (ratio 1.124) and 54.0/70.6 mS cm⁻¹ (ratio 1.308): the direction is common to both, the magnitude is not. Absolute conductivities are those of an idealised bulk model with no interfacial contact resistance anywhere and are not composition-matched to a measurement. The ratio is not grid-converged and grew at finer voxels over the refinement interval examined; no continuum extrapolation or global bound is established. Restoring the additive contacts that voxelisation drops recovers about a fifth of that dependence, measured under the binder-omitted convention only. The magnitude is also conditional on the carbon conductivity being an effective network constant: at the single-filament value the ordering reverses, but that arm is not better physics — it is a doubly idealised sensitivity at one origin phase. Two further limits: the beds are more compacted than the experimental porosity anchor, and the specimen provenance of the SDCP conductivity (250 S cm⁻¹) is not established.</w:t>
      </w:r>
    </w:p>
    <w:p>
      <w:r>
        <w:br w:type="page"/>
      </w:r>
    </w:p>
    <w:p>
      <w:pPr>
        <w:pStyle w:val="Heading1"/>
      </w:pPr>
      <w:r>
        <w:rPr>
          <w:color w:val="1A1A1A"/>
        </w:rPr>
        <w:t>4. Table S2 — 제목과 블록 분리</w:t>
      </w:r>
    </w:p>
    <w:p>
      <w:pPr>
        <w:spacing w:after="120"/>
        <w:jc w:val="both"/>
      </w:pPr>
      <w:r>
        <w:rPr>
          <w:b w:val="0"/>
          <w:i w:val="0"/>
          <w:sz w:val="19"/>
        </w:rPr>
        <w:t>제목: “Material parameters used for the DEM simulations” → “Material and numerical parameters used for the DEM–MPM–voxel transport workflow”.</w:t>
      </w:r>
    </w:p>
    <w:tbl>
      <w:tblPr>
        <w:tblStyle w:val="TableGrid"/>
        <w:tblW w:type="auto" w:w="0"/>
        <w:tblLook w:firstColumn="1" w:firstRow="1" w:lastColumn="0" w:lastRow="0" w:noHBand="0" w:noVBand="1" w:val="04A0"/>
      </w:tblPr>
      <w:tblGrid>
        <w:gridCol w:w="3324"/>
        <w:gridCol w:w="3324"/>
        <w:gridCol w:w="3324"/>
      </w:tblGrid>
      <w:tr>
        <w:tc>
          <w:tcPr>
            <w:tcW w:type="dxa" w:w="1814"/>
            <w:shd w:val="clear" w:fill="E8E8E8"/>
          </w:tcPr>
          <w:p>
            <w:pPr>
              <w:spacing w:before="20" w:after="20"/>
            </w:pPr>
            <w:r/>
            <w:r>
              <w:rPr>
                <w:b/>
                <w:sz w:val="16"/>
              </w:rPr>
              <w:t>Block</w:t>
            </w:r>
          </w:p>
        </w:tc>
        <w:tc>
          <w:tcPr>
            <w:tcW w:type="dxa" w:w="4535"/>
            <w:shd w:val="clear" w:fill="E8E8E8"/>
          </w:tcPr>
          <w:p>
            <w:pPr>
              <w:spacing w:before="20" w:after="20"/>
            </w:pPr>
            <w:r/>
            <w:r>
              <w:rPr>
                <w:b/>
                <w:sz w:val="16"/>
              </w:rPr>
              <w:t>Rows carried in that block</w:t>
            </w:r>
          </w:p>
        </w:tc>
        <w:tc>
          <w:tcPr>
            <w:tcW w:type="dxa" w:w="3118"/>
            <w:shd w:val="clear" w:fill="E8E8E8"/>
          </w:tcPr>
          <w:p>
            <w:pPr>
              <w:spacing w:before="20" w:after="20"/>
            </w:pPr>
            <w:r/>
            <w:r>
              <w:rPr>
                <w:b/>
                <w:sz w:val="16"/>
              </w:rPr>
              <w:t>Role label</w:t>
            </w:r>
          </w:p>
        </w:tc>
      </w:tr>
      <w:tr>
        <w:tc>
          <w:tcPr>
            <w:tcW w:type="dxa" w:w="1814"/>
          </w:tcPr>
          <w:p>
            <w:pPr>
              <w:spacing w:before="20" w:after="20"/>
            </w:pPr>
            <w:r/>
            <w:r>
              <w:rPr>
                <w:sz w:val="16"/>
              </w:rPr>
              <w:t>DEM (packing)</w:t>
            </w:r>
          </w:p>
        </w:tc>
        <w:tc>
          <w:tcPr>
            <w:tcW w:type="dxa" w:w="4535"/>
          </w:tcPr>
          <w:p>
            <w:pPr>
              <w:spacing w:before="20" w:after="20"/>
            </w:pPr>
            <w:r/>
            <w:r>
              <w:rPr>
                <w:sz w:val="16"/>
              </w:rPr>
              <w:t>Domain 50 × 50 μm² · NCM811 r = 2.5 μm, E = 140 GPa · LPSCl r = 0.5 μm, E(dense) = 24 GPa, E(DEM contact) = 1.35 GPa</w:t>
            </w:r>
          </w:p>
        </w:tc>
        <w:tc>
          <w:tcPr>
            <w:tcW w:type="dxa" w:w="3118"/>
          </w:tcPr>
          <w:p>
            <w:pPr>
              <w:spacing w:before="20" w:after="20"/>
            </w:pPr>
            <w:r/>
            <w:r>
              <w:rPr>
                <w:sz w:val="16"/>
              </w:rPr>
              <w:t>E(DEM contact): Empirical contact-law input</w:t>
            </w:r>
          </w:p>
        </w:tc>
      </w:tr>
      <w:tr>
        <w:tc>
          <w:tcPr>
            <w:tcW w:type="dxa" w:w="1814"/>
          </w:tcPr>
          <w:p>
            <w:pPr>
              <w:spacing w:before="20" w:after="20"/>
            </w:pPr>
            <w:r/>
            <w:r>
              <w:rPr>
                <w:sz w:val="16"/>
              </w:rPr>
              <w:t>MPM (plastic compaction)</w:t>
            </w:r>
          </w:p>
        </w:tc>
        <w:tc>
          <w:tcPr>
            <w:tcW w:type="dxa" w:w="4535"/>
          </w:tcPr>
          <w:p>
            <w:pPr>
              <w:spacing w:before="20" w:after="20"/>
            </w:pPr>
            <w:r/>
            <w:r>
              <w:rPr>
                <w:sz w:val="16"/>
              </w:rPr>
              <w:t>E = 1.53 GPa · ν = 0.49 (these give K = 25.5 GPa, G = 0.51 GPa) · σ_y = 0.30 GPa</w:t>
            </w:r>
          </w:p>
        </w:tc>
        <w:tc>
          <w:tcPr>
            <w:tcW w:type="dxa" w:w="3118"/>
          </w:tcPr>
          <w:p>
            <w:pPr>
              <w:spacing w:before="20" w:after="20"/>
            </w:pPr>
            <w:r/>
            <w:r>
              <w:rPr>
                <w:sz w:val="16"/>
              </w:rPr>
              <w:t>E, ν: Model choice · σ_y: Selected against densification target</w:t>
            </w:r>
          </w:p>
        </w:tc>
      </w:tr>
      <w:tr>
        <w:tc>
          <w:tcPr>
            <w:tcW w:type="dxa" w:w="1814"/>
          </w:tcPr>
          <w:p>
            <w:pPr>
              <w:spacing w:before="20" w:after="20"/>
            </w:pPr>
            <w:r/>
            <w:r>
              <w:rPr>
                <w:sz w:val="16"/>
              </w:rPr>
              <w:t>Voxel transport</w:t>
            </w:r>
          </w:p>
        </w:tc>
        <w:tc>
          <w:tcPr>
            <w:tcW w:type="dxa" w:w="4535"/>
          </w:tcPr>
          <w:p>
            <w:pPr>
              <w:spacing w:before="20" w:after="20"/>
            </w:pPr>
            <w:r/>
            <w:r>
              <w:rPr>
                <w:sz w:val="16"/>
              </w:rPr>
              <w:t>Voxel edge 0.15 μm · σ_e(NCM811) 1.0 × 10⁻² · σ_ion(LPSCl) 3.0 × 10⁻³ · σ_e(VGCF, powder) 1.0 × 10² · σ_e(VGCF, voxel diameter-preserving) 78.5 · σ_e(SDCP) 250 · PTFE 0  [S cm⁻¹]</w:t>
            </w:r>
          </w:p>
        </w:tc>
        <w:tc>
          <w:tcPr>
            <w:tcW w:type="dxa" w:w="3118"/>
          </w:tcPr>
          <w:p>
            <w:pPr>
              <w:spacing w:before="20" w:after="20"/>
            </w:pPr>
            <w:r/>
            <w:r>
              <w:rPr>
                <w:sz w:val="16"/>
              </w:rPr>
              <w:t>σ_e(VGCF): Effective network constant, not a fibre material constant</w:t>
            </w:r>
          </w:p>
        </w:tc>
      </w:tr>
    </w:tbl>
    <w:p>
      <w:pPr>
        <w:spacing w:after="120"/>
        <w:jc w:val="both"/>
      </w:pPr>
      <w:r>
        <w:rPr>
          <w:b w:val="0"/>
          <w:i w:val="0"/>
          <w:sz w:val="18"/>
        </w:rPr>
        <w:t>E(dense) 24 GPa 와 E(DEM contact) 1.35 GPa 는 둘 다 남깁니다. VGCF 의 두 행(powder / voxel diameter-preserving)도 그대로 둡니다 — 규약이 표에서 보여야 합니다. 그리고 세 값의 역할이 서로 다르므로 'Calibrated' 한 라벨로 뭉치지 않습니다: 접촉 E 는 경험적 접촉법칙 입력값, MPM 의 E·ν 는 모델 선택, σ_y 는 치밀화 표적에 맞춰 고른 값입니다.</w:t>
      </w:r>
    </w:p>
    <w:p>
      <w:pPr>
        <w:pStyle w:val="Heading1"/>
      </w:pPr>
      <w:r>
        <w:rPr>
          <w:color w:val="1A1A1A"/>
        </w:rPr>
        <w:t>5. Table S3 — σ_ele 갱신, 나머지는 미완</w:t>
      </w:r>
    </w:p>
    <w:p>
      <w:pPr>
        <w:spacing w:after="120"/>
        <w:jc w:val="both"/>
      </w:pPr>
      <w:r>
        <w:rPr>
          <w:b w:val="0"/>
          <w:i w:val="0"/>
          <w:sz w:val="19"/>
        </w:rPr>
        <w:t>제목: “… obtained from the DEM simulations” → “Structural metrics from the DEM–MPM geometry and transport metrics from the voxel finite-volume solver”.</w:t>
      </w:r>
    </w:p>
    <w:tbl>
      <w:tblPr>
        <w:tblStyle w:val="TableGrid"/>
        <w:tblW w:type="auto" w:w="0"/>
        <w:tblLook w:firstColumn="1" w:firstRow="1" w:lastColumn="0" w:lastRow="0" w:noHBand="0" w:noVBand="1" w:val="04A0"/>
      </w:tblPr>
      <w:tblGrid>
        <w:gridCol w:w="2493"/>
        <w:gridCol w:w="2493"/>
        <w:gridCol w:w="2493"/>
        <w:gridCol w:w="2493"/>
      </w:tblGrid>
      <w:tr>
        <w:tc>
          <w:tcPr>
            <w:tcW w:type="dxa" w:w="4649"/>
            <w:shd w:val="clear" w:fill="E8E8E8"/>
          </w:tcPr>
          <w:p>
            <w:pPr>
              <w:spacing w:before="20" w:after="20"/>
            </w:pPr>
            <w:r/>
            <w:r>
              <w:rPr>
                <w:b/>
                <w:sz w:val="16"/>
              </w:rPr>
              <w:t>Parameter</w:t>
            </w:r>
          </w:p>
        </w:tc>
        <w:tc>
          <w:tcPr>
            <w:tcW w:type="dxa" w:w="2381"/>
            <w:shd w:val="clear" w:fill="E8E8E8"/>
          </w:tcPr>
          <w:p>
            <w:pPr>
              <w:spacing w:before="20" w:after="20"/>
            </w:pPr>
            <w:r/>
            <w:r>
              <w:rPr>
                <w:b/>
                <w:sz w:val="16"/>
              </w:rPr>
              <w:t>SBE</w:t>
            </w:r>
          </w:p>
        </w:tc>
        <w:tc>
          <w:tcPr>
            <w:tcW w:type="dxa" w:w="2381"/>
            <w:shd w:val="clear" w:fill="E8E8E8"/>
          </w:tcPr>
          <w:p>
            <w:pPr>
              <w:spacing w:before="20" w:after="20"/>
            </w:pPr>
            <w:r/>
            <w:r>
              <w:rPr>
                <w:b/>
                <w:sz w:val="16"/>
              </w:rPr>
              <w:t>DBE</w:t>
            </w:r>
          </w:p>
        </w:tc>
        <w:tc>
          <w:tcPr>
            <w:tcW w:type="dxa" w:w="1191"/>
            <w:shd w:val="clear" w:fill="E8E8E8"/>
          </w:tcPr>
          <w:p>
            <w:pPr>
              <w:spacing w:before="20" w:after="20"/>
            </w:pPr>
            <w:r/>
            <w:r>
              <w:rPr>
                <w:b/>
                <w:sz w:val="16"/>
              </w:rPr>
              <w:t>Unit</w:t>
            </w:r>
          </w:p>
        </w:tc>
      </w:tr>
      <w:tr>
        <w:tc>
          <w:tcPr>
            <w:tcW w:type="dxa" w:w="4649"/>
          </w:tcPr>
          <w:p>
            <w:pPr>
              <w:spacing w:before="20" w:after="20"/>
            </w:pPr>
            <w:r/>
            <w:r>
              <w:rPr>
                <w:sz w:val="16"/>
              </w:rPr>
              <w:t>Thickness</w:t>
            </w:r>
          </w:p>
        </w:tc>
        <w:tc>
          <w:tcPr>
            <w:tcW w:type="dxa" w:w="2381"/>
          </w:tcPr>
          <w:p>
            <w:pPr>
              <w:spacing w:before="20" w:after="20"/>
            </w:pPr>
            <w:r/>
            <w:r>
              <w:rPr>
                <w:sz w:val="16"/>
              </w:rPr>
              <w:t>72.53</w:t>
            </w:r>
          </w:p>
        </w:tc>
        <w:tc>
          <w:tcPr>
            <w:tcW w:type="dxa" w:w="2381"/>
          </w:tcPr>
          <w:p>
            <w:pPr>
              <w:spacing w:before="20" w:after="20"/>
            </w:pPr>
            <w:r/>
            <w:r>
              <w:rPr>
                <w:sz w:val="16"/>
              </w:rPr>
              <w:t>72.53</w:t>
            </w:r>
          </w:p>
        </w:tc>
        <w:tc>
          <w:tcPr>
            <w:tcW w:type="dxa" w:w="1191"/>
          </w:tcPr>
          <w:p>
            <w:pPr>
              <w:spacing w:before="20" w:after="20"/>
            </w:pPr>
            <w:r/>
            <w:r>
              <w:rPr>
                <w:sz w:val="16"/>
              </w:rPr>
              <w:t>μm</w:t>
            </w:r>
          </w:p>
        </w:tc>
      </w:tr>
      <w:tr>
        <w:tc>
          <w:tcPr>
            <w:tcW w:type="dxa" w:w="4649"/>
          </w:tcPr>
          <w:p>
            <w:pPr>
              <w:spacing w:before="20" w:after="20"/>
            </w:pPr>
            <w:r/>
            <w:r>
              <w:rPr>
                <w:sz w:val="16"/>
              </w:rPr>
              <w:t>ε_union (simulation-geometry diagnostic)</w:t>
            </w:r>
          </w:p>
        </w:tc>
        <w:tc>
          <w:tcPr>
            <w:tcW w:type="dxa" w:w="2381"/>
          </w:tcPr>
          <w:p>
            <w:pPr>
              <w:spacing w:before="20" w:after="20"/>
            </w:pPr>
            <w:r/>
            <w:r>
              <w:rPr>
                <w:sz w:val="16"/>
              </w:rPr>
              <w:t>7.86</w:t>
            </w:r>
          </w:p>
        </w:tc>
        <w:tc>
          <w:tcPr>
            <w:tcW w:type="dxa" w:w="2381"/>
          </w:tcPr>
          <w:p>
            <w:pPr>
              <w:spacing w:before="20" w:after="20"/>
            </w:pPr>
            <w:r/>
            <w:r>
              <w:rPr>
                <w:sz w:val="16"/>
              </w:rPr>
              <w:t>7.37</w:t>
            </w:r>
          </w:p>
        </w:tc>
        <w:tc>
          <w:tcPr>
            <w:tcW w:type="dxa" w:w="1191"/>
          </w:tcPr>
          <w:p>
            <w:pPr>
              <w:spacing w:before="20" w:after="20"/>
            </w:pPr>
            <w:r/>
            <w:r>
              <w:rPr>
                <w:sz w:val="16"/>
              </w:rPr>
              <w:t>%</w:t>
            </w:r>
          </w:p>
        </w:tc>
      </w:tr>
      <w:tr>
        <w:tc>
          <w:tcPr>
            <w:tcW w:type="dxa" w:w="4649"/>
          </w:tcPr>
          <w:p>
            <w:pPr>
              <w:spacing w:before="20" w:after="20"/>
            </w:pPr>
            <w:r/>
            <w:r>
              <w:rPr>
                <w:sz w:val="16"/>
              </w:rPr>
              <w:t>σ_ele,eff — PTFE omitted from the electronic grid (legacy/default convention)</w:t>
            </w:r>
          </w:p>
        </w:tc>
        <w:tc>
          <w:tcPr>
            <w:tcW w:type="dxa" w:w="2381"/>
          </w:tcPr>
          <w:p>
            <w:pPr>
              <w:spacing w:before="20" w:after="20"/>
            </w:pPr>
            <w:r/>
            <w:r>
              <w:rPr>
                <w:sz w:val="16"/>
              </w:rPr>
              <w:t>72.3</w:t>
            </w:r>
          </w:p>
        </w:tc>
        <w:tc>
          <w:tcPr>
            <w:tcW w:type="dxa" w:w="2381"/>
          </w:tcPr>
          <w:p>
            <w:pPr>
              <w:spacing w:before="20" w:after="20"/>
            </w:pPr>
            <w:r/>
            <w:r>
              <w:rPr>
                <w:sz w:val="16"/>
              </w:rPr>
              <w:t>81.3</w:t>
            </w:r>
          </w:p>
        </w:tc>
        <w:tc>
          <w:tcPr>
            <w:tcW w:type="dxa" w:w="1191"/>
          </w:tcPr>
          <w:p>
            <w:pPr>
              <w:spacing w:before="20" w:after="20"/>
            </w:pPr>
            <w:r/>
            <w:r>
              <w:rPr>
                <w:sz w:val="16"/>
              </w:rPr>
              <w:t>mS cm⁻¹</w:t>
            </w:r>
          </w:p>
        </w:tc>
      </w:tr>
      <w:tr>
        <w:tc>
          <w:tcPr>
            <w:tcW w:type="dxa" w:w="4649"/>
          </w:tcPr>
          <w:p>
            <w:pPr>
              <w:spacing w:before="20" w:after="20"/>
            </w:pPr>
            <w:r/>
            <w:r>
              <w:rPr>
                <w:sz w:val="16"/>
              </w:rPr>
              <w:t>σ_ele,eff — PTFE centerline voxels excluded (exact-zero sensitivity convention)</w:t>
            </w:r>
          </w:p>
        </w:tc>
        <w:tc>
          <w:tcPr>
            <w:tcW w:type="dxa" w:w="2381"/>
          </w:tcPr>
          <w:p>
            <w:pPr>
              <w:spacing w:before="20" w:after="20"/>
            </w:pPr>
            <w:r/>
            <w:r>
              <w:rPr>
                <w:sz w:val="16"/>
              </w:rPr>
              <w:t>54.0</w:t>
            </w:r>
          </w:p>
        </w:tc>
        <w:tc>
          <w:tcPr>
            <w:tcW w:type="dxa" w:w="2381"/>
          </w:tcPr>
          <w:p>
            <w:pPr>
              <w:spacing w:before="20" w:after="20"/>
            </w:pPr>
            <w:r/>
            <w:r>
              <w:rPr>
                <w:sz w:val="16"/>
              </w:rPr>
              <w:t>70.6</w:t>
            </w:r>
          </w:p>
        </w:tc>
        <w:tc>
          <w:tcPr>
            <w:tcW w:type="dxa" w:w="1191"/>
          </w:tcPr>
          <w:p>
            <w:pPr>
              <w:spacing w:before="20" w:after="20"/>
            </w:pPr>
            <w:r/>
            <w:r>
              <w:rPr>
                <w:sz w:val="16"/>
              </w:rPr>
              <w:t>mS cm⁻¹</w:t>
            </w:r>
          </w:p>
        </w:tc>
      </w:tr>
      <w:tr>
        <w:tc>
          <w:tcPr>
            <w:tcW w:type="dxa" w:w="4649"/>
          </w:tcPr>
          <w:p>
            <w:pPr>
              <w:spacing w:before="20" w:after="20"/>
            </w:pPr>
            <w:r/>
            <w:r>
              <w:rPr>
                <w:sz w:val="16"/>
              </w:rPr>
              <w:t>σ_ele ratio, paired over 8 origin phases (omitted · centerline-excluded)</w:t>
            </w:r>
          </w:p>
        </w:tc>
        <w:tc>
          <w:tcPr>
            <w:tcW w:type="dxa" w:w="2381"/>
          </w:tcPr>
          <w:p>
            <w:pPr>
              <w:spacing w:before="20" w:after="20"/>
            </w:pPr>
            <w:r/>
            <w:r>
              <w:rPr>
                <w:sz w:val="16"/>
              </w:rPr>
              <w:t>1.124</w:t>
            </w:r>
          </w:p>
        </w:tc>
        <w:tc>
          <w:tcPr>
            <w:tcW w:type="dxa" w:w="2381"/>
          </w:tcPr>
          <w:p>
            <w:pPr>
              <w:spacing w:before="20" w:after="20"/>
            </w:pPr>
            <w:r/>
            <w:r>
              <w:rPr>
                <w:sz w:val="16"/>
              </w:rPr>
              <w:t>1.308</w:t>
            </w:r>
          </w:p>
        </w:tc>
        <w:tc>
          <w:tcPr>
            <w:tcW w:type="dxa" w:w="1191"/>
          </w:tcPr>
          <w:p>
            <w:pPr>
              <w:spacing w:before="20" w:after="20"/>
            </w:pPr>
            <w:r/>
            <w:r>
              <w:rPr>
                <w:sz w:val="16"/>
              </w:rPr>
              <w:t>—</w:t>
            </w:r>
          </w:p>
        </w:tc>
      </w:tr>
      <w:tr>
        <w:tc>
          <w:tcPr>
            <w:tcW w:type="dxa" w:w="4649"/>
          </w:tcPr>
          <w:p>
            <w:pPr>
              <w:spacing w:before="20" w:after="20"/>
            </w:pPr>
            <w:r/>
            <w:r>
              <w:rPr>
                <w:sz w:val="16"/>
              </w:rPr>
              <w:t>└ spread / observed range</w:t>
            </w:r>
          </w:p>
        </w:tc>
        <w:tc>
          <w:tcPr>
            <w:tcW w:type="dxa" w:w="2381"/>
          </w:tcPr>
          <w:p>
            <w:pPr>
              <w:spacing w:before="20" w:after="20"/>
            </w:pPr>
            <w:r/>
            <w:r>
              <w:rPr>
                <w:sz w:val="16"/>
              </w:rPr>
              <w:t>0.003 / 1.120–1.127</w:t>
            </w:r>
          </w:p>
        </w:tc>
        <w:tc>
          <w:tcPr>
            <w:tcW w:type="dxa" w:w="2381"/>
          </w:tcPr>
          <w:p>
            <w:pPr>
              <w:spacing w:before="20" w:after="20"/>
            </w:pPr>
            <w:r/>
            <w:r>
              <w:rPr>
                <w:sz w:val="16"/>
              </w:rPr>
              <w:t>0.003 / 1.302–1.310</w:t>
            </w:r>
          </w:p>
        </w:tc>
        <w:tc>
          <w:tcPr>
            <w:tcW w:type="dxa" w:w="1191"/>
          </w:tcPr>
          <w:p>
            <w:pPr>
              <w:spacing w:before="20" w:after="20"/>
            </w:pPr>
            <w:r/>
            <w:r>
              <w:rPr>
                <w:sz w:val="16"/>
              </w:rPr>
              <w:t>—</w:t>
            </w:r>
          </w:p>
        </w:tc>
      </w:tr>
      <w:tr>
        <w:tc>
          <w:tcPr>
            <w:tcW w:type="dxa" w:w="4649"/>
          </w:tcPr>
          <w:p>
            <w:pPr>
              <w:spacing w:before="20" w:after="20"/>
            </w:pPr>
            <w:r/>
            <w:r>
              <w:rPr>
                <w:sz w:val="16"/>
              </w:rPr>
              <w:t>σ_ion,eff</w:t>
            </w:r>
          </w:p>
        </w:tc>
        <w:tc>
          <w:tcPr>
            <w:tcW w:type="dxa" w:w="2381"/>
          </w:tcPr>
          <w:p>
            <w:pPr>
              <w:spacing w:before="20" w:after="20"/>
            </w:pPr>
            <w:r/>
            <w:r>
              <w:rPr>
                <w:i/>
                <w:sz w:val="16"/>
              </w:rPr>
              <w:t>[ 미측정 — 이온 전용 런 진행 중 ]</w:t>
            </w:r>
          </w:p>
        </w:tc>
        <w:tc>
          <w:tcPr>
            <w:tcW w:type="dxa" w:w="2381"/>
          </w:tcPr>
          <w:p>
            <w:pPr>
              <w:spacing w:before="20" w:after="20"/>
            </w:pPr>
            <w:r/>
            <w:r>
              <w:rPr>
                <w:i/>
                <w:sz w:val="16"/>
              </w:rPr>
              <w:t>[ 미측정 — 이온 전용 런 진행 중 ]</w:t>
            </w:r>
          </w:p>
        </w:tc>
        <w:tc>
          <w:tcPr>
            <w:tcW w:type="dxa" w:w="1191"/>
          </w:tcPr>
          <w:p>
            <w:pPr>
              <w:spacing w:before="20" w:after="20"/>
            </w:pPr>
            <w:r/>
            <w:r>
              <w:rPr>
                <w:sz w:val="16"/>
              </w:rPr>
              <w:t>mS cm⁻¹</w:t>
            </w:r>
          </w:p>
        </w:tc>
      </w:tr>
      <w:tr>
        <w:tc>
          <w:tcPr>
            <w:tcW w:type="dxa" w:w="4649"/>
          </w:tcPr>
          <w:p>
            <w:pPr>
              <w:spacing w:before="20" w:after="20"/>
            </w:pPr>
            <w:r/>
            <w:r>
              <w:rPr>
                <w:sz w:val="16"/>
              </w:rPr>
              <w:t>SE coverage of AM</w:t>
            </w:r>
          </w:p>
        </w:tc>
        <w:tc>
          <w:tcPr>
            <w:tcW w:type="dxa" w:w="2381"/>
          </w:tcPr>
          <w:p>
            <w:pPr>
              <w:spacing w:before="20" w:after="20"/>
            </w:pPr>
            <w:r/>
            <w:r>
              <w:rPr>
                <w:i/>
                <w:sz w:val="16"/>
              </w:rPr>
              <w:t>[ 미측정 — 새 침대에서 재산출 필요 ]</w:t>
            </w:r>
          </w:p>
        </w:tc>
        <w:tc>
          <w:tcPr>
            <w:tcW w:type="dxa" w:w="2381"/>
          </w:tcPr>
          <w:p>
            <w:pPr>
              <w:spacing w:before="20" w:after="20"/>
            </w:pPr>
            <w:r/>
            <w:r>
              <w:rPr>
                <w:i/>
                <w:sz w:val="16"/>
              </w:rPr>
              <w:t>[ 미측정 — 새 침대에서 재산출 필요 ]</w:t>
            </w:r>
          </w:p>
        </w:tc>
        <w:tc>
          <w:tcPr>
            <w:tcW w:type="dxa" w:w="1191"/>
          </w:tcPr>
          <w:p>
            <w:pPr>
              <w:spacing w:before="20" w:after="20"/>
            </w:pPr>
            <w:r/>
            <w:r>
              <w:rPr>
                <w:sz w:val="16"/>
              </w:rPr>
              <w:t>%</w:t>
            </w:r>
          </w:p>
        </w:tc>
      </w:tr>
      <w:tr>
        <w:tc>
          <w:tcPr>
            <w:tcW w:type="dxa" w:w="4649"/>
          </w:tcPr>
          <w:p>
            <w:pPr>
              <w:spacing w:before="20" w:after="20"/>
            </w:pPr>
            <w:r/>
            <w:r>
              <w:rPr>
                <w:sz w:val="16"/>
              </w:rPr>
              <w:t>VGCF coverage of AM</w:t>
            </w:r>
          </w:p>
        </w:tc>
        <w:tc>
          <w:tcPr>
            <w:tcW w:type="dxa" w:w="2381"/>
          </w:tcPr>
          <w:p>
            <w:pPr>
              <w:spacing w:before="20" w:after="20"/>
            </w:pPr>
            <w:r/>
            <w:r>
              <w:rPr>
                <w:i/>
                <w:sz w:val="16"/>
              </w:rPr>
              <w:t>[ 미측정 — 새 침대에서 재산출 필요 ]</w:t>
            </w:r>
          </w:p>
        </w:tc>
        <w:tc>
          <w:tcPr>
            <w:tcW w:type="dxa" w:w="2381"/>
          </w:tcPr>
          <w:p>
            <w:pPr>
              <w:spacing w:before="20" w:after="20"/>
            </w:pPr>
            <w:r/>
            <w:r>
              <w:rPr>
                <w:i/>
                <w:sz w:val="16"/>
              </w:rPr>
              <w:t>[ 미측정 — 새 침대에서 재산출 필요 ]</w:t>
            </w:r>
          </w:p>
        </w:tc>
        <w:tc>
          <w:tcPr>
            <w:tcW w:type="dxa" w:w="1191"/>
          </w:tcPr>
          <w:p>
            <w:pPr>
              <w:spacing w:before="20" w:after="20"/>
            </w:pPr>
            <w:r/>
            <w:r>
              <w:rPr>
                <w:sz w:val="16"/>
              </w:rPr>
              <w:t>%</w:t>
            </w:r>
          </w:p>
        </w:tc>
      </w:tr>
      <w:tr>
        <w:tc>
          <w:tcPr>
            <w:tcW w:type="dxa" w:w="4649"/>
          </w:tcPr>
          <w:p>
            <w:pPr>
              <w:spacing w:before="20" w:after="20"/>
            </w:pPr>
            <w:r/>
            <w:r>
              <w:rPr>
                <w:sz w:val="16"/>
              </w:rPr>
              <w:t>Median CBD contacts per AM particle</w:t>
            </w:r>
          </w:p>
        </w:tc>
        <w:tc>
          <w:tcPr>
            <w:tcW w:type="dxa" w:w="2381"/>
          </w:tcPr>
          <w:p>
            <w:pPr>
              <w:spacing w:before="20" w:after="20"/>
            </w:pPr>
            <w:r/>
            <w:r>
              <w:rPr>
                <w:i/>
                <w:sz w:val="16"/>
              </w:rPr>
              <w:t>[ 미측정 — 새 침대에서 재산출 필요 ]</w:t>
            </w:r>
          </w:p>
        </w:tc>
        <w:tc>
          <w:tcPr>
            <w:tcW w:type="dxa" w:w="2381"/>
          </w:tcPr>
          <w:p>
            <w:pPr>
              <w:spacing w:before="20" w:after="20"/>
            </w:pPr>
            <w:r/>
            <w:r>
              <w:rPr>
                <w:i/>
                <w:sz w:val="16"/>
              </w:rPr>
              <w:t>[ 미측정 — 새 침대에서 재산출 필요 ]</w:t>
            </w:r>
          </w:p>
        </w:tc>
        <w:tc>
          <w:tcPr>
            <w:tcW w:type="dxa" w:w="1191"/>
          </w:tcPr>
          <w:p>
            <w:pPr>
              <w:spacing w:before="20" w:after="20"/>
            </w:pPr>
            <w:r/>
            <w:r>
              <w:rPr>
                <w:sz w:val="16"/>
              </w:rPr>
              <w:t>ea</w:t>
            </w:r>
          </w:p>
        </w:tc>
      </w:tr>
      <w:tr>
        <w:tc>
          <w:tcPr>
            <w:tcW w:type="dxa" w:w="4649"/>
          </w:tcPr>
          <w:p>
            <w:pPr>
              <w:spacing w:before="20" w:after="20"/>
            </w:pPr>
            <w:r/>
            <w:r>
              <w:rPr>
                <w:sz w:val="16"/>
              </w:rPr>
              <w:t>Electronic connectivity</w:t>
            </w:r>
          </w:p>
        </w:tc>
        <w:tc>
          <w:tcPr>
            <w:tcW w:type="dxa" w:w="2381"/>
          </w:tcPr>
          <w:p>
            <w:pPr>
              <w:spacing w:before="20" w:after="20"/>
            </w:pPr>
            <w:r/>
            <w:r>
              <w:rPr>
                <w:i/>
                <w:sz w:val="16"/>
              </w:rPr>
              <w:t>[ 미측정 — 새 침대에서 재산출 필요 ]</w:t>
            </w:r>
          </w:p>
        </w:tc>
        <w:tc>
          <w:tcPr>
            <w:tcW w:type="dxa" w:w="2381"/>
          </w:tcPr>
          <w:p>
            <w:pPr>
              <w:spacing w:before="20" w:after="20"/>
            </w:pPr>
            <w:r/>
            <w:r>
              <w:rPr>
                <w:i/>
                <w:sz w:val="16"/>
              </w:rPr>
              <w:t>[ 미측정 — 새 침대에서 재산출 필요 ]</w:t>
            </w:r>
          </w:p>
        </w:tc>
        <w:tc>
          <w:tcPr>
            <w:tcW w:type="dxa" w:w="1191"/>
          </w:tcPr>
          <w:p>
            <w:pPr>
              <w:spacing w:before="20" w:after="20"/>
            </w:pPr>
            <w:r/>
            <w:r>
              <w:rPr>
                <w:sz w:val="16"/>
              </w:rPr>
              <w:t>%</w:t>
            </w:r>
          </w:p>
        </w:tc>
      </w:tr>
      <w:tr>
        <w:tc>
          <w:tcPr>
            <w:tcW w:type="dxa" w:w="4649"/>
          </w:tcPr>
          <w:p>
            <w:pPr>
              <w:spacing w:before="20" w:after="20"/>
            </w:pPr>
            <w:r/>
            <w:r>
              <w:rPr>
                <w:sz w:val="16"/>
              </w:rPr>
              <w:t>Areal capacity</w:t>
            </w:r>
          </w:p>
        </w:tc>
        <w:tc>
          <w:tcPr>
            <w:tcW w:type="dxa" w:w="2381"/>
          </w:tcPr>
          <w:p>
            <w:pPr>
              <w:spacing w:before="20" w:after="20"/>
            </w:pPr>
            <w:r/>
            <w:r>
              <w:rPr>
                <w:i/>
                <w:sz w:val="16"/>
              </w:rPr>
              <w:t>[ 미측정 — 새 침대에서 재산출 필요 ]</w:t>
            </w:r>
          </w:p>
        </w:tc>
        <w:tc>
          <w:tcPr>
            <w:tcW w:type="dxa" w:w="2381"/>
          </w:tcPr>
          <w:p>
            <w:pPr>
              <w:spacing w:before="20" w:after="20"/>
            </w:pPr>
            <w:r/>
            <w:r>
              <w:rPr>
                <w:i/>
                <w:sz w:val="16"/>
              </w:rPr>
              <w:t>[ 미측정 — 새 침대에서 재산출 필요 ]</w:t>
            </w:r>
          </w:p>
        </w:tc>
        <w:tc>
          <w:tcPr>
            <w:tcW w:type="dxa" w:w="1191"/>
          </w:tcPr>
          <w:p>
            <w:pPr>
              <w:spacing w:before="20" w:after="20"/>
            </w:pPr>
            <w:r/>
            <w:r>
              <w:rPr>
                <w:sz w:val="16"/>
              </w:rPr>
              <w:t>mAh cm⁻²</w:t>
            </w:r>
          </w:p>
        </w:tc>
      </w:tr>
    </w:tbl>
    <w:p>
      <w:pPr>
        <w:spacing w:after="120"/>
        <w:jc w:val="both"/>
      </w:pPr>
      <w:r>
        <w:rPr>
          <w:b w:val="0"/>
          <w:i w:val="0"/>
          <w:sz w:val="18"/>
        </w:rPr>
        <w:t>대괄호로 남긴 칸은 값이 없는 칸입니다 — 작아서 생략한 것이 아니라 아직 재지 않았습니다. 옛 값을 그대로 옮기지 않은 이유는, 그렇게 하면 한 표 안에 두 세대의 침대가 섞이기 때문입니다. σ_ele 만 새 침대이고 나머지가 옛 침대이면 독자는 그것을 구별할 수 없습니다.</w:t>
      </w:r>
    </w:p>
    <w:p>
      <w:pPr>
        <w:spacing w:after="40"/>
        <w:jc w:val="both"/>
      </w:pPr>
      <w:r>
        <w:rPr>
          <w:b/>
          <w:i w:val="0"/>
          <w:sz w:val="19"/>
        </w:rPr>
        <w:t>ε_union 과 thickness 의 연산 정의:</w:t>
      </w:r>
    </w:p>
    <w:p>
      <w:pPr>
        <w:spacing w:after="40"/>
        <w:ind w:left="283"/>
        <w:jc w:val="both"/>
      </w:pPr>
      <w:r>
        <w:rPr>
          <w:b w:val="0"/>
          <w:i w:val="0"/>
          <w:sz w:val="18"/>
        </w:rPr>
        <w:t>· ε_union = 1 − V_solid / (A · (z_plate − z_floor)). 분자는 겹침을 한 번만 세는 합집합 부피이고 분모는 바닥판과 플래튼 사이의 상자 부피입니다. 통상적인 전극 porosity 가 아니며, 실험 앵커(~15.6 %) 대비 과압축입니다.</w:t>
      </w:r>
    </w:p>
    <w:p>
      <w:pPr>
        <w:spacing w:after="40"/>
        <w:ind w:left="283"/>
        <w:jc w:val="both"/>
      </w:pPr>
      <w:r>
        <w:rPr>
          <w:b w:val="0"/>
          <w:i w:val="0"/>
          <w:sz w:val="18"/>
        </w:rPr>
        <w:t>· Thickness 는 운동학적 정지 규칙에서 플래튼이 멈춘 위치로 정해지는 값입니다. 응력 평형에서 창발한 두께가 아닙니다.</w:t>
      </w:r>
    </w:p>
    <w:p>
      <w:pPr>
        <w:spacing w:after="40"/>
        <w:ind w:left="283"/>
        <w:jc w:val="both"/>
      </w:pPr>
      <w:r>
        <w:rPr>
          <w:b w:val="0"/>
          <w:i w:val="0"/>
          <w:sz w:val="18"/>
        </w:rPr>
        <w:t>· 두 침대의 thickness 가 같다는 것이 과압축이 비에서 상쇄된다는 뜻은 아닙니다. 같은 속도·같은 정지 위치는 like-for-like 입력을 보장할 뿐입니다.</w:t>
      </w:r>
    </w:p>
    <w:p>
      <w:pPr>
        <w:pStyle w:val="Heading1"/>
      </w:pPr>
      <w:r>
        <w:rPr>
          <w:color w:val="1A1A1A"/>
        </w:rPr>
        <w:t>6. Table S3b (신설) — PTFE 표현 민감도</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3742"/>
            <w:shd w:val="clear" w:fill="E8E8E8"/>
          </w:tcPr>
          <w:p>
            <w:pPr>
              <w:spacing w:before="20" w:after="20"/>
            </w:pPr>
            <w:r/>
            <w:r>
              <w:rPr>
                <w:b/>
                <w:sz w:val="16"/>
              </w:rPr>
              <w:t>PTFE convention</w:t>
            </w:r>
          </w:p>
        </w:tc>
        <w:tc>
          <w:tcPr>
            <w:tcW w:type="dxa" w:w="1247"/>
            <w:shd w:val="clear" w:fill="E8E8E8"/>
          </w:tcPr>
          <w:p>
            <w:pPr>
              <w:spacing w:before="20" w:after="20"/>
            </w:pPr>
            <w:r/>
            <w:r>
              <w:rPr>
                <w:b/>
                <w:sz w:val="16"/>
              </w:rPr>
              <w:t>σ_ele SBE</w:t>
            </w:r>
          </w:p>
        </w:tc>
        <w:tc>
          <w:tcPr>
            <w:tcW w:type="dxa" w:w="1247"/>
            <w:shd w:val="clear" w:fill="E8E8E8"/>
          </w:tcPr>
          <w:p>
            <w:pPr>
              <w:spacing w:before="20" w:after="20"/>
            </w:pPr>
            <w:r/>
            <w:r>
              <w:rPr>
                <w:b/>
                <w:sz w:val="16"/>
              </w:rPr>
              <w:t>σ_ele DBE</w:t>
            </w:r>
          </w:p>
        </w:tc>
        <w:tc>
          <w:tcPr>
            <w:tcW w:type="dxa" w:w="1020"/>
            <w:shd w:val="clear" w:fill="E8E8E8"/>
          </w:tcPr>
          <w:p>
            <w:pPr>
              <w:spacing w:before="20" w:after="20"/>
            </w:pPr>
            <w:r/>
            <w:r>
              <w:rPr>
                <w:b/>
                <w:sz w:val="16"/>
              </w:rPr>
              <w:t>Ratio</w:t>
            </w:r>
          </w:p>
        </w:tc>
        <w:tc>
          <w:tcPr>
            <w:tcW w:type="dxa" w:w="1020"/>
            <w:shd w:val="clear" w:fill="E8E8E8"/>
          </w:tcPr>
          <w:p>
            <w:pPr>
              <w:spacing w:before="20" w:after="20"/>
            </w:pPr>
            <w:r/>
            <w:r>
              <w:rPr>
                <w:b/>
                <w:sz w:val="16"/>
              </w:rPr>
              <w:t>Spread</w:t>
            </w:r>
          </w:p>
        </w:tc>
        <w:tc>
          <w:tcPr>
            <w:tcW w:type="dxa" w:w="1474"/>
            <w:shd w:val="clear" w:fill="E8E8E8"/>
          </w:tcPr>
          <w:p>
            <w:pPr>
              <w:spacing w:before="20" w:after="20"/>
            </w:pPr>
            <w:r/>
            <w:r>
              <w:rPr>
                <w:b/>
                <w:sz w:val="16"/>
              </w:rPr>
              <w:t>Range</w:t>
            </w:r>
          </w:p>
        </w:tc>
      </w:tr>
      <w:tr>
        <w:tc>
          <w:tcPr>
            <w:tcW w:type="dxa" w:w="3742"/>
          </w:tcPr>
          <w:p>
            <w:pPr>
              <w:spacing w:before="20" w:after="20"/>
            </w:pPr>
            <w:r/>
            <w:r>
              <w:rPr>
                <w:sz w:val="16"/>
              </w:rPr>
              <w:t>PTFE omitted from the electronic grid (legacy/default convention)</w:t>
            </w:r>
          </w:p>
        </w:tc>
        <w:tc>
          <w:tcPr>
            <w:tcW w:type="dxa" w:w="1247"/>
          </w:tcPr>
          <w:p>
            <w:pPr>
              <w:spacing w:before="20" w:after="20"/>
            </w:pPr>
            <w:r/>
            <w:r>
              <w:rPr>
                <w:sz w:val="16"/>
              </w:rPr>
              <w:t>72.3</w:t>
            </w:r>
          </w:p>
        </w:tc>
        <w:tc>
          <w:tcPr>
            <w:tcW w:type="dxa" w:w="1247"/>
          </w:tcPr>
          <w:p>
            <w:pPr>
              <w:spacing w:before="20" w:after="20"/>
            </w:pPr>
            <w:r/>
            <w:r>
              <w:rPr>
                <w:sz w:val="16"/>
              </w:rPr>
              <w:t>81.3</w:t>
            </w:r>
          </w:p>
        </w:tc>
        <w:tc>
          <w:tcPr>
            <w:tcW w:type="dxa" w:w="1020"/>
          </w:tcPr>
          <w:p>
            <w:pPr>
              <w:spacing w:before="20" w:after="20"/>
            </w:pPr>
            <w:r/>
            <w:r>
              <w:rPr>
                <w:sz w:val="16"/>
              </w:rPr>
              <w:t>1.124</w:t>
            </w:r>
          </w:p>
        </w:tc>
        <w:tc>
          <w:tcPr>
            <w:tcW w:type="dxa" w:w="1020"/>
          </w:tcPr>
          <w:p>
            <w:pPr>
              <w:spacing w:before="20" w:after="20"/>
            </w:pPr>
            <w:r/>
            <w:r>
              <w:rPr>
                <w:sz w:val="16"/>
              </w:rPr>
              <w:t>0.003</w:t>
            </w:r>
          </w:p>
        </w:tc>
        <w:tc>
          <w:tcPr>
            <w:tcW w:type="dxa" w:w="1474"/>
          </w:tcPr>
          <w:p>
            <w:pPr>
              <w:spacing w:before="20" w:after="20"/>
            </w:pPr>
            <w:r/>
            <w:r>
              <w:rPr>
                <w:sz w:val="16"/>
              </w:rPr>
              <w:t>1.120–1.127</w:t>
            </w:r>
          </w:p>
        </w:tc>
      </w:tr>
      <w:tr>
        <w:tc>
          <w:tcPr>
            <w:tcW w:type="dxa" w:w="3742"/>
          </w:tcPr>
          <w:p>
            <w:pPr>
              <w:spacing w:before="20" w:after="20"/>
            </w:pPr>
            <w:r/>
            <w:r>
              <w:rPr>
                <w:sz w:val="16"/>
              </w:rPr>
              <w:t>PTFE centerline voxels excluded (exact-zero sensitivity convention)</w:t>
            </w:r>
          </w:p>
        </w:tc>
        <w:tc>
          <w:tcPr>
            <w:tcW w:type="dxa" w:w="1247"/>
          </w:tcPr>
          <w:p>
            <w:pPr>
              <w:spacing w:before="20" w:after="20"/>
            </w:pPr>
            <w:r/>
            <w:r>
              <w:rPr>
                <w:sz w:val="16"/>
              </w:rPr>
              <w:t>54.0</w:t>
            </w:r>
          </w:p>
        </w:tc>
        <w:tc>
          <w:tcPr>
            <w:tcW w:type="dxa" w:w="1247"/>
          </w:tcPr>
          <w:p>
            <w:pPr>
              <w:spacing w:before="20" w:after="20"/>
            </w:pPr>
            <w:r/>
            <w:r>
              <w:rPr>
                <w:sz w:val="16"/>
              </w:rPr>
              <w:t>70.6</w:t>
            </w:r>
          </w:p>
        </w:tc>
        <w:tc>
          <w:tcPr>
            <w:tcW w:type="dxa" w:w="1020"/>
          </w:tcPr>
          <w:p>
            <w:pPr>
              <w:spacing w:before="20" w:after="20"/>
            </w:pPr>
            <w:r/>
            <w:r>
              <w:rPr>
                <w:sz w:val="16"/>
              </w:rPr>
              <w:t>1.308</w:t>
            </w:r>
          </w:p>
        </w:tc>
        <w:tc>
          <w:tcPr>
            <w:tcW w:type="dxa" w:w="1020"/>
          </w:tcPr>
          <w:p>
            <w:pPr>
              <w:spacing w:before="20" w:after="20"/>
            </w:pPr>
            <w:r/>
            <w:r>
              <w:rPr>
                <w:sz w:val="16"/>
              </w:rPr>
              <w:t>0.003</w:t>
            </w:r>
          </w:p>
        </w:tc>
        <w:tc>
          <w:tcPr>
            <w:tcW w:type="dxa" w:w="1474"/>
          </w:tcPr>
          <w:p>
            <w:pPr>
              <w:spacing w:before="20" w:after="20"/>
            </w:pPr>
            <w:r/>
            <w:r>
              <w:rPr>
                <w:sz w:val="16"/>
              </w:rPr>
              <w:t>1.302–1.310</w:t>
            </w:r>
          </w:p>
        </w:tc>
      </w:tr>
    </w:tbl>
    <w:p>
      <w:pPr>
        <w:spacing w:after="120"/>
        <w:jc w:val="both"/>
      </w:pPr>
      <w:r>
        <w:rPr>
          <w:b w:val="0"/>
          <w:i/>
          <w:sz w:val="17"/>
        </w:rPr>
        <w:t>각주: Both conventions were evaluated on the same beds with the same code and grid, differing only in whether the insulating binder occupies conduction cells; a machine-checked contract confirms that no other parameter differs. Neither convention is designated primary: the one-cell centerline under-represents the spatial extent of a thin coating while over-blocking the cells it occupies, and the diameter-aware variant is not implemented, so neither is established as closer to the real film. Omitting the binder from the conduction grid removes only its electronic exclusion; its mass and stiffness remain in the DEM–MPM bed. The direction of the change is common to both conventions, its magnitude is not.</w:t>
      </w:r>
    </w:p>
    <w:p>
      <w:r>
        <w:br w:type="page"/>
      </w:r>
    </w:p>
    <w:p>
      <w:pPr>
        <w:pStyle w:val="Heading1"/>
      </w:pPr>
      <w:r>
        <w:rPr>
          <w:color w:val="1A1A1A"/>
        </w:rPr>
        <w:t>7. 본문에서 함께 고쳐야 할 곳</w:t>
      </w:r>
    </w:p>
    <w:p>
      <w:pPr>
        <w:spacing w:after="120"/>
        <w:jc w:val="both"/>
      </w:pPr>
      <w:r>
        <w:rPr>
          <w:b w:val="0"/>
          <w:i/>
          <w:sz w:val="18"/>
        </w:rPr>
        <w:t>아래는 협업자 문서의 문장이라 저희가 바꾸지 않고 지목만 합니다.</w:t>
      </w:r>
    </w:p>
    <w:tbl>
      <w:tblPr>
        <w:tblStyle w:val="TableGrid"/>
        <w:tblW w:type="auto" w:w="0"/>
        <w:tblLook w:firstColumn="1" w:firstRow="1" w:lastColumn="0" w:lastRow="0" w:noHBand="0" w:noVBand="1" w:val="04A0"/>
      </w:tblPr>
      <w:tblGrid>
        <w:gridCol w:w="3324"/>
        <w:gridCol w:w="3324"/>
        <w:gridCol w:w="3324"/>
      </w:tblGrid>
      <w:tr>
        <w:tc>
          <w:tcPr>
            <w:tcW w:type="dxa" w:w="1928"/>
            <w:shd w:val="clear" w:fill="E8E8E8"/>
          </w:tcPr>
          <w:p>
            <w:pPr>
              <w:spacing w:before="20" w:after="20"/>
            </w:pPr>
            <w:r/>
            <w:r>
              <w:rPr>
                <w:b/>
                <w:sz w:val="16"/>
              </w:rPr>
              <w:t>Location</w:t>
            </w:r>
          </w:p>
        </w:tc>
        <w:tc>
          <w:tcPr>
            <w:tcW w:type="dxa" w:w="3175"/>
            <w:shd w:val="clear" w:fill="E8E8E8"/>
          </w:tcPr>
          <w:p>
            <w:pPr>
              <w:spacing w:before="20" w:after="20"/>
            </w:pPr>
            <w:r/>
            <w:r>
              <w:rPr>
                <w:b/>
                <w:sz w:val="16"/>
              </w:rPr>
              <w:t>v6 as written</w:t>
            </w:r>
          </w:p>
        </w:tc>
        <w:tc>
          <w:tcPr>
            <w:tcW w:type="dxa" w:w="4365"/>
            <w:shd w:val="clear" w:fill="E8E8E8"/>
          </w:tcPr>
          <w:p>
            <w:pPr>
              <w:spacing w:before="20" w:after="20"/>
            </w:pPr>
            <w:r/>
            <w:r>
              <w:rPr>
                <w:b/>
                <w:sz w:val="16"/>
              </w:rPr>
              <w:t>Proposed</w:t>
            </w:r>
          </w:p>
        </w:tc>
      </w:tr>
      <w:tr>
        <w:tc>
          <w:tcPr>
            <w:tcW w:type="dxa" w:w="1928"/>
          </w:tcPr>
          <w:p>
            <w:pPr>
              <w:spacing w:before="20" w:after="20"/>
            </w:pPr>
            <w:r/>
            <w:r>
              <w:rPr>
                <w:sz w:val="16"/>
              </w:rPr>
              <w:t>Transport paragraph</w:t>
            </w:r>
          </w:p>
        </w:tc>
        <w:tc>
          <w:tcPr>
            <w:tcW w:type="dxa" w:w="3175"/>
          </w:tcPr>
          <w:p>
            <w:pPr>
              <w:spacing w:before="20" w:after="20"/>
            </w:pPr>
            <w:r/>
            <w:r>
              <w:rPr>
                <w:sz w:val="16"/>
              </w:rPr>
              <w:t>“… the simulated effective σ_ele increases from 1.98 to 3.00 S cm⁻¹”</w:t>
            </w:r>
          </w:p>
        </w:tc>
        <w:tc>
          <w:tcPr>
            <w:tcW w:type="dxa" w:w="4365"/>
          </w:tcPr>
          <w:p>
            <w:pPr>
              <w:spacing w:before="20" w:after="20"/>
            </w:pPr>
            <w:r/>
            <w:r>
              <w:rPr>
                <w:sz w:val="16"/>
              </w:rPr>
              <w:t>Both conventions, given equal weight: “72.3 → 81.3 mS cm⁻¹ (ratio 1.124) with the binder omitted from the electronic grid, and 54.0 → 70.6 mS cm⁻¹ (1.308) with its centerline voxels excluded.” Neither is given first as the headline.</w:t>
            </w:r>
          </w:p>
        </w:tc>
      </w:tr>
      <w:tr>
        <w:tc>
          <w:tcPr>
            <w:tcW w:type="dxa" w:w="1928"/>
          </w:tcPr>
          <w:p>
            <w:pPr>
              <w:spacing w:before="20" w:after="20"/>
            </w:pPr>
            <w:r/>
            <w:r>
              <w:rPr>
                <w:sz w:val="16"/>
              </w:rPr>
              <w:t>Transport paragraph</w:t>
            </w:r>
          </w:p>
        </w:tc>
        <w:tc>
          <w:tcPr>
            <w:tcW w:type="dxa" w:w="3175"/>
          </w:tcPr>
          <w:p>
            <w:pPr>
              <w:spacing w:before="20" w:after="20"/>
            </w:pPr>
            <w:r/>
            <w:r>
              <w:rPr>
                <w:sz w:val="16"/>
              </w:rPr>
              <w:t>“… σ_ion … 0.203 and 0.215 mS cm⁻¹”</w:t>
            </w:r>
          </w:p>
        </w:tc>
        <w:tc>
          <w:tcPr>
            <w:tcW w:type="dxa" w:w="4365"/>
          </w:tcPr>
          <w:p>
            <w:pPr>
              <w:spacing w:before="20" w:after="20"/>
            </w:pPr>
            <w:r/>
            <w:r>
              <w:rPr>
                <w:i/>
                <w:sz w:val="16"/>
              </w:rPr>
              <w:t>[ 보류 — 이온 전용 런 완료 전까지 수치를 넣지 않음 ]</w:t>
            </w:r>
          </w:p>
        </w:tc>
      </w:tr>
      <w:tr>
        <w:tc>
          <w:tcPr>
            <w:tcW w:type="dxa" w:w="1928"/>
          </w:tcPr>
          <w:p>
            <w:pPr>
              <w:spacing w:before="20" w:after="20"/>
            </w:pPr>
            <w:r/>
            <w:r>
              <w:rPr>
                <w:sz w:val="16"/>
              </w:rPr>
              <w:t>Transport paragraph</w:t>
            </w:r>
          </w:p>
        </w:tc>
        <w:tc>
          <w:tcPr>
            <w:tcW w:type="dxa" w:w="3175"/>
          </w:tcPr>
          <w:p>
            <w:pPr>
              <w:spacing w:before="20" w:after="20"/>
            </w:pPr>
            <w:r/>
            <w:r>
              <w:rPr>
                <w:sz w:val="16"/>
              </w:rPr>
              <w:t>“reconstructed using a discrete element method (DEM)”</w:t>
            </w:r>
          </w:p>
        </w:tc>
        <w:tc>
          <w:tcPr>
            <w:tcW w:type="dxa" w:w="4365"/>
          </w:tcPr>
          <w:p>
            <w:pPr>
              <w:spacing w:before="20" w:after="20"/>
            </w:pPr>
            <w:r/>
            <w:r>
              <w:rPr>
                <w:sz w:val="16"/>
              </w:rPr>
              <w:t>“generated by DEM packing and MPM compaction” — ‘reconstructed’ implies tomographic reconstruction of a real specimen, which this is not.</w:t>
            </w:r>
          </w:p>
        </w:tc>
      </w:tr>
      <w:tr>
        <w:tc>
          <w:tcPr>
            <w:tcW w:type="dxa" w:w="1928"/>
          </w:tcPr>
          <w:p>
            <w:pPr>
              <w:spacing w:before="20" w:after="20"/>
            </w:pPr>
            <w:r/>
            <w:r>
              <w:rPr>
                <w:sz w:val="16"/>
              </w:rPr>
              <w:t>Figure 4a caption</w:t>
            </w:r>
          </w:p>
        </w:tc>
        <w:tc>
          <w:tcPr>
            <w:tcW w:type="dxa" w:w="3175"/>
          </w:tcPr>
          <w:p>
            <w:pPr>
              <w:spacing w:before="20" w:after="20"/>
            </w:pPr>
            <w:r/>
            <w:r>
              <w:rPr>
                <w:sz w:val="16"/>
              </w:rPr>
              <w:t>“DEM-reconstructed …”</w:t>
            </w:r>
          </w:p>
        </w:tc>
        <w:tc>
          <w:tcPr>
            <w:tcW w:type="dxa" w:w="4365"/>
          </w:tcPr>
          <w:p>
            <w:pPr>
              <w:spacing w:before="20" w:after="20"/>
            </w:pPr>
            <w:r/>
            <w:r>
              <w:rPr>
                <w:sz w:val="16"/>
              </w:rPr>
              <w:t>“DEM-packed and MPM-compacted …”</w:t>
            </w:r>
          </w:p>
        </w:tc>
      </w:tr>
      <w:tr>
        <w:tc>
          <w:tcPr>
            <w:tcW w:type="dxa" w:w="1928"/>
          </w:tcPr>
          <w:p>
            <w:pPr>
              <w:spacing w:before="20" w:after="20"/>
            </w:pPr>
            <w:r/>
            <w:r>
              <w:rPr>
                <w:sz w:val="16"/>
              </w:rPr>
              <w:t>Figure 4b</w:t>
            </w:r>
          </w:p>
        </w:tc>
        <w:tc>
          <w:tcPr>
            <w:tcW w:type="dxa" w:w="3175"/>
          </w:tcPr>
          <w:p>
            <w:pPr>
              <w:spacing w:before="20" w:after="20"/>
            </w:pPr>
            <w:r/>
            <w:r>
              <w:rPr>
                <w:sz w:val="16"/>
              </w:rPr>
              <w:t>Plot of the superseded σ values</w:t>
            </w:r>
          </w:p>
        </w:tc>
        <w:tc>
          <w:tcPr>
            <w:tcW w:type="dxa" w:w="4365"/>
          </w:tcPr>
          <w:p>
            <w:pPr>
              <w:spacing w:before="20" w:after="20"/>
            </w:pPr>
            <w:r/>
            <w:r>
              <w:rPr>
                <w:i/>
                <w:sz w:val="16"/>
              </w:rPr>
              <w:t>[ 재작도 필요 — 두 규약을 병기하는 형태로 ]</w:t>
            </w:r>
          </w:p>
        </w:tc>
      </w:tr>
      <w:tr>
        <w:tc>
          <w:tcPr>
            <w:tcW w:type="dxa" w:w="1928"/>
          </w:tcPr>
          <w:p>
            <w:pPr>
              <w:spacing w:before="20" w:after="20"/>
            </w:pPr>
            <w:r/>
            <w:r>
              <w:rPr>
                <w:sz w:val="16"/>
              </w:rPr>
              <w:t>Table S3 title</w:t>
            </w:r>
          </w:p>
        </w:tc>
        <w:tc>
          <w:tcPr>
            <w:tcW w:type="dxa" w:w="3175"/>
          </w:tcPr>
          <w:p>
            <w:pPr>
              <w:spacing w:before="20" w:after="20"/>
            </w:pPr>
            <w:r/>
            <w:r>
              <w:rPr>
                <w:sz w:val="16"/>
              </w:rPr>
              <w:t>“… obtained from the DEM simulations”</w:t>
            </w:r>
          </w:p>
        </w:tc>
        <w:tc>
          <w:tcPr>
            <w:tcW w:type="dxa" w:w="4365"/>
          </w:tcPr>
          <w:p>
            <w:pPr>
              <w:spacing w:before="20" w:after="20"/>
            </w:pPr>
            <w:r/>
            <w:r>
              <w:rPr>
                <w:sz w:val="16"/>
              </w:rPr>
              <w:t>“Structural metrics from the DEM–MPM geometry and transport metrics from the voxel finite-volume solver”</w:t>
            </w:r>
          </w:p>
        </w:tc>
      </w:tr>
      <w:tr>
        <w:tc>
          <w:tcPr>
            <w:tcW w:type="dxa" w:w="1928"/>
          </w:tcPr>
          <w:p>
            <w:pPr>
              <w:spacing w:before="20" w:after="20"/>
            </w:pPr>
            <w:r/>
            <w:r>
              <w:rPr>
                <w:sz w:val="16"/>
              </w:rPr>
              <w:t>Figure S16–S18 captions</w:t>
            </w:r>
          </w:p>
        </w:tc>
        <w:tc>
          <w:tcPr>
            <w:tcW w:type="dxa" w:w="3175"/>
          </w:tcPr>
          <w:p>
            <w:pPr>
              <w:spacing w:before="20" w:after="20"/>
            </w:pPr>
            <w:r/>
            <w:r>
              <w:rPr>
                <w:sz w:val="16"/>
              </w:rPr>
              <w:t>“… for the DEM simulations”</w:t>
            </w:r>
          </w:p>
        </w:tc>
        <w:tc>
          <w:tcPr>
            <w:tcW w:type="dxa" w:w="4365"/>
          </w:tcPr>
          <w:p>
            <w:pPr>
              <w:spacing w:before="20" w:after="20"/>
            </w:pPr>
            <w:r/>
            <w:r>
              <w:rPr>
                <w:i/>
                <w:sz w:val="16"/>
              </w:rPr>
              <w:t>[ 미감사 — 외부 DOCX 라 자동 검사 사정권 밖 ]</w:t>
            </w:r>
          </w:p>
        </w:tc>
      </w:tr>
    </w:tbl>
    <w:p>
      <w:pPr>
        <w:pStyle w:val="Heading1"/>
      </w:pPr>
      <w:r>
        <w:rPr>
          <w:color w:val="1A1A1A"/>
        </w:rPr>
        <w:t>8. 아직 해결되지 않은 것 — 전체 설명</w:t>
      </w:r>
    </w:p>
    <w:p>
      <w:pPr>
        <w:jc w:val="both"/>
      </w:pPr>
      <w:r>
        <w:rPr>
          <w:b/>
          <w:sz w:val="19"/>
        </w:rPr>
        <w:t xml:space="preserve">σ_ion (Table S3) — </w:t>
      </w:r>
      <w:r>
        <w:rPr>
          <w:sz w:val="19"/>
        </w:rPr>
        <w:t>이전 cohort 는 전자 전도도만 푸는 설정으로 돌았기 때문에 이온 값이 없습니다. 지금 같은 침대·같은 8개 origin 으로 이온까지 푸는 런이 돌고 있습니다(16팔). ⚠ v6 의 옛 값(0.203 / 0.215 mS cm⁻¹)을 그대로 쓰면 한 표 안에 두 세대가 섞입니다.</w:t>
      </w:r>
    </w:p>
    <w:p>
      <w:pPr>
        <w:jc w:val="both"/>
      </w:pPr>
      <w:r>
        <w:rPr>
          <w:b/>
          <w:sz w:val="19"/>
        </w:rPr>
        <w:t xml:space="preserve">구조 지표 다섯 행 — </w:t>
      </w:r>
      <w:r>
        <w:rPr>
          <w:sz w:val="19"/>
        </w:rPr>
        <w:t>SE/VGCF coverage · AM 입자당 CBD 접촉 수 · 전자 연결성 · 면적 용량. ★ 이 중 하나는 본문이 직접 인용합니다 — “the median number of conductive-binder-domain contacts per active material particle increases from 433 for the SBE to 517 for the DBE”. 그러므로 빼는 항목이 아니라 새 침대에서 다시 뽑아야 하는 항목입니다.</w:t>
      </w:r>
    </w:p>
    <w:p>
      <w:pPr>
        <w:jc w:val="both"/>
      </w:pPr>
      <w:r>
        <w:rPr>
          <w:b/>
          <w:sz w:val="19"/>
        </w:rPr>
        <w:t xml:space="preserve">W4 32팔 원자료 (해제조건 ④) — </w:t>
      </w:r>
      <w:r>
        <w:rPr>
          <w:sz w:val="19"/>
        </w:rPr>
        <w:t>팔당 산출물이 127 MB 라 그대로는 리포에 들어가지 않습니다. 축약기가 준비돼 있고(검증 출력이 원본과 같은지 기계적으로 대조합니다), 계산기에서 전송만 남았습니다. 이것이 끝나기 전까지 σ_ele 값은 ‘제3자가 재검증 가능’ 이 아니라 ‘내부 확인’ 입니다.</w:t>
      </w:r>
    </w:p>
    <w:p>
      <w:pPr>
        <w:jc w:val="both"/>
      </w:pPr>
      <w:r>
        <w:rPr>
          <w:b/>
          <w:sz w:val="19"/>
        </w:rPr>
        <w:t xml:space="preserve">Figure 4b (해제조건 ⑦) — </w:t>
      </w:r>
      <w:r>
        <w:rPr>
          <w:sz w:val="19"/>
        </w:rPr>
        <w:t>현재 그림은 철회된 세대의 σ 값을 그린 것입니다. 두 규약을 병기하는 형태로 재작도해야 하며, 어느 한쪽만 그리면 Methods 가 두 규약을 동등하게 적은 것과 모순됩니다.</w:t>
      </w:r>
    </w:p>
    <w:p>
      <w:pPr>
        <w:jc w:val="both"/>
      </w:pPr>
      <w:r>
        <w:rPr>
          <w:b/>
          <w:sz w:val="19"/>
        </w:rPr>
        <w:t xml:space="preserve">Figure S16–S18 캐프션 (해제조건 ⑧) — </w:t>
      </w:r>
      <w:r>
        <w:rPr>
          <w:sz w:val="19"/>
        </w:rPr>
        <w:t>외부 DOCX 에 있어 저희 자동 검사가 한 번도 본 적이 없는 구간입니다. 원고·SI 텍스트를 리포 안에 두면 반복적으로 자동 검사가 돌 수 있습니다 — 합의가 필요합니다.</w:t>
      </w:r>
    </w:p>
    <w:p>
      <w:pPr>
        <w:jc w:val="both"/>
      </w:pPr>
      <w:r>
        <w:rPr>
          <w:b/>
          <w:sz w:val="19"/>
        </w:rPr>
        <w:t xml:space="preserve">탄소 전도도 가정의 여유 — </w:t>
      </w:r>
      <w:r>
        <w:rPr>
          <w:sz w:val="19"/>
        </w:rPr>
        <w:t>현재 결론은 σ(VGCF) 를 유효 망 상수로 볼 때 성립합니다. 단섬유 값(×100)을 넣으면 부호가 뒤집히므로, 그 가정이 얼마나 튀튼한지를 재는 감도 공정(σ = 250 · 800 · 2500)을 등록해 두었습니다. 원고에는 Limitations 한 문단으로 이미 들어가 있습니다.</w:t>
      </w:r>
    </w:p>
    <w:p>
      <w:pPr>
        <w:pStyle w:val="Heading2"/>
      </w:pPr>
      <w:r>
        <w:rPr>
          <w:color w:val="1A1A1A"/>
        </w:rPr>
        <w:t>9. 수치의 출처</w:t>
      </w:r>
    </w:p>
    <w:p>
      <w:pPr>
        <w:spacing w:after="120"/>
        <w:jc w:val="both"/>
      </w:pPr>
      <w:r>
        <w:rPr>
          <w:b w:val="0"/>
          <w:i w:val="0"/>
          <w:sz w:val="19"/>
        </w:rPr>
        <w:t>이 문서의 σ_ele 값은 2026-08-27 침대에서 vox 0.15 μm, SDCP 를 참 직경 구로 스탬프한 규약으로, 두 PTFE 규약 각각 8개 origin 씩 모두 16팔을 완주해 얻은 것입니다. 두 규약의 짝은 같은 침대·같은 코드이며 등록 축 외의 인자가 다르지 않다는 것을 기계 검사로 확인했습니다. 수치 정본은 리포의 docs/reviews/table_s3_data_20260827.md 이고, 이 문서는 그것을 옮겨 적은 것입니다 — 두 곳이 어긋나면 정본이 이깁니다.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