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 w:before="0" w:line="28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Table S2. Computational parameters for the DFT calculations of Li-adatom migration on the Li₃N(001) and LiC₆(0001) surfaces.</w:t>
      </w:r>
    </w:p>
    <w:tbl>
      <w:tblPr>
        <w:tblW w:type="dxa" w:w="9360"/>
        <w:tblBorders>
          <w:top w:val="single" w:color="808080" w:sz="6"/>
          <w:left w:val="none"/>
          <w:bottom w:val="single" w:color="808080" w:sz="6"/>
          <w:right w:val="none"/>
          <w:insideH w:val="single" w:color="BFBFBF" w:sz="2"/>
          <w:insideV w:val="none"/>
        </w:tblBorders>
      </w:tblPr>
      <w:tblGrid>
        <w:gridCol w:w="2280"/>
        <w:gridCol w:w="3540"/>
        <w:gridCol w:w="3540"/>
      </w:tblGrid>
      <w:tr>
        <w:tc>
          <w:tcPr>
            <w:tcW w:type="dxa" w:w="2280"/>
            <w:gridSpan w:val="1"/>
            <w:shd w:fill="D9E2F3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3540"/>
            <w:gridSpan w:val="1"/>
            <w:shd w:fill="D9E2F3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Li₃N(001)</w:t>
            </w:r>
          </w:p>
        </w:tc>
        <w:tc>
          <w:tcPr>
            <w:tcW w:type="dxa" w:w="3540"/>
            <w:gridSpan w:val="1"/>
            <w:shd w:fill="D9E2F3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LiC₆(0001)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Code / functional</w:t>
            </w:r>
          </w:p>
        </w:tc>
        <w:tc>
          <w:tcPr>
            <w:tcW w:type="dxa" w:w="7080"/>
            <w:gridSpan w:val="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Quantum ESPRESSO 7.4.1 (pw.x) [1]; PBE [2]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Pseudopotentials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Li, N: ultrasoft [3]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Li: ultrasoft [3]; C: PAW [4]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Pseudopotential libraries</w:t>
            </w:r>
          </w:p>
        </w:tc>
        <w:tc>
          <w:tcPr>
            <w:tcW w:type="dxa" w:w="7080"/>
            <w:gridSpan w:val="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Li: GBRV [5]; N, C: PSlibrary [6]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Cutoff (wavefunction / charge density)</w:t>
            </w:r>
          </w:p>
        </w:tc>
        <w:tc>
          <w:tcPr>
            <w:tcW w:type="dxa" w:w="7080"/>
            <w:gridSpan w:val="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 / 480 Ry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k-point mesh</w:t>
            </w:r>
          </w:p>
        </w:tc>
        <w:tc>
          <w:tcPr>
            <w:tcW w:type="dxa" w:w="7080"/>
            <w:gridSpan w:val="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 × 2 × 1 (Γ-centred)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Smearing</w:t>
            </w:r>
          </w:p>
        </w:tc>
        <w:tc>
          <w:tcPr>
            <w:tcW w:type="dxa" w:w="7080"/>
            <w:gridSpan w:val="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Marzari–Vanderbilt, 0.01 Ry [7]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Convergence (SCF / force)</w:t>
            </w:r>
          </w:p>
        </w:tc>
        <w:tc>
          <w:tcPr>
            <w:tcW w:type="dxa" w:w="7080"/>
            <w:gridSpan w:val="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 × 10⁻⁶ Ry / 1 × 10⁻³ Ry bohr⁻¹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Slab model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α-Li₃N, 3 × 3; four Li₂N and three Li planes, Li₂N (N-exposed) termination; 135 atoms + 1 Li adatom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Stage-1 LiC₆, √3 × √3 R30°, 2 × 2 × 2; graphene-terminated; 108 atoms + 1 Li adatom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 / vacuum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 = b = 10.95 Å, c = 28.545 Å, γ = 120°; 15.7 Å vacuum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15 Å vacuum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Fixed atoms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Bottom two Li₂N/Li bilayers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Bottom 50 % of the slab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Migration path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Constrained relaxation: adatom lateral (x, y) coordinates fixed; its height and all unconstrained atoms relaxed independently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CI-NEB [8] with the UMA-oc20 machine-learned potential [10] (7 images, IDPP initial path [9], 0.05 eV Å⁻¹) as implemented in ASE [11], then DFT single-point energies on those geometries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Barrier definition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E(saddle-region configuration) − E(relaxed adsorption minimum)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E(highest-energy image) − E(initial adsorption minimum)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Migration barrier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0.118 eV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0.290 eV</w:t>
            </w:r>
          </w:p>
        </w:tc>
      </w:tr>
    </w:tbl>
    <w:p>
      <w:pPr>
        <w:spacing w:after="140" w:before="0" w:line="28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/>
      </w:r>
    </w:p>
    <w:p>
      <w:pPr>
        <w:spacing w:after="110" w:before="0" w:line="28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Both surfaces use identical electronic-structure settings, so the two barriers are directly comparable. On Li₃N(001) the pronounced adsorbate-induced relaxation of the soft ionic surface destabilised elastic-band calculations, so the barrier was evaluated from two independently converged constrained relaxations instead.</w:t>
      </w:r>
    </w:p>
    <w:p>
      <w:pPr>
        <w:spacing w:after="160" w:before="0" w:line="28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The LiC₆(0001) energies are DFT single points on machine-learned-potential geometries; because such potentials smooth the transition state, the LiC₆ barrier — and hence the barrier ratio quoted in the main text — is a conservative lower bound. The Li₃N(001) value of 0.118 eV agrees with the 0.133 eV reported for the same surface in ref. [12].</w:t>
      </w:r>
    </w:p>
    <w:p>
      <w:pPr>
        <w:spacing w:after="80" w:before="0" w:line="28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References</w:t>
      </w:r>
    </w:p>
    <w:p>
      <w:pPr>
        <w:spacing w:after="40" w:before="0" w:line="280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[1] P. Giannozzi, S. Baroni, N. Bonini, M. Calandra, R. Car, C. Cavazzoni, D. Ceresoli, G. L. Chiarotti, M. Cococcioni, I. Dabo, A. Dal Corso, S. de Gironcoli, S. Fabris, G. Fratesi, R. Gebauer, U. Gerstmann, C. Gougoussis, A. Kokalj, M. Lazzeri, L. Martin-Samos, N. Marzari, F. Mauri, R. Mazzarello, S. Paolini, A. Pasquarello, L. Paulatto, C. Sbraccia, S. Scandolo, G. Sclauzero, A. P. Seitsonen, A. Smogunov, P. Umari, R. M. Wentzcovitch, QUANTUM ESPRESSO: a modular and open-source software project for quantum simulations of materials, J. Phys.: Condens. Matter 21 (2009) 395502. https://doi.org/10.1088/0953-8984/21/39/395502.</w:t>
      </w:r>
    </w:p>
    <w:p>
      <w:pPr>
        <w:spacing w:after="40" w:before="0" w:line="280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[2] J. P. Perdew, K. Burke, M. Ernzerhof, Generalized gradient approximation made simple, Phys. Rev. Lett. 77 (1996) 3865–3868. https://doi.org/10.1103/PhysRevLett.77.3865.</w:t>
      </w:r>
    </w:p>
    <w:p>
      <w:pPr>
        <w:spacing w:after="40" w:before="0" w:line="280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[3] D. Vanderbilt, Soft self-consistent pseudopotentials in a generalized eigenvalue formalism, Phys. Rev. B 41 (1990) 7892–7895. https://doi.org/10.1103/PhysRevB.41.7892.</w:t>
      </w:r>
    </w:p>
    <w:p>
      <w:pPr>
        <w:spacing w:after="40" w:before="0" w:line="280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[4] P. E. Blöchl, Projector augmented-wave method, Phys. Rev. B 50 (1994) 17953–17979. https://doi.org/10.1103/PhysRevB.50.17953.</w:t>
      </w:r>
    </w:p>
    <w:p>
      <w:pPr>
        <w:spacing w:after="40" w:before="0" w:line="280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[5] K. F. Garrity, J. W. Bennett, K. M. Rabe, D. Vanderbilt, Pseudopotentials for high-throughput DFT calculations, Comput. Mater. Sci. 81 (2014) 446–452. https://doi.org/10.1016/j.commatsci.2013.08.053.</w:t>
      </w:r>
    </w:p>
    <w:p>
      <w:pPr>
        <w:spacing w:after="40" w:before="0" w:line="280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[6] A. Dal Corso, Pseudopotentials periodic table: From H to Pu, Comput. Mater. Sci. 95 (2014) 337–350. https://doi.org/10.1016/j.commatsci.2014.07.043.</w:t>
      </w:r>
    </w:p>
    <w:p>
      <w:pPr>
        <w:spacing w:after="40" w:before="0" w:line="280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[7] N. Marzari, D. Vanderbilt, A. De Vita, M. C. Payne, Thermal contraction and disordering of the Al(110) surface, Phys. Rev. Lett. 82 (1999) 3296–3299. https://doi.org/10.1103/PhysRevLett.82.3296.</w:t>
      </w:r>
    </w:p>
    <w:p>
      <w:pPr>
        <w:spacing w:after="40" w:before="0" w:line="280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[8] G. Henkelman, B. P. Uberuaga, H. Jónsson, A climbing image nudged elastic band method for finding saddle points and minimum energy paths, J. Chem. Phys. 113 (2000) 9901–9904. https://doi.org/10.1063/1.1329672.</w:t>
      </w:r>
    </w:p>
    <w:p>
      <w:pPr>
        <w:spacing w:after="40" w:before="0" w:line="280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[9] S. Smidstrup, A. Pedersen, K. Stokbro, H. Jónsson, Improved initial guess for minimum energy path calculations, J. Chem. Phys. 140 (2014) 214106. https://doi.org/10.1063/1.4878664.</w:t>
      </w:r>
    </w:p>
    <w:p>
      <w:pPr>
        <w:spacing w:after="40" w:before="0" w:line="280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[10] B. M. Wood, M. Dzamba, X. Fu, M. Gao, M. Shuaibi, L. Barroso-Luque, K. Abdelmaqsoud, V. Gharakhanyan, J. R. Kitchin, D. S. Levine, K. Michel, A. Sriram, T. S. Cohen, A. Das, S. J. Sahoo, A. Rizvi, Z. W. Ulissi, C. L. Zitnick, UMA: A family of universal models for atoms, Adv. Neural Inf. Process. Syst. 38 (2025) 143528–143564. https://doi.org/10.52202/085713-4310.</w:t>
      </w:r>
    </w:p>
    <w:p>
      <w:pPr>
        <w:spacing w:after="40" w:before="0" w:line="280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[11] A. H. Larsen, J. J. Mortensen, J. Blomqvist, I. E. Castelli, R. Christensen, M. Dułak, J. Friis, M. N. Groves, B. Hammer, C. Hargus, E. D. Hermes, P. C. Jennings, P. B. Jensen, J. Kermode, J. R. Kitchin, E. L. Kolsbjerg, J. Kubal, K. Kaasbjerg, S. Lysgaard, J. B. Maronsson, T. Maxson, T. Olsen, L. Pastewka, A. Peterson, C. Rostgaard, J. Schiøtz, O. Schütt, M. Strange, K. S. Thygesen, T. Vegge, L. Vilhelmsen, M. Walter, Z. Zeng, K. W. Jacobsen, The atomic simulation environment—a Python library for working with atoms, J. Phys.: Condens. Matter 29 (2017) 273002. https://doi.org/10.1088/1361-648X/aa680e.</w:t>
      </w:r>
    </w:p>
    <w:p>
      <w:pPr>
        <w:spacing w:after="40" w:before="0" w:line="280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[12] M. S. Kim, Z. Zhang, J. Wang, S. T. Oyakhire, S. C. Kim, Z. Yu, Y. Chen, D. T. Boyle, Y. Ye, Z. Huang, W. Zhang, R. Xu, P. Sayavong, S. F. Bent, J. Qin, Z. Bao, Y. Cui, Revealing the multifunctions of Li3N in the suspension electrolyte for lithium metal batteries, ACS Nano 17 (2023) 3168–3180. https://doi.org/10.1021/acsnano.2c12470. (= ref. [54] of the main text)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2026-08-13T04:47:29.811Z</dcterms:created>
  <dcterms:modified xsi:type="dcterms:W3CDTF">2026-08-13T04:47:29.811Z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