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Manuscript — Experimental section</w:t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</w:rPr>
        <w:t xml:space="preserve">Insert after the “Discrete element method” paragraph, replacing the placeholder “Computational details: DFT”. Equations (1) and (2) are already used by the discrete-element section, so the adsorption-energy expression is numbered (3).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Computational details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: Spin-polarised density functional theory (DFT) calculations were performed with Quantum ESPRESSO [ref] using the Perdew–Burke–Ernzerhof functional, Grimme D3 dispersion, and a Hubbard correction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U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6.2 eV on the Ni 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states. Wave functions and the charge density were expanded to 60 and 480 Ry, respectively, with Gaussian smearing of 0.05 eV and a self-consistency threshold of 1 × 10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−6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Ry. The NCM811 surface was modelled as an antiferromagnetic LiNiO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(104) slab (1 × 4, four layers, 192 atoms, 18.27 × 11.51 Å in plane) with more than 15 Å of vacuum, sampled with a Γ-centred 2 × 3 × 1 mesh and a dipole correction along the surface normal. SDCP was represented by its sulfonate-functionalised EDOT repeat unit (C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; the self-doped form 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was obtained by removing the sulfonate proton) and PTFE by a 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segment. Adsorption configurations were pre-screened over seven surface sites and 48 molecular orientations with a machine-learned interatomic potential [ref], and the lowest-energy configuration of each species on the surface Li and Ni sites was evaluated by DFT. Gas-phase references were relaxed at the Γ point in the same cell until residual forces fell below 1 × 10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−3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Ry bohr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−1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with the box padding increased from 20 to 24 Å to confirm convergence. Adsorption energies were obtained as</w:t>
      </w:r>
    </w:p>
    <w:p>
      <w:pPr>
        <w:spacing w:after="160" w:before="160" w:line="30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ads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(slab+molecule)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(slab)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(molecule)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(3)</w:t>
      </w:r>
    </w:p>
    <w:p>
      <w:pPr>
        <w:spacing w:after="200" w:before="0" w:line="36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where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(slab+molecule),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(slab),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(molecule) are the total energies of the adsorbed complex, the clean slab, and the isolated molecule, respectively, all computed with identical settings and the same antiferromagnetic configuration.</w:t>
      </w:r>
    </w:p>
    <w:p>
      <w:r>
        <w:br w:type="page"/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Supporting Information</w:t>
      </w:r>
    </w:p>
    <w:p>
      <w:pPr>
        <w:spacing w:after="160" w:before="0" w:line="30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Table S1. Parameters used for the DFT calculations.</w:t>
      </w:r>
    </w:p>
    <w:tbl>
      <w:tblPr>
        <w:tblW w:type="dxa" w:w="9360"/>
        <w:tblBorders>
          <w:top w:val="single" w:color="808080" w:sz="6"/>
          <w:left w:val="none"/>
          <w:bottom w:val="single" w:color="808080" w:sz="6"/>
          <w:right w:val="none"/>
          <w:insideH w:val="single" w:color="BFBFBF" w:sz="2"/>
          <w:insideV w:val="none"/>
        </w:tblBorders>
      </w:tblPr>
      <w:tblGrid>
        <w:gridCol w:w="1600"/>
        <w:gridCol w:w="2860"/>
        <w:gridCol w:w="2900"/>
        <w:gridCol w:w="900"/>
        <w:gridCol w:w="1100"/>
      </w:tblGrid>
      <w:tr>
        <w:tc>
          <w:tcPr>
            <w:tcW w:type="dxa" w:w="1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286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1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Program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Quantum ESPRESSO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Ref. S1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Exchange–correlation functional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PBE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Ref. S2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Dispersion correction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Grimme D3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Ref. S3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Hubbard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(Ni 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d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Ref. S4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Basis set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Wavefunction cutoff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Charge-density cutoff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Brillouin zone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-point mesh (slab)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× 3 × 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Γ-centred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-point mesh (convergence check)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× 4 × 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Γ-centred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-point mesh (gas-phase molecule)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× 1 × 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Γ only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Smearing width (Gaussian)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Convergence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Total energy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× 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−6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Residual force (gas-phase relaxation)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× 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Ry bohr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Surface model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Slab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LiNiO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(104), 1 × 4, four layers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Number of atoms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192 (Li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48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48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96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In-plane dimensions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18.27 × 11.51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 height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30.26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Adsorbate–image separation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&gt; 15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Constrained atoms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144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z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 ≤ 17.40 Å)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Magnetic configuration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Antiferromagnetic (net 0)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Ref. S5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Ni magnetic moment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μ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B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Dipole correction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Along surface normal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Adsorbate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SDCP repeat unit (neutral)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SDCP repeat unit (self-doped)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15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PTFE segment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22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Gas-phase reference box padding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and 24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Å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Configuration search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Surface sites / orientations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 / 48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Interatomic potential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UMA-s-1p1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Ref. S6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Force convergence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 Å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Adsorption energy</w:t>
            </w:r>
          </w:p>
        </w:tc>
        <w:tc>
          <w:tcPr>
            <w:tcW w:type="dxa" w:w="2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Equation (3)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 w:before="0" w:line="300"/>
      </w:pPr>
    </w:p>
    <w:p>
      <w:pPr>
        <w:spacing w:after="22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  <w:vertAlign w:val="super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 Adsorption energies are single-point DFT energies evaluated on the pre-screened adsorption geometries; the adsorbed complexes were not relaxed at the DFT level.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6"/>
          <w:szCs w:val="16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-point mesh was verified directly for the C</w:t>
      </w: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  <w:vertAlign w:val="subscript"/>
        </w:rPr>
        <w:t xml:space="preserve">22</w:t>
      </w: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 and self-doped SDCP systems; the remaining systems use the same mesh.</w:t>
      </w:r>
    </w:p>
    <w:p>
      <w:pPr>
        <w:spacing w:after="80" w:before="0" w:line="30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Figure captions (DFT panels)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</w:rPr>
        <w:t xml:space="preserve">Figure 2e. Calculated adsorption energies of the SDCP repeat unit and a PTFE segment on the LiNiO</w:t>
      </w: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</w:rPr>
        <w:t xml:space="preserve">(104) surface. ⟨values to be inserted⟩</w:t>
      </w:r>
    </w:p>
    <w:p>
      <w:pPr>
        <w:spacing w:after="6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</w:rPr>
        <w:t xml:space="preserve">Figure S3. Computational models used for the DFT calculations: the LiNiO</w:t>
      </w: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17"/>
          <w:szCs w:val="17"/>
        </w:rPr>
        <w:t xml:space="preserve">(104) slab and the adsorbed SDCP (neutral and self-doped) and PTFE segments.</w:t>
      </w:r>
    </w:p>
    <w:p>
      <w:pPr>
        <w:spacing w:after="140" w:before="0" w:line="300"/>
      </w:pPr>
    </w:p>
    <w:p>
      <w:pPr>
        <w:spacing w:after="80" w:before="0" w:line="30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References</w:t>
      </w:r>
    </w:p>
    <w:p>
      <w:pPr>
        <w:spacing w:after="4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[S1] P. Giannozzi, S. Baroni, N. Bonini, M. Calandra, R. Car, C. Cavazzoni, D. Ceresoli, G. L. Chiarotti, M. Cococcioni, I. Dabo, A. Dal Corso, S. de Gironcoli, S. Fabris, G. Fratesi, R. Gebauer, U. Gerstmann, C. Gougoussis, A. Kokalj, M. Lazzeri, L. Martin-Samos, N. Marzari, F. Mauri, R. Mazzarello, S. Paolini, A. Pasquarello, L. Paulatto, C. Sbraccia, S. Scandolo, G. Sclauzero, A. P. Seitsonen, A. Smogunov, P. Umari, R. M. Wentzcovitch, QUANTUM ESPRESSO: a modular and open-source software project for quantum simulations of materials, J. Phys.: Condens. Matter 21 (2009) 395502.</w:t>
      </w:r>
    </w:p>
    <w:p>
      <w:pPr>
        <w:spacing w:after="4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[S2] J. P. Perdew, K. Burke, M. Ernzerhof, Generalized gradient approximation made simple, Phys. Rev. Lett. 77 (1996) 3865–3868.</w:t>
      </w:r>
    </w:p>
    <w:p>
      <w:pPr>
        <w:spacing w:after="4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[S3] S. Grimme, J. Antony, S. Ehrlich, H. Krieg, A consistent and accurate ab initio parametrization of density functional dispersion correction (DFT-D) for the 94 elements H-Pu, J. Chem. Phys. 132 (2010) 154104.</w:t>
      </w:r>
    </w:p>
    <w:p>
      <w:pPr>
        <w:spacing w:after="4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[S4] ── TO BE SUPPLIED: source for U(Ni 3d) = 6.2 eV in LiNiO2.</w:t>
      </w:r>
    </w:p>
    <w:p>
      <w:pPr>
        <w:spacing w:after="4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[S5] ── TO BE SUPPLIED: source for the antiferromagnetic ordering of LiNiO2.</w:t>
      </w:r>
    </w:p>
    <w:p>
      <w:pPr>
        <w:spacing w:after="40" w:before="0" w:line="300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[S6] B. M. Wood, M. Dzamba, X. Fu, M. Gao, M. Shuaibi, L. Barroso-Luque, K. Abdelmaqsoud, V. Gharakhanyan, J. R. Kitchin, D. S. Levine, K. Michel, A. Sriram, T. S. Cohen, A. Das, S. J. Sahoo, A. Rizvi, Z. W. Ulissi, C. L. Zitnick, UMA: A family of universal models for atoms, Adv. Neural Inf. Process. Syst. 38 (2025) 143528–143564.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2026-08-23T05:55:18.726Z</dcterms:created>
  <dcterms:modified xsi:type="dcterms:W3CDTF">2026-08-23T05:55:18.726Z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