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sz w:val="28"/>
          <w:szCs w:val="28"/>
        </w:rPr>
        <w:t xml:space="preserve">DEM / microstructure-modelling sections — revised draft v1</w:t>
      </w:r>
    </w:p>
    <w:p>
      <w:pPr>
        <w:spacing w:after="240"/>
      </w:pPr>
      <w:r>
        <w:rPr>
          <w:rFonts w:ascii="Times New Roman" w:cs="Times New Roman" w:eastAsia="Times New Roman" w:hAnsi="Times New Roman"/>
          <w:i/>
          <w:iCs/>
          <w:color w:val="555555"/>
          <w:sz w:val="19"/>
          <w:szCs w:val="19"/>
        </w:rPr>
        <w:t xml:space="preserve">Prepared for merging into Manuscript v5.1 and Supporting Information v5.1. Formatted after "Methodology 참고자료". Open items are listed in Section D.</w:t>
      </w:r>
    </w:p>
    <w:p>
      <w:pPr>
        <w:pStyle w:val="Heading1"/>
        <w:spacing w:after="160" w:before="300"/>
      </w:pPr>
      <w:r>
        <w:rPr>
          <w:rFonts w:ascii="Times New Roman" w:cs="Times New Roman" w:eastAsia="Times New Roman" w:hAnsi="Times New Roman"/>
          <w:b/>
          <w:bCs/>
          <w:sz w:val="24"/>
          <w:szCs w:val="24"/>
        </w:rPr>
        <w:t xml:space="preserve">A.  Manuscript — 4. Experimental Section</w:t>
      </w:r>
    </w:p>
    <w:p>
      <w:pPr>
        <w:spacing w:after="160"/>
      </w:pPr>
      <w:r>
        <w:rPr>
          <w:rFonts w:ascii="Times New Roman" w:cs="Times New Roman" w:eastAsia="Times New Roman" w:hAnsi="Times New Roman"/>
          <w:i/>
          <w:iCs/>
          <w:color w:val="555555"/>
          <w:sz w:val="19"/>
          <w:szCs w:val="19"/>
        </w:rPr>
        <w:t xml:space="preserve">Replaces the single “Discrete element method:” paragraph.</w:t>
      </w:r>
    </w:p>
    <w:p>
      <w:pPr>
        <w:spacing w:after="160" w:line="300"/>
        <w:jc w:val="both"/>
      </w:pPr>
      <w:r>
        <w:rPr>
          <w:rFonts w:ascii="Times New Roman" w:cs="Times New Roman" w:eastAsia="Times New Roman" w:hAnsi="Times New Roman"/>
          <w:b/>
          <w:bCs/>
          <w:sz w:val="21"/>
          <w:szCs w:val="21"/>
        </w:rPr>
        <w:t xml:space="preserve">Microstructure reconstruction: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Three-dimensional SBE and DBE microstructures were reconstructed in two stages. Rigid-sphere packing was computed by the discrete element method (DEM) in LIGGGHTS,</w:t>
      </w:r>
      <w:r>
        <w:rPr>
          <w:rFonts w:ascii="Times New Roman" w:cs="Times New Roman" w:eastAsia="Times New Roman" w:hAnsi="Times New Roman"/>
          <w:sz w:val="21"/>
          <w:szCs w:val="21"/>
          <w:vertAlign w:val="superscript"/>
        </w:rPr>
        <w:t xml:space="preserve">[33]</w:t>
      </w:r>
      <w:r>
        <w:rPr>
          <w:rFonts w:ascii="Times New Roman" w:cs="Times New Roman" w:eastAsia="Times New Roman" w:hAnsi="Times New Roman"/>
          <w:sz w:val="21"/>
          <w:szCs w:val="21"/>
        </w:rPr>
        <w:t xml:space="preserve"> using 1,271 NCM811 spheres (</w:t>
      </w:r>
      <w:r>
        <w:rPr>
          <w:rFonts w:ascii="Times New Roman" w:cs="Times New Roman" w:eastAsia="Times New Roman" w:hAnsi="Times New Roman"/>
          <w:i/>
          <w:iCs/>
          <w:sz w:val="21"/>
          <w:szCs w:val="21"/>
        </w:rPr>
        <w:t xml:space="preserve">r</w:t>
      </w:r>
      <w:r>
        <w:rPr>
          <w:rFonts w:ascii="Times New Roman" w:cs="Times New Roman" w:eastAsia="Times New Roman" w:hAnsi="Times New Roman"/>
          <w:sz w:val="21"/>
          <w:szCs w:val="21"/>
        </w:rPr>
        <w:t xml:space="preserve"> = 2.5 μm) and 146,420 LPSCl spheres (</w:t>
      </w:r>
      <w:r>
        <w:rPr>
          <w:rFonts w:ascii="Times New Roman" w:cs="Times New Roman" w:eastAsia="Times New Roman" w:hAnsi="Times New Roman"/>
          <w:i/>
          <w:iCs/>
          <w:sz w:val="21"/>
          <w:szCs w:val="21"/>
        </w:rPr>
        <w:t xml:space="preserve">r</w:t>
      </w:r>
      <w:r>
        <w:rPr>
          <w:rFonts w:ascii="Times New Roman" w:cs="Times New Roman" w:eastAsia="Times New Roman" w:hAnsi="Times New Roman"/>
          <w:sz w:val="21"/>
          <w:szCs w:val="21"/>
        </w:rPr>
        <w:t xml:space="preserve"> = 0.5 μm) sized after the experimental powders, mixed at 70:27 by weight in a 50 × 50 μm</w:t>
      </w: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domain and compacted under displacement control to 300 MPa. Because rigid-sphere contacts cannot reproduce the plastic flattening, particle rearrangement and grain-boundary sliding that densify sulfide powders, the contact Young’s modulus of LPSCl was softened from the dense-material value of 24 GPa</w:t>
      </w:r>
      <w:r>
        <w:rPr>
          <w:rFonts w:ascii="Times New Roman" w:cs="Times New Roman" w:eastAsia="Times New Roman" w:hAnsi="Times New Roman"/>
          <w:sz w:val="21"/>
          <w:szCs w:val="21"/>
          <w:vertAlign w:val="superscript"/>
        </w:rPr>
        <w:t xml:space="preserve">[34]</w:t>
      </w:r>
      <w:r>
        <w:rPr>
          <w:rFonts w:ascii="Times New Roman" w:cs="Times New Roman" w:eastAsia="Times New Roman" w:hAnsi="Times New Roman"/>
          <w:sz w:val="21"/>
          <w:szCs w:val="21"/>
        </w:rPr>
        <w:t xml:space="preserve"> to 1.35 GPa, which reproduces the ~10 % porosity and 11–12 % contact overlap reported for cold-pressed LPSCl at 300 MPa.</w:t>
      </w:r>
      <w:r>
        <w:rPr>
          <w:rFonts w:ascii="Times New Roman" w:cs="Times New Roman" w:eastAsia="Times New Roman" w:hAnsi="Times New Roman"/>
          <w:sz w:val="21"/>
          <w:szCs w:val="21"/>
          <w:vertAlign w:val="superscript"/>
        </w:rPr>
        <w:t xml:space="preserve">[9]</w:t>
      </w:r>
      <w:r>
        <w:rPr>
          <w:rFonts w:ascii="Times New Roman" w:cs="Times New Roman" w:eastAsia="Times New Roman" w:hAnsi="Times New Roman"/>
          <w:sz w:val="21"/>
          <w:szCs w:val="21"/>
        </w:rPr>
        <w:t xml:space="preserve"> Plastic deformation of the electrolyte was then resolved on the fixed DEM skeleton by a GPU-accelerated material point method (MPM)</w:t>
      </w:r>
      <w:r>
        <w:rPr>
          <w:rFonts w:ascii="Times New Roman" w:cs="Times New Roman" w:eastAsia="Times New Roman" w:hAnsi="Times New Roman"/>
          <w:sz w:val="21"/>
          <w:szCs w:val="21"/>
          <w:vertAlign w:val="superscript"/>
        </w:rPr>
        <w:t xml:space="preserve">[35]</w:t>
      </w:r>
      <w:r>
        <w:rPr>
          <w:rFonts w:ascii="Times New Roman" w:cs="Times New Roman" w:eastAsia="Times New Roman" w:hAnsi="Times New Roman"/>
          <w:sz w:val="21"/>
          <w:szCs w:val="21"/>
        </w:rPr>
        <w:t xml:space="preserve"> with von Mises plasticity (</w:t>
      </w:r>
      <w:r>
        <w:rPr>
          <w:rFonts w:ascii="Times New Roman" w:cs="Times New Roman" w:eastAsia="Times New Roman" w:hAnsi="Times New Roman"/>
          <w:i/>
          <w:iCs/>
          <w:sz w:val="21"/>
          <w:szCs w:val="21"/>
        </w:rPr>
        <w:t xml:space="preserve">E</w:t>
      </w:r>
      <w:r>
        <w:rPr>
          <w:rFonts w:ascii="Times New Roman" w:cs="Times New Roman" w:eastAsia="Times New Roman" w:hAnsi="Times New Roman"/>
          <w:sz w:val="21"/>
          <w:szCs w:val="21"/>
        </w:rPr>
        <w:t xml:space="preserve"> = 1.53 GPa, </w:t>
      </w:r>
      <w:r>
        <w:rPr>
          <w:rFonts w:ascii="Times New Roman" w:cs="Times New Roman" w:eastAsia="Times New Roman" w:hAnsi="Times New Roman"/>
          <w:i/>
          <w:iCs/>
          <w:sz w:val="21"/>
          <w:szCs w:val="21"/>
        </w:rPr>
        <w:t xml:space="preserve">ν</w:t>
      </w:r>
      <w:r>
        <w:rPr>
          <w:rFonts w:ascii="Times New Roman" w:cs="Times New Roman" w:eastAsia="Times New Roman" w:hAnsi="Times New Roman"/>
          <w:sz w:val="21"/>
          <w:szCs w:val="21"/>
        </w:rPr>
        <w:t xml:space="preserve"> = 0.49, yield strength 0.30 GPa); the high Poisson’s ratio confines the softening to shear, retaining a dense-solid bulk modulus (</w:t>
      </w:r>
      <w:r>
        <w:rPr>
          <w:rFonts w:ascii="Times New Roman" w:cs="Times New Roman" w:eastAsia="Times New Roman" w:hAnsi="Times New Roman"/>
          <w:i/>
          <w:iCs/>
          <w:sz w:val="21"/>
          <w:szCs w:val="21"/>
        </w:rPr>
        <w:t xml:space="preserve">K</w:t>
      </w:r>
      <w:r>
        <w:rPr>
          <w:rFonts w:ascii="Times New Roman" w:cs="Times New Roman" w:eastAsia="Times New Roman" w:hAnsi="Times New Roman"/>
          <w:sz w:val="21"/>
          <w:szCs w:val="21"/>
        </w:rPr>
        <w:t xml:space="preserve"> = 25.5 GPa) while lowering the shear modulus to </w:t>
      </w:r>
      <w:r>
        <w:rPr>
          <w:rFonts w:ascii="Times New Roman" w:cs="Times New Roman" w:eastAsia="Times New Roman" w:hAnsi="Times New Roman"/>
          <w:i/>
          <w:iCs/>
          <w:sz w:val="21"/>
          <w:szCs w:val="21"/>
        </w:rPr>
        <w:t xml:space="preserve">μ</w:t>
      </w:r>
      <w:r>
        <w:rPr>
          <w:rFonts w:ascii="Times New Roman" w:cs="Times New Roman" w:eastAsia="Times New Roman" w:hAnsi="Times New Roman"/>
          <w:sz w:val="21"/>
          <w:szCs w:val="21"/>
        </w:rPr>
        <w:t xml:space="preserve"> = 0.51 GPa. The two models were calibrated independently against the same experimental porosity rather than against each other. VGCF fibres, PTFE fibrils and SDCP particles were then seeded into the pore space at the experimental weight fractions. All inputs are listed in Table S2, and the resulting thicknesses and porosities in Table S3.</w:t>
      </w:r>
    </w:p>
    <w:p>
      <w:pPr>
        <w:spacing w:after="160" w:line="300"/>
        <w:jc w:val="both"/>
      </w:pPr>
      <w:r>
        <w:rPr>
          <w:rFonts w:ascii="Times New Roman" w:cs="Times New Roman" w:eastAsia="Times New Roman" w:hAnsi="Times New Roman"/>
          <w:b/>
          <w:bCs/>
          <w:sz w:val="21"/>
          <w:szCs w:val="21"/>
        </w:rPr>
        <w:t xml:space="preserve">Effective transport simulations: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Each microstructure was rasterized onto a cubic grid with a voxel edge of 0.15 μm. Adjacent conducting voxels were coupled through harmonic-mean conductances, and the potential field was obtained from</w:t>
      </w:r>
    </w:p>
    <w:p>
      <w:pPr>
        <w:tabs>
          <w:tab w:val="right" w:pos="9026"/>
        </w:tabs>
        <w:spacing w:after="120" w:before="120"/>
        <w:ind w:left="2200"/>
        <w:jc w:val="left"/>
      </w:pPr>
      <w:r>
        <w:rPr>
          <w:rFonts w:ascii="Times New Roman" w:cs="Times New Roman" w:eastAsia="Times New Roman" w:hAnsi="Times New Roman"/>
          <w:sz w:val="21"/>
          <w:szCs w:val="21"/>
        </w:rPr>
        <w:t xml:space="preserve">∇·(</w:t>
      </w:r>
      <w:r>
        <w:rPr>
          <w:rFonts w:ascii="Times New Roman" w:cs="Times New Roman" w:eastAsia="Times New Roman" w:hAnsi="Times New Roman"/>
          <w:i/>
          <w:iCs/>
          <w:sz w:val="21"/>
          <w:szCs w:val="21"/>
        </w:rPr>
        <w:t xml:space="preserve">σ</w:t>
      </w:r>
      <w:r>
        <w:rPr>
          <w:rFonts w:ascii="Times New Roman" w:cs="Times New Roman" w:eastAsia="Times New Roman" w:hAnsi="Times New Roman"/>
          <w:sz w:val="21"/>
          <w:szCs w:val="21"/>
        </w:rPr>
        <w:t xml:space="preserve">∇</w:t>
      </w:r>
      <w:r>
        <w:rPr>
          <w:rFonts w:ascii="Times New Roman" w:cs="Times New Roman" w:eastAsia="Times New Roman" w:hAnsi="Times New Roman"/>
          <w:i/>
          <w:iCs/>
          <w:sz w:val="21"/>
          <w:szCs w:val="21"/>
        </w:rPr>
        <w:t xml:space="preserve">φ</w:t>
      </w:r>
      <w:r>
        <w:rPr>
          <w:rFonts w:ascii="Times New Roman" w:cs="Times New Roman" w:eastAsia="Times New Roman" w:hAnsi="Times New Roman"/>
          <w:sz w:val="21"/>
          <w:szCs w:val="21"/>
        </w:rPr>
        <w:t xml:space="preserve">) = 0</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(1)</w:t>
      </w:r>
    </w:p>
    <w:p>
      <w:pPr>
        <w:spacing w:after="120" w:line="300"/>
        <w:jc w:val="both"/>
      </w:pPr>
      <w:r>
        <w:rPr>
          <w:rFonts w:ascii="Times New Roman" w:cs="Times New Roman" w:eastAsia="Times New Roman" w:hAnsi="Times New Roman"/>
          <w:sz w:val="21"/>
          <w:szCs w:val="21"/>
        </w:rPr>
        <w:t xml:space="preserve">where </w:t>
      </w:r>
      <w:r>
        <w:rPr>
          <w:rFonts w:ascii="Times New Roman" w:cs="Times New Roman" w:eastAsia="Times New Roman" w:hAnsi="Times New Roman"/>
          <w:i/>
          <w:iCs/>
          <w:sz w:val="21"/>
          <w:szCs w:val="21"/>
        </w:rPr>
        <w:t xml:space="preserve">σ</w:t>
      </w:r>
      <w:r>
        <w:rPr>
          <w:rFonts w:ascii="Times New Roman" w:cs="Times New Roman" w:eastAsia="Times New Roman" w:hAnsi="Times New Roman"/>
          <w:sz w:val="21"/>
          <w:szCs w:val="21"/>
        </w:rPr>
        <w:t xml:space="preserve"> is the local conductivity of each voxel and </w:t>
      </w:r>
      <w:r>
        <w:rPr>
          <w:rFonts w:ascii="Times New Roman" w:cs="Times New Roman" w:eastAsia="Times New Roman" w:hAnsi="Times New Roman"/>
          <w:i/>
          <w:iCs/>
          <w:sz w:val="21"/>
          <w:szCs w:val="21"/>
        </w:rPr>
        <w:t xml:space="preserve">φ</w:t>
      </w:r>
      <w:r>
        <w:rPr>
          <w:rFonts w:ascii="Times New Roman" w:cs="Times New Roman" w:eastAsia="Times New Roman" w:hAnsi="Times New Roman"/>
          <w:sz w:val="21"/>
          <w:szCs w:val="21"/>
        </w:rPr>
        <w:t xml:space="preserve"> the electric potential. A potential difference was applied between the separator and current-collector faces with the remaining boundaries insulating, and the effective conductivity was taken from the total current. NCM811, VGCF and SDCP carried the electronic network and LPSCl and SDCP the ionic network; PTFE was not resolved on the conduction grid. Phase conductivities are listed in Table S2, in which the VGCF value is rescaled so that a fibre resolved as a one-voxel-wide tube retains its axial conductance. Each electrode was solved at eight half-voxel grid-origin shifts (2 × 2 × 2), the SBE and DBE sharing the same origins, and conductivity ratios are reported as the paired mean with its standard error. The Joule dissipation of a phase was evaluated as</w:t>
      </w:r>
    </w:p>
    <w:p>
      <w:pPr>
        <w:tabs>
          <w:tab w:val="right" w:pos="9026"/>
        </w:tabs>
        <w:spacing w:after="120" w:before="120"/>
        <w:ind w:left="2200"/>
        <w:jc w:val="left"/>
      </w:pP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 Σ </w:t>
      </w:r>
      <w:r>
        <w:rPr>
          <w:rFonts w:ascii="Times New Roman" w:cs="Times New Roman" w:eastAsia="Times New Roman" w:hAnsi="Times New Roman"/>
          <w:i/>
          <w:iCs/>
          <w:sz w:val="21"/>
          <w:szCs w:val="21"/>
        </w:rPr>
        <w:t xml:space="preserve">g</w:t>
      </w:r>
      <w:r>
        <w:rPr>
          <w:rFonts w:ascii="Times New Roman" w:cs="Times New Roman" w:eastAsia="Times New Roman" w:hAnsi="Times New Roman"/>
          <w:sz w:val="21"/>
          <w:szCs w:val="21"/>
          <w:vertAlign w:val="subscript"/>
        </w:rPr>
        <w:t xml:space="preserve">k</w:t>
      </w:r>
      <w:r>
        <w:rPr>
          <w:rFonts w:ascii="Times New Roman" w:cs="Times New Roman" w:eastAsia="Times New Roman" w:hAnsi="Times New Roman"/>
          <w:sz w:val="21"/>
          <w:szCs w:val="21"/>
        </w:rPr>
        <w:t xml:space="preserve"> (Δ</w:t>
      </w:r>
      <w:r>
        <w:rPr>
          <w:rFonts w:ascii="Times New Roman" w:cs="Times New Roman" w:eastAsia="Times New Roman" w:hAnsi="Times New Roman"/>
          <w:i/>
          <w:iCs/>
          <w:sz w:val="21"/>
          <w:szCs w:val="21"/>
        </w:rPr>
        <w:t xml:space="preserve">φ</w:t>
      </w:r>
      <w:r>
        <w:rPr>
          <w:rFonts w:ascii="Times New Roman" w:cs="Times New Roman" w:eastAsia="Times New Roman" w:hAnsi="Times New Roman"/>
          <w:sz w:val="21"/>
          <w:szCs w:val="21"/>
          <w:vertAlign w:val="subscript"/>
        </w:rPr>
        <w:t xml:space="preserve">k</w:t>
      </w:r>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(2)</w:t>
      </w:r>
    </w:p>
    <w:p>
      <w:pPr>
        <w:spacing w:after="120" w:line="300"/>
        <w:jc w:val="both"/>
      </w:pPr>
      <w:r>
        <w:rPr>
          <w:rFonts w:ascii="Times New Roman" w:cs="Times New Roman" w:eastAsia="Times New Roman" w:hAnsi="Times New Roman"/>
          <w:sz w:val="21"/>
          <w:szCs w:val="21"/>
        </w:rPr>
        <w:t xml:space="preserve">where </w:t>
      </w:r>
      <w:r>
        <w:rPr>
          <w:rFonts w:ascii="Times New Roman" w:cs="Times New Roman" w:eastAsia="Times New Roman" w:hAnsi="Times New Roman"/>
          <w:i/>
          <w:iCs/>
          <w:sz w:val="21"/>
          <w:szCs w:val="21"/>
        </w:rPr>
        <w:t xml:space="preserve">g</w:t>
      </w:r>
      <w:r>
        <w:rPr>
          <w:rFonts w:ascii="Times New Roman" w:cs="Times New Roman" w:eastAsia="Times New Roman" w:hAnsi="Times New Roman"/>
          <w:sz w:val="21"/>
          <w:szCs w:val="21"/>
          <w:vertAlign w:val="subscript"/>
        </w:rPr>
        <w:t xml:space="preserve">k</w:t>
      </w:r>
      <w:r>
        <w:rPr>
          <w:rFonts w:ascii="Times New Roman" w:cs="Times New Roman" w:eastAsia="Times New Roman" w:hAnsi="Times New Roman"/>
          <w:sz w:val="21"/>
          <w:szCs w:val="21"/>
        </w:rPr>
        <w:t xml:space="preserve"> and Δ</w:t>
      </w:r>
      <w:r>
        <w:rPr>
          <w:rFonts w:ascii="Times New Roman" w:cs="Times New Roman" w:eastAsia="Times New Roman" w:hAnsi="Times New Roman"/>
          <w:i/>
          <w:iCs/>
          <w:sz w:val="21"/>
          <w:szCs w:val="21"/>
        </w:rPr>
        <w:t xml:space="preserve">φ</w:t>
      </w:r>
      <w:r>
        <w:rPr>
          <w:rFonts w:ascii="Times New Roman" w:cs="Times New Roman" w:eastAsia="Times New Roman" w:hAnsi="Times New Roman"/>
          <w:sz w:val="21"/>
          <w:szCs w:val="21"/>
          <w:vertAlign w:val="subscript"/>
        </w:rPr>
        <w:t xml:space="preserve">k</w:t>
      </w:r>
      <w:r>
        <w:rPr>
          <w:rFonts w:ascii="Times New Roman" w:cs="Times New Roman" w:eastAsia="Times New Roman" w:hAnsi="Times New Roman"/>
          <w:sz w:val="21"/>
          <w:szCs w:val="21"/>
        </w:rPr>
        <w:t xml:space="preserve"> are the conductance of and the potential difference across the </w:t>
      </w:r>
      <w:r>
        <w:rPr>
          <w:rFonts w:ascii="Times New Roman" w:cs="Times New Roman" w:eastAsia="Times New Roman" w:hAnsi="Times New Roman"/>
          <w:i/>
          <w:iCs/>
          <w:sz w:val="21"/>
          <w:szCs w:val="21"/>
        </w:rPr>
        <w:t xml:space="preserve">k</w:t>
      </w:r>
      <w:r>
        <w:rPr>
          <w:rFonts w:ascii="Times New Roman" w:cs="Times New Roman" w:eastAsia="Times New Roman" w:hAnsi="Times New Roman"/>
          <w:sz w:val="21"/>
          <w:szCs w:val="21"/>
        </w:rPr>
        <w:t xml:space="preserve">-th voxel-to-voxel connection, summed over the connections belonging to that phase.</w:t>
      </w:r>
    </w:p>
    <w:p>
      <w:pPr>
        <w:pStyle w:val="Heading1"/>
        <w:spacing w:after="160" w:before="300"/>
      </w:pPr>
      <w:r>
        <w:rPr>
          <w:rFonts w:ascii="Times New Roman" w:cs="Times New Roman" w:eastAsia="Times New Roman" w:hAnsi="Times New Roman"/>
          <w:b/>
          <w:bCs/>
          <w:sz w:val="24"/>
          <w:szCs w:val="24"/>
        </w:rPr>
        <w:t xml:space="preserve">B.  Supporting Information — tables</w:t>
      </w:r>
    </w:p>
    <w:p>
      <w:pPr>
        <w:spacing w:after="100" w:before="240"/>
        <w:jc w:val="left"/>
      </w:pPr>
      <w:r>
        <w:rPr>
          <w:rFonts w:ascii="Times New Roman" w:cs="Times New Roman" w:eastAsia="Times New Roman" w:hAnsi="Times New Roman"/>
          <w:b/>
          <w:bCs/>
          <w:sz w:val="21"/>
          <w:szCs w:val="21"/>
        </w:rPr>
        <w:t xml:space="preserve">Table S2.</w:t>
      </w:r>
      <w:r>
        <w:rPr>
          <w:rFonts w:ascii="Times New Roman" w:cs="Times New Roman" w:eastAsia="Times New Roman" w:hAnsi="Times New Roman"/>
          <w:sz w:val="21"/>
          <w:szCs w:val="21"/>
        </w:rPr>
        <w:t xml:space="preserve"> Material parameters used for the microstructure and transport simulations.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50"/>
        <w:gridCol w:w="3150"/>
        <w:gridCol w:w="1650"/>
        <w:gridCol w:w="950"/>
        <w:gridCol w:w="1800"/>
      </w:tblGrid>
      <w:tr>
        <w:trPr>
          <w:tblHeader/>
        </w:trPr>
        <w:tc>
          <w:tcPr>
            <w:tcW w:type="dxa" w:w="1450"/>
            <w:shd w:fill="EFEFEF"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1"/>
                <w:szCs w:val="21"/>
              </w:rPr>
              <w:t xml:space="preserve">Category</w:t>
            </w:r>
          </w:p>
        </w:tc>
        <w:tc>
          <w:tcPr>
            <w:tcW w:type="dxa" w:w="3150"/>
            <w:shd w:fill="EFEFEF"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1"/>
                <w:szCs w:val="21"/>
              </w:rPr>
              <w:t xml:space="preserve">Parameter</w:t>
            </w:r>
          </w:p>
        </w:tc>
        <w:tc>
          <w:tcPr>
            <w:tcW w:type="dxa" w:w="1650"/>
            <w:shd w:fill="EFEFEF"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1"/>
                <w:szCs w:val="21"/>
              </w:rPr>
              <w:t xml:space="preserve">Value</w:t>
            </w:r>
          </w:p>
        </w:tc>
        <w:tc>
          <w:tcPr>
            <w:tcW w:type="dxa" w:w="950"/>
            <w:shd w:fill="EFEFEF"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1"/>
                <w:szCs w:val="21"/>
              </w:rPr>
              <w:t xml:space="preserve">Unit</w:t>
            </w:r>
          </w:p>
        </w:tc>
        <w:tc>
          <w:tcPr>
            <w:tcW w:type="dxa" w:w="1800"/>
            <w:shd w:fill="EFEFEF"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1"/>
                <w:szCs w:val="21"/>
              </w:rPr>
              <w:t xml:space="preserve">Source</w:t>
            </w:r>
          </w:p>
        </w:tc>
      </w:tr>
      <w:tr>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Simulation domain</w:t>
            </w: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Lateral dimensions</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50 × 50</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μm</w:t>
            </w:r>
            <w:r>
              <w:rPr>
                <w:rFonts w:ascii="Times New Roman" w:cs="Times New Roman" w:eastAsia="Times New Roman" w:hAnsi="Times New Roman"/>
                <w:sz w:val="21"/>
                <w:szCs w:val="21"/>
                <w:vertAlign w:val="superscript"/>
              </w:rPr>
              <w:t xml:space="preserve">2</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r>
      <w:tr>
        <w:tc>
          <w:tcPr>
            <w:tcW w:type="dxa" w:w="1450"/>
            <w:tcMar>
              <w:top w:type="dxa" w:w="60"/>
              <w:left w:type="dxa" w:w="100"/>
              <w:bottom w:type="dxa" w:w="60"/>
              <w:right w:type="dxa" w:w="100"/>
            </w:tcMar>
          </w:tcPr>
          <w:p>
            <w:pPr>
              <w:spacing w:after="0" w:line="260"/>
              <w:jc w:val="left"/>
            </w:pP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Compaction pressure</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300</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MPa</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Experimental value</w:t>
            </w:r>
          </w:p>
        </w:tc>
      </w:tr>
      <w:tr>
        <w:tc>
          <w:tcPr>
            <w:tcW w:type="dxa" w:w="1450"/>
            <w:tcMar>
              <w:top w:type="dxa" w:w="60"/>
              <w:left w:type="dxa" w:w="100"/>
              <w:bottom w:type="dxa" w:w="60"/>
              <w:right w:type="dxa" w:w="100"/>
            </w:tcMar>
          </w:tcPr>
          <w:p>
            <w:pPr>
              <w:spacing w:after="0" w:line="260"/>
              <w:jc w:val="left"/>
            </w:pP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Voxel edge length</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0.15</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μm</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r>
      <w:tr>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NCM811</w:t>
            </w: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Particle radius</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2.5</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μm</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Experimental value</w:t>
            </w:r>
          </w:p>
        </w:tc>
      </w:tr>
      <w:tr>
        <w:tc>
          <w:tcPr>
            <w:tcW w:type="dxa" w:w="1450"/>
            <w:tcMar>
              <w:top w:type="dxa" w:w="60"/>
              <w:left w:type="dxa" w:w="100"/>
              <w:bottom w:type="dxa" w:w="60"/>
              <w:right w:type="dxa" w:w="100"/>
            </w:tcMar>
          </w:tcPr>
          <w:p>
            <w:pPr>
              <w:spacing w:after="0" w:line="260"/>
              <w:jc w:val="left"/>
            </w:pP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Young’s modulus</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140</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GPa</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Ref. [36]</w:t>
            </w:r>
          </w:p>
        </w:tc>
      </w:tr>
      <w:tr>
        <w:tc>
          <w:tcPr>
            <w:tcW w:type="dxa" w:w="1450"/>
            <w:tcMar>
              <w:top w:type="dxa" w:w="60"/>
              <w:left w:type="dxa" w:w="100"/>
              <w:bottom w:type="dxa" w:w="60"/>
              <w:right w:type="dxa" w:w="100"/>
            </w:tcMar>
          </w:tcPr>
          <w:p>
            <w:pPr>
              <w:spacing w:after="0" w:line="260"/>
              <w:jc w:val="left"/>
            </w:pP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Electronic conductivity</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1.0 × 10</w:t>
            </w:r>
            <w:r>
              <w:rPr>
                <w:rFonts w:ascii="Times New Roman" w:cs="Times New Roman" w:eastAsia="Times New Roman" w:hAnsi="Times New Roman"/>
                <w:sz w:val="21"/>
                <w:szCs w:val="21"/>
                <w:vertAlign w:val="superscript"/>
              </w:rPr>
              <w:t xml:space="preserve">−2</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S cm</w:t>
            </w:r>
            <w:r>
              <w:rPr>
                <w:rFonts w:ascii="Times New Roman" w:cs="Times New Roman" w:eastAsia="Times New Roman" w:hAnsi="Times New Roman"/>
                <w:sz w:val="21"/>
                <w:szCs w:val="21"/>
                <w:vertAlign w:val="superscript"/>
              </w:rPr>
              <w:t xml:space="preserve">−1</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Effective value</w:t>
            </w:r>
          </w:p>
        </w:tc>
      </w:tr>
      <w:tr>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LPSCl</w:t>
            </w: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Particle radius</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0.5</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μm</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Experimental value</w:t>
            </w:r>
          </w:p>
        </w:tc>
      </w:tr>
      <w:tr>
        <w:tc>
          <w:tcPr>
            <w:tcW w:type="dxa" w:w="1450"/>
            <w:tcMar>
              <w:top w:type="dxa" w:w="60"/>
              <w:left w:type="dxa" w:w="100"/>
              <w:bottom w:type="dxa" w:w="60"/>
              <w:right w:type="dxa" w:w="100"/>
            </w:tcMar>
          </w:tcPr>
          <w:p>
            <w:pPr>
              <w:spacing w:after="0" w:line="260"/>
              <w:jc w:val="left"/>
            </w:pP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Young’s modulus (dense)</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24</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GPa</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Ref. [34]</w:t>
            </w:r>
          </w:p>
        </w:tc>
      </w:tr>
      <w:tr>
        <w:tc>
          <w:tcPr>
            <w:tcW w:type="dxa" w:w="1450"/>
            <w:tcMar>
              <w:top w:type="dxa" w:w="60"/>
              <w:left w:type="dxa" w:w="100"/>
              <w:bottom w:type="dxa" w:w="60"/>
              <w:right w:type="dxa" w:w="100"/>
            </w:tcMar>
          </w:tcPr>
          <w:p>
            <w:pPr>
              <w:spacing w:after="0" w:line="260"/>
              <w:jc w:val="left"/>
            </w:pP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Young’s modulus (DEM contact)</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1.35</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GPa</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Calibrated</w:t>
            </w:r>
          </w:p>
        </w:tc>
      </w:tr>
      <w:tr>
        <w:tc>
          <w:tcPr>
            <w:tcW w:type="dxa" w:w="1450"/>
            <w:tcMar>
              <w:top w:type="dxa" w:w="60"/>
              <w:left w:type="dxa" w:w="100"/>
              <w:bottom w:type="dxa" w:w="60"/>
              <w:right w:type="dxa" w:w="100"/>
            </w:tcMar>
          </w:tcPr>
          <w:p>
            <w:pPr>
              <w:spacing w:after="0" w:line="260"/>
              <w:jc w:val="left"/>
            </w:pP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Young’s modulus (MPM continuum)</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1.53</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GPa</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Calibrated</w:t>
            </w:r>
          </w:p>
        </w:tc>
      </w:tr>
      <w:tr>
        <w:tc>
          <w:tcPr>
            <w:tcW w:type="dxa" w:w="1450"/>
            <w:tcMar>
              <w:top w:type="dxa" w:w="60"/>
              <w:left w:type="dxa" w:w="100"/>
              <w:bottom w:type="dxa" w:w="60"/>
              <w:right w:type="dxa" w:w="100"/>
            </w:tcMar>
          </w:tcPr>
          <w:p>
            <w:pPr>
              <w:spacing w:after="0" w:line="260"/>
              <w:jc w:val="left"/>
            </w:pP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Poisson’s ratio (MPM continuum)</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0.49</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Calibrated</w:t>
            </w:r>
          </w:p>
        </w:tc>
      </w:tr>
      <w:tr>
        <w:tc>
          <w:tcPr>
            <w:tcW w:type="dxa" w:w="1450"/>
            <w:tcMar>
              <w:top w:type="dxa" w:w="60"/>
              <w:left w:type="dxa" w:w="100"/>
              <w:bottom w:type="dxa" w:w="60"/>
              <w:right w:type="dxa" w:w="100"/>
            </w:tcMar>
          </w:tcPr>
          <w:p>
            <w:pPr>
              <w:spacing w:after="0" w:line="260"/>
              <w:jc w:val="left"/>
            </w:pP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Yield strength</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0.30</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GPa</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Calibrated</w:t>
            </w:r>
          </w:p>
        </w:tc>
      </w:tr>
      <w:tr>
        <w:tc>
          <w:tcPr>
            <w:tcW w:type="dxa" w:w="1450"/>
            <w:tcMar>
              <w:top w:type="dxa" w:w="60"/>
              <w:left w:type="dxa" w:w="100"/>
              <w:bottom w:type="dxa" w:w="60"/>
              <w:right w:type="dxa" w:w="100"/>
            </w:tcMar>
          </w:tcPr>
          <w:p>
            <w:pPr>
              <w:spacing w:after="0" w:line="260"/>
              <w:jc w:val="left"/>
            </w:pP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Ionic conductivity (grain interior)</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3.0 × 10</w:t>
            </w:r>
            <w:r>
              <w:rPr>
                <w:rFonts w:ascii="Times New Roman" w:cs="Times New Roman" w:eastAsia="Times New Roman" w:hAnsi="Times New Roman"/>
                <w:sz w:val="21"/>
                <w:szCs w:val="21"/>
                <w:vertAlign w:val="superscript"/>
              </w:rPr>
              <w:t xml:space="preserve">−3</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S cm</w:t>
            </w:r>
            <w:r>
              <w:rPr>
                <w:rFonts w:ascii="Times New Roman" w:cs="Times New Roman" w:eastAsia="Times New Roman" w:hAnsi="Times New Roman"/>
                <w:sz w:val="21"/>
                <w:szCs w:val="21"/>
                <w:vertAlign w:val="superscript"/>
              </w:rPr>
              <w:t xml:space="preserve">−1</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Ref. [37]</w:t>
            </w:r>
          </w:p>
        </w:tc>
      </w:tr>
      <w:tr>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VGCF</w:t>
            </w: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Fibre diameter</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0.15</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μm</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Experimental value</w:t>
            </w:r>
          </w:p>
        </w:tc>
      </w:tr>
      <w:tr>
        <w:tc>
          <w:tcPr>
            <w:tcW w:type="dxa" w:w="1450"/>
            <w:tcMar>
              <w:top w:type="dxa" w:w="60"/>
              <w:left w:type="dxa" w:w="100"/>
              <w:bottom w:type="dxa" w:w="60"/>
              <w:right w:type="dxa" w:w="100"/>
            </w:tcMar>
          </w:tcPr>
          <w:p>
            <w:pPr>
              <w:spacing w:after="0" w:line="260"/>
              <w:jc w:val="left"/>
            </w:pP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Young’s modulus</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10</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GPa</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Assumed</w:t>
            </w:r>
          </w:p>
        </w:tc>
      </w:tr>
      <w:tr>
        <w:tc>
          <w:tcPr>
            <w:tcW w:type="dxa" w:w="1450"/>
            <w:tcMar>
              <w:top w:type="dxa" w:w="60"/>
              <w:left w:type="dxa" w:w="100"/>
              <w:bottom w:type="dxa" w:w="60"/>
              <w:right w:type="dxa" w:w="100"/>
            </w:tcMar>
          </w:tcPr>
          <w:p>
            <w:pPr>
              <w:spacing w:after="0" w:line="260"/>
              <w:jc w:val="left"/>
            </w:pP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Electronic conductivity (compressed powder)</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1.0 × 10</w:t>
            </w:r>
            <w:r>
              <w:rPr>
                <w:rFonts w:ascii="Times New Roman" w:cs="Times New Roman" w:eastAsia="Times New Roman" w:hAnsi="Times New Roman"/>
                <w:sz w:val="21"/>
                <w:szCs w:val="21"/>
                <w:vertAlign w:val="superscript"/>
              </w:rPr>
              <w:t xml:space="preserve">2</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S cm</w:t>
            </w:r>
            <w:r>
              <w:rPr>
                <w:rFonts w:ascii="Times New Roman" w:cs="Times New Roman" w:eastAsia="Times New Roman" w:hAnsi="Times New Roman"/>
                <w:sz w:val="21"/>
                <w:szCs w:val="21"/>
                <w:vertAlign w:val="superscript"/>
              </w:rPr>
              <w:t xml:space="preserve">−1</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Supplier data</w:t>
            </w:r>
          </w:p>
        </w:tc>
      </w:tr>
      <w:tr>
        <w:tc>
          <w:tcPr>
            <w:tcW w:type="dxa" w:w="1450"/>
            <w:tcMar>
              <w:top w:type="dxa" w:w="60"/>
              <w:left w:type="dxa" w:w="100"/>
              <w:bottom w:type="dxa" w:w="60"/>
              <w:right w:type="dxa" w:w="100"/>
            </w:tcMar>
          </w:tcPr>
          <w:p>
            <w:pPr>
              <w:spacing w:after="0" w:line="260"/>
              <w:jc w:val="left"/>
            </w:pP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Electronic conductivity (voxel, diameter-preserving)</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78.5</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S cm</w:t>
            </w:r>
            <w:r>
              <w:rPr>
                <w:rFonts w:ascii="Times New Roman" w:cs="Times New Roman" w:eastAsia="Times New Roman" w:hAnsi="Times New Roman"/>
                <w:sz w:val="21"/>
                <w:szCs w:val="21"/>
                <w:vertAlign w:val="superscript"/>
              </w:rPr>
              <w:t xml:space="preserve">−1</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Calculated value</w:t>
            </w:r>
          </w:p>
        </w:tc>
      </w:tr>
      <w:tr>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PTFE</w:t>
            </w: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Young’s modulus</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1.8</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GPa</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This work (Figure S6, S7)</w:t>
            </w:r>
          </w:p>
        </w:tc>
      </w:tr>
      <w:tr>
        <w:tc>
          <w:tcPr>
            <w:tcW w:type="dxa" w:w="1450"/>
            <w:tcMar>
              <w:top w:type="dxa" w:w="60"/>
              <w:left w:type="dxa" w:w="100"/>
              <w:bottom w:type="dxa" w:w="60"/>
              <w:right w:type="dxa" w:w="100"/>
            </w:tcMar>
          </w:tcPr>
          <w:p>
            <w:pPr>
              <w:spacing w:after="0" w:line="260"/>
              <w:jc w:val="left"/>
            </w:pP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Electronic / ionic conductivity</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0</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S cm</w:t>
            </w:r>
            <w:r>
              <w:rPr>
                <w:rFonts w:ascii="Times New Roman" w:cs="Times New Roman" w:eastAsia="Times New Roman" w:hAnsi="Times New Roman"/>
                <w:sz w:val="21"/>
                <w:szCs w:val="21"/>
                <w:vertAlign w:val="superscript"/>
              </w:rPr>
              <w:t xml:space="preserve">−1</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Assumed (insulating)</w:t>
            </w:r>
          </w:p>
        </w:tc>
      </w:tr>
      <w:tr>
        <w:tc>
          <w:tcPr>
            <w:tcW w:type="dxa" w:w="14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SDCP</w:t>
            </w: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Particle diameter</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0.30</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μm</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This work (Figure S5)</w:t>
            </w:r>
          </w:p>
        </w:tc>
      </w:tr>
      <w:tr>
        <w:tc>
          <w:tcPr>
            <w:tcW w:type="dxa" w:w="1450"/>
            <w:tcMar>
              <w:top w:type="dxa" w:w="60"/>
              <w:left w:type="dxa" w:w="100"/>
              <w:bottom w:type="dxa" w:w="60"/>
              <w:right w:type="dxa" w:w="100"/>
            </w:tcMar>
          </w:tcPr>
          <w:p>
            <w:pPr>
              <w:spacing w:after="0" w:line="260"/>
              <w:jc w:val="left"/>
            </w:pP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Young’s modulus</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9.0</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GPa</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This work (Figure 2g)</w:t>
            </w:r>
          </w:p>
        </w:tc>
      </w:tr>
      <w:tr>
        <w:tc>
          <w:tcPr>
            <w:tcW w:type="dxa" w:w="1450"/>
            <w:tcMar>
              <w:top w:type="dxa" w:w="60"/>
              <w:left w:type="dxa" w:w="100"/>
              <w:bottom w:type="dxa" w:w="60"/>
              <w:right w:type="dxa" w:w="100"/>
            </w:tcMar>
          </w:tcPr>
          <w:p>
            <w:pPr>
              <w:spacing w:after="0" w:line="260"/>
              <w:jc w:val="left"/>
            </w:pP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Electronic conductivity</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250</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S cm</w:t>
            </w:r>
            <w:r>
              <w:rPr>
                <w:rFonts w:ascii="Times New Roman" w:cs="Times New Roman" w:eastAsia="Times New Roman" w:hAnsi="Times New Roman"/>
                <w:sz w:val="21"/>
                <w:szCs w:val="21"/>
                <w:vertAlign w:val="superscript"/>
              </w:rPr>
              <w:t xml:space="preserve">−1</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Assumed</w:t>
            </w:r>
          </w:p>
        </w:tc>
      </w:tr>
      <w:tr>
        <w:tc>
          <w:tcPr>
            <w:tcW w:type="dxa" w:w="1450"/>
            <w:tcMar>
              <w:top w:type="dxa" w:w="60"/>
              <w:left w:type="dxa" w:w="100"/>
              <w:bottom w:type="dxa" w:w="60"/>
              <w:right w:type="dxa" w:w="100"/>
            </w:tcMar>
          </w:tcPr>
          <w:p>
            <w:pPr>
              <w:spacing w:after="0" w:line="260"/>
              <w:jc w:val="left"/>
            </w:pPr>
          </w:p>
        </w:tc>
        <w:tc>
          <w:tcPr>
            <w:tcW w:type="dxa" w:w="315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Ionic conductivity</w:t>
            </w:r>
          </w:p>
        </w:tc>
        <w:tc>
          <w:tcPr>
            <w:tcW w:type="dxa" w:w="16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95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S cm</w:t>
            </w:r>
            <w:r>
              <w:rPr>
                <w:rFonts w:ascii="Times New Roman" w:cs="Times New Roman" w:eastAsia="Times New Roman" w:hAnsi="Times New Roman"/>
                <w:sz w:val="21"/>
                <w:szCs w:val="21"/>
                <w:vertAlign w:val="superscript"/>
              </w:rPr>
              <w:t xml:space="preserve">−1</w:t>
            </w:r>
          </w:p>
        </w:tc>
        <w:tc>
          <w:tcPr>
            <w:tcW w:type="dxa" w:w="18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Not yet calibrated</w:t>
            </w:r>
          </w:p>
        </w:tc>
      </w:tr>
    </w:tbl>
    <w:p>
      <w:pPr>
        <w:spacing w:after="80"/>
      </w:pPr>
    </w:p>
    <w:p>
      <w:pPr>
        <w:spacing w:after="100" w:before="240"/>
        <w:jc w:val="left"/>
      </w:pPr>
      <w:r>
        <w:rPr>
          <w:rFonts w:ascii="Times New Roman" w:cs="Times New Roman" w:eastAsia="Times New Roman" w:hAnsi="Times New Roman"/>
          <w:b/>
          <w:bCs/>
          <w:sz w:val="21"/>
          <w:szCs w:val="21"/>
        </w:rPr>
        <w:t xml:space="preserve">Table S3.</w:t>
      </w:r>
      <w:r>
        <w:rPr>
          <w:rFonts w:ascii="Times New Roman" w:cs="Times New Roman" w:eastAsia="Times New Roman" w:hAnsi="Times New Roman"/>
          <w:sz w:val="21"/>
          <w:szCs w:val="21"/>
        </w:rPr>
        <w:t xml:space="preserve"> Structural and transport parameters obtained from the simulations.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500"/>
        <w:gridCol w:w="1500"/>
        <w:gridCol w:w="1200"/>
      </w:tblGrid>
      <w:tr>
        <w:trPr>
          <w:tblHeader/>
        </w:trPr>
        <w:tc>
          <w:tcPr>
            <w:tcW w:type="dxa" w:w="1400"/>
            <w:shd w:fill="EFEFEF"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1"/>
                <w:szCs w:val="21"/>
              </w:rPr>
              <w:t xml:space="preserve">Category</w:t>
            </w:r>
          </w:p>
        </w:tc>
        <w:tc>
          <w:tcPr>
            <w:tcW w:type="dxa" w:w="3400"/>
            <w:shd w:fill="EFEFEF"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1"/>
                <w:szCs w:val="21"/>
              </w:rPr>
              <w:t xml:space="preserve">Parameter</w:t>
            </w:r>
          </w:p>
        </w:tc>
        <w:tc>
          <w:tcPr>
            <w:tcW w:type="dxa" w:w="1500"/>
            <w:shd w:fill="EFEFEF"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1"/>
                <w:szCs w:val="21"/>
              </w:rPr>
              <w:t xml:space="preserve">SBE</w:t>
            </w:r>
          </w:p>
        </w:tc>
        <w:tc>
          <w:tcPr>
            <w:tcW w:type="dxa" w:w="1500"/>
            <w:shd w:fill="EFEFEF"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1"/>
                <w:szCs w:val="21"/>
              </w:rPr>
              <w:t xml:space="preserve">DBE</w:t>
            </w:r>
          </w:p>
        </w:tc>
        <w:tc>
          <w:tcPr>
            <w:tcW w:type="dxa" w:w="1200"/>
            <w:shd w:fill="EFEFEF"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1"/>
                <w:szCs w:val="21"/>
              </w:rPr>
              <w:t xml:space="preserve">Unit</w:t>
            </w:r>
          </w:p>
        </w:tc>
      </w:tr>
      <w:tr>
        <w:tc>
          <w:tcPr>
            <w:tcW w:type="dxa" w:w="1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Structure</w:t>
            </w:r>
          </w:p>
        </w:tc>
        <w:tc>
          <w:tcPr>
            <w:tcW w:type="dxa" w:w="3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Thickness</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2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μm</w:t>
            </w:r>
          </w:p>
        </w:tc>
      </w:tr>
      <w:tr>
        <w:tc>
          <w:tcPr>
            <w:tcW w:type="dxa" w:w="1400"/>
            <w:tcMar>
              <w:top w:type="dxa" w:w="60"/>
              <w:left w:type="dxa" w:w="100"/>
              <w:bottom w:type="dxa" w:w="60"/>
              <w:right w:type="dxa" w:w="100"/>
            </w:tcMar>
          </w:tcPr>
          <w:p>
            <w:pPr>
              <w:spacing w:after="0" w:line="260"/>
              <w:jc w:val="left"/>
            </w:pPr>
          </w:p>
        </w:tc>
        <w:tc>
          <w:tcPr>
            <w:tcW w:type="dxa" w:w="3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Porosity</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2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r>
      <w:tr>
        <w:tc>
          <w:tcPr>
            <w:tcW w:type="dxa" w:w="1400"/>
            <w:tcMar>
              <w:top w:type="dxa" w:w="60"/>
              <w:left w:type="dxa" w:w="100"/>
              <w:bottom w:type="dxa" w:w="60"/>
              <w:right w:type="dxa" w:w="100"/>
            </w:tcMar>
          </w:tcPr>
          <w:p>
            <w:pPr>
              <w:spacing w:after="0" w:line="260"/>
              <w:jc w:val="left"/>
            </w:pPr>
          </w:p>
        </w:tc>
        <w:tc>
          <w:tcPr>
            <w:tcW w:type="dxa" w:w="3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Areal capacity</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2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mAh cm</w:t>
            </w:r>
            <w:r>
              <w:rPr>
                <w:rFonts w:ascii="Times New Roman" w:cs="Times New Roman" w:eastAsia="Times New Roman" w:hAnsi="Times New Roman"/>
                <w:sz w:val="21"/>
                <w:szCs w:val="21"/>
                <w:vertAlign w:val="superscript"/>
              </w:rPr>
              <w:t xml:space="preserve">−2</w:t>
            </w:r>
          </w:p>
        </w:tc>
      </w:tr>
      <w:tr>
        <w:tc>
          <w:tcPr>
            <w:tcW w:type="dxa" w:w="1400"/>
            <w:tcMar>
              <w:top w:type="dxa" w:w="60"/>
              <w:left w:type="dxa" w:w="100"/>
              <w:bottom w:type="dxa" w:w="60"/>
              <w:right w:type="dxa" w:w="100"/>
            </w:tcMar>
          </w:tcPr>
          <w:p>
            <w:pPr>
              <w:spacing w:after="0" w:line="260"/>
              <w:jc w:val="left"/>
            </w:pPr>
          </w:p>
        </w:tc>
        <w:tc>
          <w:tcPr>
            <w:tcW w:type="dxa" w:w="3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LPSCl coverage of NCM811</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2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r>
      <w:tr>
        <w:tc>
          <w:tcPr>
            <w:tcW w:type="dxa" w:w="1400"/>
            <w:tcMar>
              <w:top w:type="dxa" w:w="60"/>
              <w:left w:type="dxa" w:w="100"/>
              <w:bottom w:type="dxa" w:w="60"/>
              <w:right w:type="dxa" w:w="100"/>
            </w:tcMar>
          </w:tcPr>
          <w:p>
            <w:pPr>
              <w:spacing w:after="0" w:line="260"/>
              <w:jc w:val="left"/>
            </w:pPr>
          </w:p>
        </w:tc>
        <w:tc>
          <w:tcPr>
            <w:tcW w:type="dxa" w:w="3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VGCF coverage of NCM811</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2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r>
      <w:tr>
        <w:tc>
          <w:tcPr>
            <w:tcW w:type="dxa" w:w="1400"/>
            <w:tcMar>
              <w:top w:type="dxa" w:w="60"/>
              <w:left w:type="dxa" w:w="100"/>
              <w:bottom w:type="dxa" w:w="60"/>
              <w:right w:type="dxa" w:w="100"/>
            </w:tcMar>
          </w:tcPr>
          <w:p>
            <w:pPr>
              <w:spacing w:after="0" w:line="260"/>
              <w:jc w:val="left"/>
            </w:pPr>
          </w:p>
        </w:tc>
        <w:tc>
          <w:tcPr>
            <w:tcW w:type="dxa" w:w="3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Median conductive-additive contacts per NCM811 particle</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2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r>
      <w:tr>
        <w:tc>
          <w:tcPr>
            <w:tcW w:type="dxa" w:w="1400"/>
            <w:tcMar>
              <w:top w:type="dxa" w:w="60"/>
              <w:left w:type="dxa" w:w="100"/>
              <w:bottom w:type="dxa" w:w="60"/>
              <w:right w:type="dxa" w:w="100"/>
            </w:tcMar>
          </w:tcPr>
          <w:p>
            <w:pPr>
              <w:spacing w:after="0" w:line="260"/>
              <w:jc w:val="left"/>
            </w:pPr>
          </w:p>
        </w:tc>
        <w:tc>
          <w:tcPr>
            <w:tcW w:type="dxa" w:w="3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Electronic connectivity</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2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r>
      <w:tr>
        <w:tc>
          <w:tcPr>
            <w:tcW w:type="dxa" w:w="1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Transport</w:t>
            </w:r>
          </w:p>
        </w:tc>
        <w:tc>
          <w:tcPr>
            <w:tcW w:type="dxa" w:w="3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Effective electronic conductivity</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7.27 × 10</w:t>
            </w:r>
            <w:r>
              <w:rPr>
                <w:rFonts w:ascii="Times New Roman" w:cs="Times New Roman" w:eastAsia="Times New Roman" w:hAnsi="Times New Roman"/>
                <w:sz w:val="21"/>
                <w:szCs w:val="21"/>
                <w:vertAlign w:val="superscript"/>
              </w:rPr>
              <w:t xml:space="preserve">−2</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8.16 × 10</w:t>
            </w:r>
            <w:r>
              <w:rPr>
                <w:rFonts w:ascii="Times New Roman" w:cs="Times New Roman" w:eastAsia="Times New Roman" w:hAnsi="Times New Roman"/>
                <w:sz w:val="21"/>
                <w:szCs w:val="21"/>
                <w:vertAlign w:val="superscript"/>
              </w:rPr>
              <w:t xml:space="preserve">−2</w:t>
            </w:r>
          </w:p>
        </w:tc>
        <w:tc>
          <w:tcPr>
            <w:tcW w:type="dxa" w:w="12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S cm</w:t>
            </w:r>
            <w:r>
              <w:rPr>
                <w:rFonts w:ascii="Times New Roman" w:cs="Times New Roman" w:eastAsia="Times New Roman" w:hAnsi="Times New Roman"/>
                <w:sz w:val="21"/>
                <w:szCs w:val="21"/>
                <w:vertAlign w:val="superscript"/>
              </w:rPr>
              <w:t xml:space="preserve">−1</w:t>
            </w:r>
          </w:p>
        </w:tc>
      </w:tr>
      <w:tr>
        <w:tc>
          <w:tcPr>
            <w:tcW w:type="dxa" w:w="1400"/>
            <w:tcMar>
              <w:top w:type="dxa" w:w="60"/>
              <w:left w:type="dxa" w:w="100"/>
              <w:bottom w:type="dxa" w:w="60"/>
              <w:right w:type="dxa" w:w="100"/>
            </w:tcMar>
          </w:tcPr>
          <w:p>
            <w:pPr>
              <w:spacing w:after="0" w:line="260"/>
              <w:jc w:val="left"/>
            </w:pPr>
          </w:p>
        </w:tc>
        <w:tc>
          <w:tcPr>
            <w:tcW w:type="dxa" w:w="3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Effective ionic conductivity</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2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S cm</w:t>
            </w:r>
            <w:r>
              <w:rPr>
                <w:rFonts w:ascii="Times New Roman" w:cs="Times New Roman" w:eastAsia="Times New Roman" w:hAnsi="Times New Roman"/>
                <w:sz w:val="21"/>
                <w:szCs w:val="21"/>
                <w:vertAlign w:val="superscript"/>
              </w:rPr>
              <w:t xml:space="preserve">−1</w:t>
            </w:r>
          </w:p>
        </w:tc>
      </w:tr>
      <w:tr>
        <w:tc>
          <w:tcPr>
            <w:tcW w:type="dxa" w:w="1400"/>
            <w:tcMar>
              <w:top w:type="dxa" w:w="60"/>
              <w:left w:type="dxa" w:w="100"/>
              <w:bottom w:type="dxa" w:w="60"/>
              <w:right w:type="dxa" w:w="100"/>
            </w:tcMar>
          </w:tcPr>
          <w:p>
            <w:pPr>
              <w:spacing w:after="0" w:line="260"/>
              <w:jc w:val="left"/>
            </w:pPr>
          </w:p>
        </w:tc>
        <w:tc>
          <w:tcPr>
            <w:tcW w:type="dxa" w:w="3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DBE / SBE electronic conductivity ratio</w:t>
            </w:r>
          </w:p>
        </w:tc>
        <w:tc>
          <w:tcPr>
            <w:tcW w:type="dxa" w:w="3000"/>
            <w:gridSpan w:val="2"/>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1.1232 ± 0.0011</w:t>
            </w:r>
          </w:p>
        </w:tc>
        <w:tc>
          <w:tcPr>
            <w:tcW w:type="dxa" w:w="12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r>
      <w:tr>
        <w:tc>
          <w:tcPr>
            <w:tcW w:type="dxa" w:w="1400"/>
            <w:tcMar>
              <w:top w:type="dxa" w:w="60"/>
              <w:left w:type="dxa" w:w="100"/>
              <w:bottom w:type="dxa" w:w="60"/>
              <w:right w:type="dxa" w:w="100"/>
            </w:tcMar>
          </w:tcPr>
          <w:p>
            <w:pPr>
              <w:spacing w:after="0" w:line="260"/>
              <w:jc w:val="left"/>
            </w:pPr>
          </w:p>
        </w:tc>
        <w:tc>
          <w:tcPr>
            <w:tcW w:type="dxa" w:w="34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DBE / SBE ionic conductivity ratio</w:t>
            </w:r>
          </w:p>
        </w:tc>
        <w:tc>
          <w:tcPr>
            <w:tcW w:type="dxa" w:w="3000"/>
            <w:gridSpan w:val="2"/>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c>
          <w:tcPr>
            <w:tcW w:type="dxa" w:w="12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w:t>
            </w:r>
          </w:p>
        </w:tc>
      </w:tr>
    </w:tbl>
    <w:p>
      <w:pPr>
        <w:spacing w:after="80"/>
      </w:pPr>
    </w:p>
    <w:p>
      <w:pPr>
        <w:pStyle w:val="Heading1"/>
        <w:spacing w:after="160" w:before="300"/>
      </w:pPr>
      <w:r>
        <w:rPr>
          <w:rFonts w:ascii="Times New Roman" w:cs="Times New Roman" w:eastAsia="Times New Roman" w:hAnsi="Times New Roman"/>
          <w:b/>
          <w:bCs/>
          <w:sz w:val="24"/>
          <w:szCs w:val="24"/>
        </w:rPr>
        <w:t xml:space="preserve">C.  References to be merged into the main list</w:t>
      </w:r>
    </w:p>
    <w:p>
      <w:pPr>
        <w:spacing w:after="120" w:line="300"/>
        <w:jc w:val="both"/>
      </w:pPr>
      <w:r>
        <w:rPr>
          <w:rFonts w:ascii="Times New Roman" w:cs="Times New Roman" w:eastAsia="Times New Roman" w:hAnsi="Times New Roman"/>
          <w:sz w:val="21"/>
          <w:szCs w:val="21"/>
        </w:rPr>
        <w:t xml:space="preserve">Numbering continues from [32] in Manuscript v5.1; the arbitrary [100]/[102]/[107]/[109]/[110] labels are removed.</w:t>
      </w:r>
    </w:p>
    <w:p>
      <w:pPr>
        <w:spacing w:after="60"/>
        <w:ind w:left="500" w:hanging="500"/>
      </w:pPr>
      <w:r>
        <w:rPr>
          <w:rFonts w:ascii="Times New Roman" w:cs="Times New Roman" w:eastAsia="Times New Roman" w:hAnsi="Times New Roman"/>
          <w:sz w:val="21"/>
          <w:szCs w:val="21"/>
        </w:rPr>
        <w:t xml:space="preserve">[33]	C. Kloss, C. Goniva, A. Hager, S. Amberger, S. Pirker, </w:t>
      </w:r>
      <w:r>
        <w:rPr>
          <w:rFonts w:ascii="Times New Roman" w:cs="Times New Roman" w:eastAsia="Times New Roman" w:hAnsi="Times New Roman"/>
          <w:i/>
          <w:iCs/>
          <w:sz w:val="21"/>
          <w:szCs w:val="21"/>
        </w:rPr>
        <w:t xml:space="preserve">Prog. Comput. Fluid Dyn.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2012</w:t>
      </w: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12</w:t>
      </w:r>
      <w:r>
        <w:rPr>
          <w:rFonts w:ascii="Times New Roman" w:cs="Times New Roman" w:eastAsia="Times New Roman" w:hAnsi="Times New Roman"/>
          <w:sz w:val="21"/>
          <w:szCs w:val="21"/>
        </w:rPr>
        <w:t xml:space="preserve">, 140.</w:t>
      </w:r>
    </w:p>
    <w:p>
      <w:pPr>
        <w:spacing w:after="60"/>
        <w:ind w:left="500" w:hanging="500"/>
      </w:pPr>
      <w:r>
        <w:rPr>
          <w:rFonts w:ascii="Times New Roman" w:cs="Times New Roman" w:eastAsia="Times New Roman" w:hAnsi="Times New Roman"/>
          <w:sz w:val="21"/>
          <w:szCs w:val="21"/>
        </w:rPr>
        <w:t xml:space="preserve">[34]	A. Sakuda, A. Hayashi, M. Tatsumisago, </w:t>
      </w:r>
      <w:r>
        <w:rPr>
          <w:rFonts w:ascii="Times New Roman" w:cs="Times New Roman" w:eastAsia="Times New Roman" w:hAnsi="Times New Roman"/>
          <w:i/>
          <w:iCs/>
          <w:sz w:val="21"/>
          <w:szCs w:val="21"/>
        </w:rPr>
        <w:t xml:space="preserve">Sci. Rep.</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2013</w:t>
      </w: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3</w:t>
      </w:r>
      <w:r>
        <w:rPr>
          <w:rFonts w:ascii="Times New Roman" w:cs="Times New Roman" w:eastAsia="Times New Roman" w:hAnsi="Times New Roman"/>
          <w:sz w:val="21"/>
          <w:szCs w:val="21"/>
        </w:rPr>
        <w:t xml:space="preserve">, 2261.</w:t>
      </w:r>
    </w:p>
    <w:p>
      <w:pPr>
        <w:spacing w:after="60"/>
        <w:ind w:left="500" w:hanging="500"/>
      </w:pPr>
      <w:r>
        <w:rPr>
          <w:rFonts w:ascii="Times New Roman" w:cs="Times New Roman" w:eastAsia="Times New Roman" w:hAnsi="Times New Roman"/>
          <w:sz w:val="21"/>
          <w:szCs w:val="21"/>
        </w:rPr>
        <w:t xml:space="preserve">[35]	Y. Hu, Y. Fang, Z. Ge, Z. Qu, Y. Zhu, A. Pradhana, C. Jiang, </w:t>
      </w:r>
      <w:r>
        <w:rPr>
          <w:rFonts w:ascii="Times New Roman" w:cs="Times New Roman" w:eastAsia="Times New Roman" w:hAnsi="Times New Roman"/>
          <w:i/>
          <w:iCs/>
          <w:sz w:val="21"/>
          <w:szCs w:val="21"/>
        </w:rPr>
        <w:t xml:space="preserve">ACM Trans. Graph.</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2018</w:t>
      </w: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37</w:t>
      </w:r>
      <w:r>
        <w:rPr>
          <w:rFonts w:ascii="Times New Roman" w:cs="Times New Roman" w:eastAsia="Times New Roman" w:hAnsi="Times New Roman"/>
          <w:sz w:val="21"/>
          <w:szCs w:val="21"/>
        </w:rPr>
        <w:t xml:space="preserve">, 150.</w:t>
      </w:r>
    </w:p>
    <w:p>
      <w:pPr>
        <w:spacing w:after="60"/>
        <w:ind w:left="500" w:hanging="500"/>
      </w:pPr>
      <w:r>
        <w:rPr>
          <w:rFonts w:ascii="Times New Roman" w:cs="Times New Roman" w:eastAsia="Times New Roman" w:hAnsi="Times New Roman"/>
          <w:sz w:val="21"/>
          <w:szCs w:val="21"/>
        </w:rPr>
        <w:t xml:space="preserve">[36]	H. Wang, et al., </w:t>
      </w:r>
      <w:r>
        <w:rPr>
          <w:rFonts w:ascii="Times New Roman" w:cs="Times New Roman" w:eastAsia="Times New Roman" w:hAnsi="Times New Roman"/>
          <w:i/>
          <w:iCs/>
          <w:sz w:val="21"/>
          <w:szCs w:val="21"/>
        </w:rPr>
        <w:t xml:space="preserve">J. Power Sources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2020</w:t>
      </w: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470</w:t>
      </w:r>
      <w:r>
        <w:rPr>
          <w:rFonts w:ascii="Times New Roman" w:cs="Times New Roman" w:eastAsia="Times New Roman" w:hAnsi="Times New Roman"/>
          <w:sz w:val="21"/>
          <w:szCs w:val="21"/>
        </w:rPr>
        <w:t xml:space="preserve">, 228413.</w:t>
      </w:r>
    </w:p>
    <w:p>
      <w:pPr>
        <w:spacing w:after="60"/>
        <w:ind w:left="500" w:hanging="500"/>
      </w:pPr>
      <w:r>
        <w:rPr>
          <w:rFonts w:ascii="Times New Roman" w:cs="Times New Roman" w:eastAsia="Times New Roman" w:hAnsi="Times New Roman"/>
          <w:sz w:val="21"/>
          <w:szCs w:val="21"/>
        </w:rPr>
        <w:t xml:space="preserve">[37]	M. Cronau, M. Szabo, C. König, T. B. Wassermann, B. Roling, </w:t>
      </w:r>
      <w:r>
        <w:rPr>
          <w:rFonts w:ascii="Times New Roman" w:cs="Times New Roman" w:eastAsia="Times New Roman" w:hAnsi="Times New Roman"/>
          <w:i/>
          <w:iCs/>
          <w:sz w:val="21"/>
          <w:szCs w:val="21"/>
        </w:rPr>
        <w:t xml:space="preserve">ACS Energy Lett.</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2021</w:t>
      </w: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6</w:t>
      </w:r>
      <w:r>
        <w:rPr>
          <w:rFonts w:ascii="Times New Roman" w:cs="Times New Roman" w:eastAsia="Times New Roman" w:hAnsi="Times New Roman"/>
          <w:sz w:val="21"/>
          <w:szCs w:val="21"/>
        </w:rPr>
        <w:t xml:space="preserve">, 3072.</w:t>
      </w:r>
    </w:p>
    <w:p>
      <w:pPr>
        <w:spacing w:after="60"/>
        <w:ind w:left="500" w:hanging="500"/>
      </w:pPr>
      <w:r>
        <w:rPr>
          <w:rFonts w:ascii="Times New Roman" w:cs="Times New Roman" w:eastAsia="Times New Roman" w:hAnsi="Times New Roman"/>
          <w:sz w:val="21"/>
          <w:szCs w:val="21"/>
        </w:rPr>
        <w:t xml:space="preserve">[9]	(already cited) T. Minnmann et al., </w:t>
      </w:r>
      <w:r>
        <w:rPr>
          <w:rFonts w:ascii="Times New Roman" w:cs="Times New Roman" w:eastAsia="Times New Roman" w:hAnsi="Times New Roman"/>
          <w:i/>
          <w:iCs/>
          <w:sz w:val="21"/>
          <w:szCs w:val="21"/>
        </w:rPr>
        <w:t xml:space="preserve">Adv. Energy Mater.</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2022</w:t>
      </w: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12</w:t>
      </w:r>
      <w:r>
        <w:rPr>
          <w:rFonts w:ascii="Times New Roman" w:cs="Times New Roman" w:eastAsia="Times New Roman" w:hAnsi="Times New Roman"/>
          <w:sz w:val="21"/>
          <w:szCs w:val="21"/>
        </w:rPr>
        <w:t xml:space="preserve">, 2201425.</w:t>
      </w:r>
    </w:p>
    <w:p>
      <w:pPr>
        <w:pStyle w:val="Heading1"/>
        <w:spacing w:after="160" w:before="300"/>
      </w:pPr>
      <w:r>
        <w:rPr>
          <w:rFonts w:ascii="Times New Roman" w:cs="Times New Roman" w:eastAsia="Times New Roman" w:hAnsi="Times New Roman"/>
          <w:b/>
          <w:bCs/>
          <w:sz w:val="24"/>
          <w:szCs w:val="24"/>
        </w:rPr>
        <w:t xml:space="preserve">D.  공저자용 메모  (투고 전 삭제)</w:t>
      </w:r>
    </w:p>
    <w:p>
      <w:pPr>
        <w:spacing w:after="120" w:line="290"/>
        <w:ind w:left="400" w:hanging="400"/>
        <w:jc w:val="both"/>
      </w:pPr>
      <w:r>
        <w:rPr>
          <w:rFonts w:ascii="Times New Roman" w:cs="Times New Roman" w:eastAsia="Times New Roman" w:hAnsi="Times New Roman"/>
          <w:b/>
          <w:bCs/>
          <w:sz w:val="21"/>
          <w:szCs w:val="21"/>
        </w:rPr>
        <w:t xml:space="preserve">D1.  </w:t>
      </w:r>
      <w:r>
        <w:rPr>
          <w:rFonts w:ascii="Times New Roman" w:cs="Times New Roman" w:eastAsia="Times New Roman" w:hAnsi="Times New Roman"/>
          <w:b/>
          <w:bCs/>
          <w:sz w:val="21"/>
          <w:szCs w:val="21"/>
        </w:rPr>
        <w:t xml:space="preserve">삭제 — "a resolution validated against measured ionic conductivities."</w:t>
      </w:r>
      <w:r>
        <w:rPr>
          <w:rFonts w:ascii="Times New Roman" w:cs="Times New Roman" w:eastAsia="Times New Roman" w:hAnsi="Times New Roman"/>
          <w:sz w:val="21"/>
          <w:szCs w:val="21"/>
        </w:rPr>
        <w:t xml:space="preserve"> v5.1 의 0.4 μm 격자는 수렴하지 않았다.  같은 전극을 더 고운 격자에서 다시 풀면 전자 전도도 비가 계속 움직이고 이온 비는 부호가 뒤집힌다.  측정 이온전도도와의 일치는 </w:t>
      </w:r>
      <w:r>
        <w:rPr>
          <w:rFonts w:ascii="Times New Roman" w:cs="Times New Roman" w:eastAsia="Times New Roman" w:hAnsi="Times New Roman"/>
          <w:b/>
          <w:bCs/>
          <w:sz w:val="21"/>
          <w:szCs w:val="21"/>
        </w:rPr>
        <w:t xml:space="preserve">그 한 격자에서만</w:t>
      </w:r>
      <w:r>
        <w:rPr>
          <w:rFonts w:ascii="Times New Roman" w:cs="Times New Roman" w:eastAsia="Times New Roman" w:hAnsi="Times New Roman"/>
          <w:sz w:val="21"/>
          <w:szCs w:val="21"/>
        </w:rPr>
        <w:t xml:space="preserve"> 성립했으므로 검증이라고 부를 수 없다.  문장을 지우고 생산 격자(0.15 μm)만 적었다.</w:t>
      </w:r>
    </w:p>
    <w:p>
      <w:pPr>
        <w:spacing w:after="120" w:line="290"/>
        <w:ind w:left="400" w:hanging="400"/>
        <w:jc w:val="both"/>
      </w:pPr>
      <w:r>
        <w:rPr>
          <w:rFonts w:ascii="Times New Roman" w:cs="Times New Roman" w:eastAsia="Times New Roman" w:hAnsi="Times New Roman"/>
          <w:b/>
          <w:bCs/>
          <w:sz w:val="21"/>
          <w:szCs w:val="21"/>
        </w:rPr>
        <w:t xml:space="preserve">D2.  </w:t>
      </w:r>
      <w:r>
        <w:rPr>
          <w:rFonts w:ascii="Times New Roman" w:cs="Times New Roman" w:eastAsia="Times New Roman" w:hAnsi="Times New Roman"/>
          <w:b/>
          <w:bCs/>
          <w:sz w:val="21"/>
          <w:szCs w:val="21"/>
        </w:rPr>
        <w:t xml:space="preserve">수송 수치 전면 교체 (잠정).</w:t>
      </w:r>
      <w:r>
        <w:rPr>
          <w:rFonts w:ascii="Times New Roman" w:cs="Times New Roman" w:eastAsia="Times New Roman" w:hAnsi="Times New Roman"/>
          <w:sz w:val="21"/>
          <w:szCs w:val="21"/>
        </w:rPr>
        <w:t xml:space="preserve"> v5.1 의 값(전자 1.98 → 3.00 S cm</w:t>
      </w: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 이온 2.03 → 2.15 × 10</w:t>
      </w:r>
      <w:r>
        <w:rPr>
          <w:rFonts w:ascii="Times New Roman" w:cs="Times New Roman" w:eastAsia="Times New Roman" w:hAnsi="Times New Roman"/>
          <w:sz w:val="21"/>
          <w:szCs w:val="21"/>
          <w:vertAlign w:val="superscript"/>
        </w:rPr>
        <w:t xml:space="preserve">−4</w:t>
      </w:r>
      <w:r>
        <w:rPr>
          <w:rFonts w:ascii="Times New Roman" w:cs="Times New Roman" w:eastAsia="Times New Roman" w:hAnsi="Times New Roman"/>
          <w:sz w:val="21"/>
          <w:szCs w:val="21"/>
        </w:rPr>
        <w:t xml:space="preserve"> S cm</w:t>
      </w: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)은 0.4 μm 격자에서 SDCP 를 입자당 복셀 하나로 찍은 것이고, 그러면 SDCP 부피가 참값의 약 네 배가 된다.  위 표의 값은 생산 규약(0.15 μm 복셀 · SDCP 를 참 직경 구로 · 격자 원점 8팔)에서 나온 것이다.  전자 이득은 +12.3 % 이며, 이 값도 아직 격자 수렴이 확인되지 않았으므로 잠정으로 다룬다.</w:t>
      </w:r>
    </w:p>
    <w:p>
      <w:pPr>
        <w:spacing w:after="120" w:line="290"/>
        <w:ind w:left="400" w:hanging="400"/>
        <w:jc w:val="both"/>
      </w:pPr>
      <w:r>
        <w:rPr>
          <w:rFonts w:ascii="Times New Roman" w:cs="Times New Roman" w:eastAsia="Times New Roman" w:hAnsi="Times New Roman"/>
          <w:b/>
          <w:bCs/>
          <w:sz w:val="21"/>
          <w:szCs w:val="21"/>
        </w:rPr>
        <w:t xml:space="preserve">D3.  </w:t>
      </w:r>
      <w:r>
        <w:rPr>
          <w:rFonts w:ascii="Times New Roman" w:cs="Times New Roman" w:eastAsia="Times New Roman" w:hAnsi="Times New Roman"/>
          <w:b/>
          <w:bCs/>
          <w:sz w:val="21"/>
          <w:szCs w:val="21"/>
        </w:rPr>
        <w:t xml:space="preserve">Table S2 의 기계 물성 = AFM 값 (PTFE 1.8 · SDCP 9.0 GPa).  값은 확정이고, 아직 그 값으로 돌린 모델이 없을 뿐이다.</w:t>
      </w:r>
      <w:r>
        <w:rPr>
          <w:rFonts w:ascii="Times New Roman" w:cs="Times New Roman" w:eastAsia="Times New Roman" w:hAnsi="Times New Roman"/>
          <w:sz w:val="21"/>
          <w:szCs w:val="21"/>
        </w:rPr>
        <w:t xml:space="preserve"> 여기 실린 미세구조는 그 이전 세대(PTFE 0.30 · SDCP 23.6 GPa)로 압밀한 것이므로 투고 전 재압밀이 필요하다.  ⚠ 그때 </w:t>
      </w:r>
      <w:r>
        <w:rPr>
          <w:rFonts w:ascii="Times New Roman" w:cs="Times New Roman" w:eastAsia="Times New Roman" w:hAnsi="Times New Roman"/>
          <w:b/>
          <w:bCs/>
          <w:sz w:val="21"/>
          <w:szCs w:val="21"/>
        </w:rPr>
        <w:t xml:space="preserve">Table S3 에서 바뀌는 칸</w:t>
      </w:r>
      <w:r>
        <w:rPr>
          <w:rFonts w:ascii="Times New Roman" w:cs="Times New Roman" w:eastAsia="Times New Roman" w:hAnsi="Times New Roman"/>
          <w:sz w:val="21"/>
          <w:szCs w:val="21"/>
        </w:rPr>
        <w:t xml:space="preserve">: 두께 · porosity · 면적용량 · σ_e (절대값 2개와 비).  침대 기하가 바뀌기 때문이다.  앞의 셋은 </w:t>
      </w:r>
      <w:r>
        <w:rPr>
          <w:rFonts w:ascii="Times New Roman" w:cs="Times New Roman" w:eastAsia="Times New Roman" w:hAnsi="Times New Roman"/>
          <w:b/>
          <w:bCs/>
          <w:sz w:val="21"/>
          <w:szCs w:val="21"/>
        </w:rPr>
        <w:t xml:space="preserve">표에서 비웠고</w:t>
      </w:r>
      <w:r>
        <w:rPr>
          <w:rFonts w:ascii="Times New Roman" w:cs="Times New Roman" w:eastAsia="Times New Roman" w:hAnsi="Times New Roman"/>
          <w:sz w:val="21"/>
          <w:szCs w:val="21"/>
        </w:rPr>
        <w:t xml:space="preserve">(각주 b) 본문도 수치 대신 Table S3 을 가리키게 했다.  전도도 비의 이동이 8팔 산포(±0.7 %) 안이면 무시 가능으로 닫히고, 벗어나면 새 침대 값으로 갱신한다.</w:t>
      </w:r>
    </w:p>
    <w:p>
      <w:pPr>
        <w:spacing w:after="120" w:line="290"/>
        <w:ind w:left="400" w:hanging="400"/>
        <w:jc w:val="both"/>
      </w:pPr>
      <w:r>
        <w:rPr>
          <w:rFonts w:ascii="Times New Roman" w:cs="Times New Roman" w:eastAsia="Times New Roman" w:hAnsi="Times New Roman"/>
          <w:b/>
          <w:bCs/>
          <w:sz w:val="21"/>
          <w:szCs w:val="21"/>
        </w:rPr>
        <w:t xml:space="preserve">D4.  </w:t>
      </w:r>
      <w:r>
        <w:rPr>
          <w:rFonts w:ascii="Times New Roman" w:cs="Times New Roman" w:eastAsia="Times New Roman" w:hAnsi="Times New Roman"/>
          <w:b/>
          <w:bCs/>
          <w:sz w:val="21"/>
          <w:szCs w:val="21"/>
        </w:rPr>
        <w:t xml:space="preserve">Table S3 — 구조 항목은 v5.1 에서 그대로 가져왔다.</w:t>
      </w:r>
      <w:r>
        <w:rPr>
          <w:rFonts w:ascii="Times New Roman" w:cs="Times New Roman" w:eastAsia="Times New Roman" w:hAnsi="Times New Roman"/>
          <w:sz w:val="21"/>
          <w:szCs w:val="21"/>
        </w:rPr>
        <w:t xml:space="preserve"> 두께 · porosity · 면적용량 · coverage · 접촉수 · 연결률은 옛 0.4 μm 래스터에서 뽑은 값이다.  특히 coverage 와 접촉수는 복셀 크기에 직접 의존하므로 </w:t>
      </w:r>
      <w:r>
        <w:rPr>
          <w:rFonts w:ascii="Times New Roman" w:cs="Times New Roman" w:eastAsia="Times New Roman" w:hAnsi="Times New Roman"/>
          <w:b/>
          <w:bCs/>
          <w:sz w:val="21"/>
          <w:szCs w:val="21"/>
        </w:rPr>
        <w:t xml:space="preserve">표에서 비워 두었다</w:t>
      </w:r>
      <w:r>
        <w:rPr>
          <w:rFonts w:ascii="Times New Roman" w:cs="Times New Roman" w:eastAsia="Times New Roman" w:hAnsi="Times New Roman"/>
          <w:sz w:val="21"/>
          <w:szCs w:val="21"/>
        </w:rPr>
        <w:t xml:space="preserve">(각주 b) — 0.15 μm 에서 다시 뽑아 채울 것.  두께 · porosity · 면적용량은 래스터가 아니라 압밀 결과라 그대로 두었고, porosity 는 논문 전체에서 한 가지 규약(구 부피 기준)으로 통일해 보고할 것.</w:t>
      </w:r>
    </w:p>
    <w:p>
      <w:pPr>
        <w:spacing w:after="120" w:line="290"/>
        <w:ind w:left="400" w:hanging="400"/>
        <w:jc w:val="both"/>
      </w:pPr>
      <w:r>
        <w:rPr>
          <w:rFonts w:ascii="Times New Roman" w:cs="Times New Roman" w:eastAsia="Times New Roman" w:hAnsi="Times New Roman"/>
          <w:b/>
          <w:bCs/>
          <w:sz w:val="21"/>
          <w:szCs w:val="21"/>
        </w:rPr>
        <w:t xml:space="preserve">D5.  </w:t>
      </w:r>
      <w:r>
        <w:rPr>
          <w:rFonts w:ascii="Times New Roman" w:cs="Times New Roman" w:eastAsia="Times New Roman" w:hAnsi="Times New Roman"/>
          <w:sz w:val="21"/>
          <w:szCs w:val="21"/>
        </w:rPr>
        <w:t xml:space="preserve">*</w:t>
      </w:r>
      <w:r>
        <w:rPr>
          <w:rFonts w:ascii="Times New Roman" w:cs="Times New Roman" w:eastAsia="Times New Roman" w:hAnsi="Times New Roman"/>
          <w:i/>
          <w:iCs/>
          <w:sz w:val="21"/>
          <w:szCs w:val="21"/>
        </w:rPr>
        <w:t xml:space="preserve">용어를 "Young’s modulus (</w:t>
      </w:r>
      <w:r>
        <w:rPr>
          <w:rFonts w:ascii="Times New Roman" w:cs="Times New Roman" w:eastAsia="Times New Roman" w:hAnsi="Times New Roman"/>
          <w:sz w:val="21"/>
          <w:szCs w:val="21"/>
        </w:rPr>
        <w:t xml:space="preserve">E</w:t>
      </w:r>
      <w:r>
        <w:rPr>
          <w:rFonts w:ascii="Times New Roman" w:cs="Times New Roman" w:eastAsia="Times New Roman" w:hAnsi="Times New Roman"/>
          <w:i/>
          <w:iCs/>
          <w:sz w:val="21"/>
          <w:szCs w:val="21"/>
        </w:rPr>
        <w:t xml:space="preserve">)" 로 통일했다.</w:t>
      </w:r>
      <w:r>
        <w:rPr>
          <w:rFonts w:ascii="Times New Roman" w:cs="Times New Roman" w:eastAsia="Times New Roman" w:hAnsi="Times New Roman"/>
          <w:i/>
          <w:iCs/>
          <w:sz w:val="21"/>
          <w:szCs w:val="21"/>
        </w:rPr>
        <w:t xml:space="preserve"> v5.1 은 "elastic modulus"(AFM · Table S2 · Figure S6–S7 캡션)와 "Young’s modulus"(DEM 본문)를 섞어 쓴다.  AFM 절과 Figure S6/S7 캡션을 맞추거나 DEM 쪽을 되돌리거나 — </w:t>
      </w:r>
      <w:r>
        <w:rPr>
          <w:rFonts w:ascii="Times New Roman" w:cs="Times New Roman" w:eastAsia="Times New Roman" w:hAnsi="Times New Roman"/>
          <w:i/>
          <w:iCs/>
          <w:sz w:val="21"/>
          <w:szCs w:val="21"/>
        </w:rPr>
        <w:t xml:space="preserve">한 가지만</w:t>
      </w:r>
      <w:r>
        <w:rPr>
          <w:rFonts w:ascii="Times New Roman" w:cs="Times New Roman" w:eastAsia="Times New Roman" w:hAnsi="Times New Roman"/>
          <w:sz w:val="21"/>
          <w:szCs w:val="21"/>
        </w:rPr>
        <w:t xml:space="preserve">* 쓰면 된다.</w:t>
      </w:r>
    </w:p>
    <w:p>
      <w:pPr>
        <w:spacing w:after="120" w:line="290"/>
        <w:ind w:left="400" w:hanging="400"/>
        <w:jc w:val="both"/>
      </w:pPr>
      <w:r>
        <w:rPr>
          <w:rFonts w:ascii="Times New Roman" w:cs="Times New Roman" w:eastAsia="Times New Roman" w:hAnsi="Times New Roman"/>
          <w:b/>
          <w:bCs/>
          <w:sz w:val="21"/>
          <w:szCs w:val="21"/>
        </w:rPr>
        <w:t xml:space="preserve">D6.  </w:t>
      </w:r>
      <w:r>
        <w:rPr>
          <w:rFonts w:ascii="Times New Roman" w:cs="Times New Roman" w:eastAsia="Times New Roman" w:hAnsi="Times New Roman"/>
          <w:b/>
          <w:bCs/>
          <w:sz w:val="21"/>
          <w:szCs w:val="21"/>
        </w:rPr>
        <w:t xml:space="preserve">체적탄성률 비교 삭제.</w:t>
      </w:r>
      <w:r>
        <w:rPr>
          <w:rFonts w:ascii="Times New Roman" w:cs="Times New Roman" w:eastAsia="Times New Roman" w:hAnsi="Times New Roman"/>
          <w:sz w:val="21"/>
          <w:szCs w:val="21"/>
        </w:rPr>
        <w:t xml:space="preserve"> v5.1 은 </w:t>
      </w:r>
      <w:r>
        <w:rPr>
          <w:rFonts w:ascii="Times New Roman" w:cs="Times New Roman" w:eastAsia="Times New Roman" w:hAnsi="Times New Roman"/>
          <w:i/>
          <w:iCs/>
          <w:sz w:val="21"/>
          <w:szCs w:val="21"/>
        </w:rPr>
        <w:t xml:space="preserve">K</w:t>
      </w:r>
      <w:r>
        <w:rPr>
          <w:rFonts w:ascii="Times New Roman" w:cs="Times New Roman" w:eastAsia="Times New Roman" w:hAnsi="Times New Roman"/>
          <w:sz w:val="21"/>
          <w:szCs w:val="21"/>
        </w:rPr>
        <w:t xml:space="preserve"> = 25.5 GPa 를 "dense-material 24 GPa" 옆에 놓았는데, 24 GPa 는 체적탄성률이 아니라 </w:t>
      </w:r>
      <w:r>
        <w:rPr>
          <w:rFonts w:ascii="Times New Roman" w:cs="Times New Roman" w:eastAsia="Times New Roman" w:hAnsi="Times New Roman"/>
          <w:b/>
          <w:bCs/>
          <w:sz w:val="21"/>
          <w:szCs w:val="21"/>
        </w:rPr>
        <w:t xml:space="preserve">영률</w:t>
      </w:r>
      <w:r>
        <w:rPr>
          <w:rFonts w:ascii="Times New Roman" w:cs="Times New Roman" w:eastAsia="Times New Roman" w:hAnsi="Times New Roman"/>
          <w:sz w:val="21"/>
          <w:szCs w:val="21"/>
        </w:rPr>
        <w:t xml:space="preserve">이다.  수정본은 </w:t>
      </w:r>
      <w:r>
        <w:rPr>
          <w:rFonts w:ascii="Times New Roman" w:cs="Times New Roman" w:eastAsia="Times New Roman" w:hAnsi="Times New Roman"/>
          <w:i/>
          <w:iCs/>
          <w:sz w:val="21"/>
          <w:szCs w:val="21"/>
        </w:rPr>
        <w:t xml:space="preserve">K</w:t>
      </w:r>
      <w:r>
        <w:rPr>
          <w:rFonts w:ascii="Times New Roman" w:cs="Times New Roman" w:eastAsia="Times New Roman" w:hAnsi="Times New Roman"/>
          <w:sz w:val="21"/>
          <w:szCs w:val="21"/>
        </w:rPr>
        <w:t xml:space="preserve"> = 25.5 GPa 만 적는다.  앵커가 필요하면 24 GPa 가 아니라 계산된 LPSCl 체적탄성률(26.2 GPa, this work)을 쓸 것.</w:t>
      </w:r>
    </w:p>
    <w:p>
      <w:pPr>
        <w:spacing w:after="120" w:line="290"/>
        <w:ind w:left="400" w:hanging="400"/>
        <w:jc w:val="both"/>
      </w:pPr>
      <w:r>
        <w:rPr>
          <w:rFonts w:ascii="Times New Roman" w:cs="Times New Roman" w:eastAsia="Times New Roman" w:hAnsi="Times New Roman"/>
          <w:b/>
          <w:bCs/>
          <w:sz w:val="21"/>
          <w:szCs w:val="21"/>
        </w:rPr>
        <w:t xml:space="preserve">D7.  </w:t>
      </w:r>
      <w:r>
        <w:rPr>
          <w:rFonts w:ascii="Times New Roman" w:cs="Times New Roman" w:eastAsia="Times New Roman" w:hAnsi="Times New Roman"/>
          <w:b/>
          <w:bCs/>
          <w:sz w:val="21"/>
          <w:szCs w:val="21"/>
        </w:rPr>
        <w:t xml:space="preserve">전단 연화 배수 삭제.</w:t>
      </w:r>
      <w:r>
        <w:rPr>
          <w:rFonts w:ascii="Times New Roman" w:cs="Times New Roman" w:eastAsia="Times New Roman" w:hAnsi="Times New Roman"/>
          <w:sz w:val="21"/>
          <w:szCs w:val="21"/>
        </w:rPr>
        <w:t xml:space="preserve"> v5.1 은 전단탄성률이 "18-fold" 떨어진다고 적었으나, 계산된 치밀 LPSCl 전단탄성률 기준으로는 15.8 배다.  수정본은 배수 대신 값(0.51 GPa)을 적는다.  18 배는 </w:t>
      </w:r>
      <w:r>
        <w:rPr>
          <w:rFonts w:ascii="Times New Roman" w:cs="Times New Roman" w:eastAsia="Times New Roman" w:hAnsi="Times New Roman"/>
          <w:b/>
          <w:bCs/>
          <w:sz w:val="21"/>
          <w:szCs w:val="21"/>
        </w:rPr>
        <w:t xml:space="preserve">DEM 접촉 영률</w:t>
      </w:r>
      <w:r>
        <w:rPr>
          <w:rFonts w:ascii="Times New Roman" w:cs="Times New Roman" w:eastAsia="Times New Roman" w:hAnsi="Times New Roman"/>
          <w:sz w:val="21"/>
          <w:szCs w:val="21"/>
        </w:rPr>
        <w:t xml:space="preserve">(24 → 1.35 GPa)에 대해서는 그대로 맞다.</w:t>
      </w:r>
    </w:p>
    <w:p>
      <w:pPr>
        <w:spacing w:after="120" w:line="290"/>
        <w:ind w:left="400" w:hanging="400"/>
        <w:jc w:val="both"/>
      </w:pPr>
      <w:r>
        <w:rPr>
          <w:rFonts w:ascii="Times New Roman" w:cs="Times New Roman" w:eastAsia="Times New Roman" w:hAnsi="Times New Roman"/>
          <w:b/>
          <w:bCs/>
          <w:sz w:val="21"/>
          <w:szCs w:val="21"/>
        </w:rPr>
        <w:t xml:space="preserve">D8.  </w:t>
      </w:r>
      <w:r>
        <w:rPr>
          <w:rFonts w:ascii="Times New Roman" w:cs="Times New Roman" w:eastAsia="Times New Roman" w:hAnsi="Times New Roman"/>
          <w:b/>
          <w:bCs/>
          <w:sz w:val="21"/>
          <w:szCs w:val="21"/>
        </w:rPr>
        <w:t xml:space="preserve">두 모델이 "1 %p 안에서 일치" 주장 삭제.</w:t>
      </w:r>
      <w:r>
        <w:rPr>
          <w:rFonts w:ascii="Times New Roman" w:cs="Times New Roman" w:eastAsia="Times New Roman" w:hAnsi="Times New Roman"/>
          <w:sz w:val="21"/>
          <w:szCs w:val="21"/>
        </w:rPr>
        <w:t xml:space="preserve"> 그 차이는 두 porosity 규약 사이의 부기 차이이지 독립적인 일치가 아니므로 타당성의 근거가 되지 않는다.  두 모델을 서로가 아니라 같은 실험값에 각각 보정했다는 문장은 남겼다.</w:t>
      </w:r>
    </w:p>
    <w:p>
      <w:pPr>
        <w:spacing w:after="120" w:line="290"/>
        <w:ind w:left="400" w:hanging="400"/>
        <w:jc w:val="both"/>
      </w:pPr>
      <w:r>
        <w:rPr>
          <w:rFonts w:ascii="Times New Roman" w:cs="Times New Roman" w:eastAsia="Times New Roman" w:hAnsi="Times New Roman"/>
          <w:b/>
          <w:bCs/>
          <w:sz w:val="21"/>
          <w:szCs w:val="21"/>
        </w:rPr>
        <w:t xml:space="preserve">D9.  </w:t>
      </w:r>
      <w:r>
        <w:rPr>
          <w:rFonts w:ascii="Times New Roman" w:cs="Times New Roman" w:eastAsia="Times New Roman" w:hAnsi="Times New Roman"/>
          <w:b/>
          <w:bCs/>
          <w:sz w:val="21"/>
          <w:szCs w:val="21"/>
        </w:rPr>
        <w:t xml:space="preserve">σ_SDCP_ 민감도 스윕은 Methods 에서 뺐다 (식 (2) 는 유지).</w:t>
      </w:r>
      <w:r>
        <w:rPr>
          <w:rFonts w:ascii="Times New Roman" w:cs="Times New Roman" w:eastAsia="Times New Roman" w:hAnsi="Times New Roman"/>
          <w:sz w:val="21"/>
          <w:szCs w:val="21"/>
        </w:rPr>
        <w:t xml:space="preserve"> 5점 스윕과 소산-분담 논증은 방법이 아니라 </w:t>
      </w:r>
      <w:r>
        <w:rPr>
          <w:rFonts w:ascii="Times New Roman" w:cs="Times New Roman" w:eastAsia="Times New Roman" w:hAnsi="Times New Roman"/>
          <w:b/>
          <w:bCs/>
          <w:sz w:val="21"/>
          <w:szCs w:val="21"/>
        </w:rPr>
        <w:t xml:space="preserve">결과</w:t>
      </w:r>
      <w:r>
        <w:rPr>
          <w:rFonts w:ascii="Times New Roman" w:cs="Times New Roman" w:eastAsia="Times New Roman" w:hAnsi="Times New Roman"/>
          <w:sz w:val="21"/>
          <w:szCs w:val="21"/>
        </w:rPr>
        <w:t xml:space="preserve">이고, 그 수치는 폐기된 격자의 것이다.  채택한 SDCP 전도도는 이제 Table S2 에만 있다.  ⚠ 식 (2)(Joule 소산)를 남긴 이상 </w:t>
      </w:r>
      <w:r>
        <w:rPr>
          <w:rFonts w:ascii="Times New Roman" w:cs="Times New Roman" w:eastAsia="Times New Roman" w:hAnsi="Times New Roman"/>
          <w:b/>
          <w:bCs/>
          <w:sz w:val="21"/>
          <w:szCs w:val="21"/>
        </w:rPr>
        <w:t xml:space="preserve">Results 어딘가에서 그 양을 써야 한다</w:t>
      </w:r>
      <w:r>
        <w:rPr>
          <w:rFonts w:ascii="Times New Roman" w:cs="Times New Roman" w:eastAsia="Times New Roman" w:hAnsi="Times New Roman"/>
          <w:sz w:val="21"/>
          <w:szCs w:val="21"/>
        </w:rPr>
        <w:t xml:space="preserve"> — 지금 Figure 4b 는 전도도만 보여주므로, 스윕을 생산 규약에서 다시 돌려 소산 분담을 싣거나 아니면 식 (2) 를 다시 빼는 것 중 하나를 골라야 한다.</w:t>
      </w:r>
    </w:p>
    <w:p>
      <w:pPr>
        <w:spacing w:after="120" w:line="290"/>
        <w:ind w:left="400" w:hanging="400"/>
        <w:jc w:val="both"/>
      </w:pPr>
      <w:r>
        <w:rPr>
          <w:rFonts w:ascii="Times New Roman" w:cs="Times New Roman" w:eastAsia="Times New Roman" w:hAnsi="Times New Roman"/>
          <w:b/>
          <w:bCs/>
          <w:sz w:val="21"/>
          <w:szCs w:val="21"/>
        </w:rPr>
        <w:t xml:space="preserve">D10.  </w:t>
      </w:r>
      <w:r>
        <w:rPr>
          <w:rFonts w:ascii="Times New Roman" w:cs="Times New Roman" w:eastAsia="Times New Roman" w:hAnsi="Times New Roman"/>
          <w:b/>
          <w:bCs/>
          <w:sz w:val="21"/>
          <w:szCs w:val="21"/>
        </w:rPr>
        <w:t xml:space="preserve">기전 문장은 Results 쪽에서 다시 써야 한다.</w:t>
      </w:r>
      <w:r>
        <w:rPr>
          <w:rFonts w:ascii="Times New Roman" w:cs="Times New Roman" w:eastAsia="Times New Roman" w:hAnsi="Times New Roman"/>
          <w:sz w:val="21"/>
          <w:szCs w:val="21"/>
        </w:rPr>
        <w:t xml:space="preserve"> v5.1 의 서술 — SDCP 가 고전도 브리지로서 직렬 병목을 해소한다 — 은 지금 시뮬레이션이 지지하지 않는다.  SDCP 가 나르는 전자 전류는 약 1 % 이고, SDCP 의 전도도 우위를 없애도 이득은 6 % 만 줄어든다.  교체안: </w:t>
      </w:r>
      <w:r>
        <w:rPr>
          <w:rFonts w:ascii="Times New Roman" w:cs="Times New Roman" w:eastAsia="Times New Roman" w:hAnsi="Times New Roman"/>
          <w:i/>
          <w:iCs/>
          <w:sz w:val="21"/>
          <w:szCs w:val="21"/>
        </w:rPr>
        <w:t xml:space="preserve">"SDCP raises the electronic conductivity mainly by converting electronically insulating volume — electrolyte and pore — into conducting volume, which reroutes current around bottlenecks in the existing carbon network, rather than by carrying a proportional share of the current itself."</w:t>
      </w:r>
    </w:p>
    <w:p>
      <w:pPr>
        <w:spacing w:after="120" w:line="290"/>
        <w:ind w:left="400" w:hanging="400"/>
        <w:jc w:val="both"/>
      </w:pPr>
      <w:r>
        <w:rPr>
          <w:rFonts w:ascii="Times New Roman" w:cs="Times New Roman" w:eastAsia="Times New Roman" w:hAnsi="Times New Roman"/>
          <w:b/>
          <w:bCs/>
          <w:sz w:val="21"/>
          <w:szCs w:val="21"/>
        </w:rPr>
        <w:t xml:space="preserve">D14.  </w:t>
      </w:r>
      <w:r>
        <w:rPr>
          <w:rFonts w:ascii="Times New Roman" w:cs="Times New Roman" w:eastAsia="Times New Roman" w:hAnsi="Times New Roman"/>
          <w:b/>
          <w:bCs/>
          <w:sz w:val="21"/>
          <w:szCs w:val="21"/>
        </w:rPr>
        <w:t xml:space="preserve">표에서 각주를 뺐다 — 아래는 우리끼리 알고 있을 것.</w:t>
      </w:r>
      <w:r>
        <w:rPr>
          <w:rFonts w:ascii="Times New Roman" w:cs="Times New Roman" w:eastAsia="Times New Roman" w:hAnsi="Times New Roman"/>
          <w:sz w:val="21"/>
          <w:szCs w:val="21"/>
        </w:rPr>
        <w:t xml:space="preserve"> (i) </w:t>
      </w:r>
      <w:r>
        <w:rPr>
          <w:rFonts w:ascii="Times New Roman" w:cs="Times New Roman" w:eastAsia="Times New Roman" w:hAnsi="Times New Roman"/>
          <w:i/>
          <w:iCs/>
          <w:sz w:val="21"/>
          <w:szCs w:val="21"/>
        </w:rPr>
        <w:t xml:space="preserve">σ</w:t>
      </w:r>
      <w:r>
        <w:rPr>
          <w:rFonts w:ascii="Times New Roman" w:cs="Times New Roman" w:eastAsia="Times New Roman" w:hAnsi="Times New Roman"/>
          <w:sz w:val="21"/>
          <w:szCs w:val="21"/>
          <w:vertAlign w:val="subscript"/>
        </w:rPr>
        <w:t xml:space="preserve">e</w:t>
      </w:r>
      <w:r>
        <w:rPr>
          <w:rFonts w:ascii="Times New Roman" w:cs="Times New Roman" w:eastAsia="Times New Roman" w:hAnsi="Times New Roman"/>
          <w:sz w:val="21"/>
          <w:szCs w:val="21"/>
        </w:rPr>
        <w:t xml:space="preserve">(NCM811) 1.0 × 10</w:t>
      </w: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S cm</w:t>
      </w: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 은 활성물질 </w:t>
      </w:r>
      <w:r>
        <w:rPr>
          <w:rFonts w:ascii="Times New Roman" w:cs="Times New Roman" w:eastAsia="Times New Roman" w:hAnsi="Times New Roman"/>
          <w:b/>
          <w:bCs/>
          <w:sz w:val="21"/>
          <w:szCs w:val="21"/>
        </w:rPr>
        <w:t xml:space="preserve">망의 유효값</w:t>
      </w:r>
      <w:r>
        <w:rPr>
          <w:rFonts w:ascii="Times New Roman" w:cs="Times New Roman" w:eastAsia="Times New Roman" w:hAnsi="Times New Roman"/>
          <w:sz w:val="21"/>
          <w:szCs w:val="21"/>
        </w:rPr>
        <w:t xml:space="preserve">(코퍼스 적합 endpoint)이지 NCM811 고유 전도도가 아니다.  문헌 두 출처(Alabdali 2023 · Wang 2018)는 NMC bulk 를 5 × 10</w:t>
      </w:r>
      <w:r>
        <w:rPr>
          <w:rFonts w:ascii="Times New Roman" w:cs="Times New Roman" w:eastAsia="Times New Roman" w:hAnsi="Times New Roman"/>
          <w:sz w:val="21"/>
          <w:szCs w:val="21"/>
          <w:vertAlign w:val="superscript"/>
        </w:rPr>
        <w:t xml:space="preserve">−5</w:t>
      </w:r>
      <w:r>
        <w:rPr>
          <w:rFonts w:ascii="Times New Roman" w:cs="Times New Roman" w:eastAsia="Times New Roman" w:hAnsi="Times New Roman"/>
          <w:sz w:val="21"/>
          <w:szCs w:val="21"/>
        </w:rPr>
        <w:t xml:space="preserve"> S cm</w:t>
      </w: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 로 준다 = 이 값의 약 </w:t>
      </w:r>
      <w:r>
        <w:rPr>
          <w:rFonts w:ascii="Times New Roman" w:cs="Times New Roman" w:eastAsia="Times New Roman" w:hAnsi="Times New Roman"/>
          <w:b/>
          <w:bCs/>
          <w:sz w:val="21"/>
          <w:szCs w:val="21"/>
        </w:rPr>
        <w:t xml:space="preserve">1/200</w:t>
      </w:r>
      <w:r>
        <w:rPr>
          <w:rFonts w:ascii="Times New Roman" w:cs="Times New Roman" w:eastAsia="Times New Roman" w:hAnsi="Times New Roman"/>
          <w:sz w:val="21"/>
          <w:szCs w:val="21"/>
        </w:rPr>
        <w:t xml:space="preserve"> — 물성값처럼 소개하는 문장은 쓰지 말 것.  정확히는 σ</w:t>
      </w:r>
      <w:r>
        <w:rPr>
          <w:rFonts w:ascii="Times New Roman" w:cs="Times New Roman" w:eastAsia="Times New Roman" w:hAnsi="Times New Roman"/>
          <w:sz w:val="21"/>
          <w:szCs w:val="21"/>
          <w:vertAlign w:val="subscript"/>
        </w:rPr>
        <w:t xml:space="preserve">e</w:t>
      </w:r>
      <w:r>
        <w:rPr>
          <w:rFonts w:ascii="Times New Roman" w:cs="Times New Roman" w:eastAsia="Times New Roman" w:hAnsi="Times New Roman"/>
          <w:sz w:val="21"/>
          <w:szCs w:val="21"/>
        </w:rPr>
        <w:t xml:space="preserve"> 스케일링법칙의 endpoint σ</w:t>
      </w:r>
      <w:r>
        <w:rPr>
          <w:rFonts w:ascii="Times New Roman" w:cs="Times New Roman" w:eastAsia="Times New Roman" w:hAnsi="Times New Roman"/>
          <w:sz w:val="21"/>
          <w:szCs w:val="21"/>
          <w:vertAlign w:val="subscript"/>
        </w:rPr>
        <w:t xml:space="preserve">S</w:t>
      </w:r>
      <w:r>
        <w:rPr>
          <w:rFonts w:ascii="Times New Roman" w:cs="Times New Roman" w:eastAsia="Times New Roman" w:hAnsi="Times New Roman"/>
          <w:sz w:val="21"/>
          <w:szCs w:val="21"/>
        </w:rPr>
        <w:t xml:space="preserve"> ≈ 9.13 을 10 으로 반올림한 값이다.  ⚠ </w:t>
      </w:r>
      <w:r>
        <w:rPr>
          <w:rFonts w:ascii="Times New Roman" w:cs="Times New Roman" w:eastAsia="Times New Roman" w:hAnsi="Times New Roman"/>
          <w:b/>
          <w:bCs/>
          <w:sz w:val="21"/>
          <w:szCs w:val="21"/>
        </w:rPr>
        <w:t xml:space="preserve">확인할 것</w:t>
      </w:r>
      <w:r>
        <w:rPr>
          <w:rFonts w:ascii="Times New Roman" w:cs="Times New Roman" w:eastAsia="Times New Roman" w:hAnsi="Times New Roman"/>
          <w:sz w:val="21"/>
          <w:szCs w:val="21"/>
        </w:rPr>
        <w:t xml:space="preserve">: 이 침대의 AM 은 전부 </w:t>
      </w:r>
      <w:r>
        <w:rPr>
          <w:rFonts w:ascii="Times New Roman" w:cs="Times New Roman" w:eastAsia="Times New Roman" w:hAnsi="Times New Roman"/>
          <w:b/>
          <w:bCs/>
          <w:sz w:val="21"/>
          <w:szCs w:val="21"/>
        </w:rPr>
        <w:t xml:space="preserve">AM_S</w:t>
      </w:r>
      <w:r>
        <w:rPr>
          <w:rFonts w:ascii="Times New Roman" w:cs="Times New Roman" w:eastAsia="Times New Roman" w:hAnsi="Times New Roman"/>
          <w:sz w:val="21"/>
          <w:szCs w:val="21"/>
        </w:rPr>
        <w:t xml:space="preserve">(작은/단결정) 클래스로 찍혀 10 mS cm</w:t>
      </w: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 를 받았는데, 원고는 powder 를 </w:t>
      </w:r>
      <w:r>
        <w:rPr>
          <w:rFonts w:ascii="Times New Roman" w:cs="Times New Roman" w:eastAsia="Times New Roman" w:hAnsi="Times New Roman"/>
          <w:b/>
          <w:bCs/>
          <w:sz w:val="21"/>
          <w:szCs w:val="21"/>
        </w:rPr>
        <w:t xml:space="preserve">polycrystalline</w:t>
      </w:r>
      <w:r>
        <w:rPr>
          <w:rFonts w:ascii="Times New Roman" w:cs="Times New Roman" w:eastAsia="Times New Roman" w:hAnsi="Times New Roman"/>
          <w:sz w:val="21"/>
          <w:szCs w:val="21"/>
        </w:rPr>
        <w:t xml:space="preserve"> NCM811 (</w:t>
      </w:r>
      <w:r>
        <w:rPr>
          <w:rFonts w:ascii="Times New Roman" w:cs="Times New Roman" w:eastAsia="Times New Roman" w:hAnsi="Times New Roman"/>
          <w:i/>
          <w:iCs/>
          <w:sz w:val="21"/>
          <w:szCs w:val="21"/>
        </w:rPr>
        <w:t xml:space="preserve">r</w:t>
      </w:r>
      <w:r>
        <w:rPr>
          <w:rFonts w:ascii="Times New Roman" w:cs="Times New Roman" w:eastAsia="Times New Roman" w:hAnsi="Times New Roman"/>
          <w:sz w:val="21"/>
          <w:szCs w:val="21"/>
        </w:rPr>
        <w:t xml:space="preserve"> = 2.5 μm) 로 기술한다.  우리 규약에서 다결정은 AM</w:t>
      </w:r>
      <w:r>
        <w:rPr>
          <w:rFonts w:ascii="Times New Roman" w:cs="Times New Roman" w:eastAsia="Times New Roman" w:hAnsi="Times New Roman"/>
          <w:sz w:val="21"/>
          <w:szCs w:val="21"/>
          <w:vertAlign w:val="subscript"/>
        </w:rPr>
        <w:t xml:space="preserve">P = 5 mS cm^−1^ 다 — **2배 차이**라 의도한 것인지 확인이 필요하다 (AM 이 나르는 전류는 SBE 기준 약 12 % → σ</w:t>
      </w:r>
      <w:r>
        <w:rPr>
          <w:rFonts w:ascii="Times New Roman" w:cs="Times New Roman" w:eastAsia="Times New Roman" w:hAnsi="Times New Roman"/>
          <w:sz w:val="21"/>
          <w:szCs w:val="21"/>
        </w:rPr>
        <w:t xml:space="preserve">e</w:t>
      </w:r>
      <w:r>
        <w:rPr>
          <w:rFonts w:ascii="Times New Roman" w:cs="Times New Roman" w:eastAsia="Times New Roman" w:hAnsi="Times New Roman"/>
          <w:sz w:val="21"/>
          <w:szCs w:val="21"/>
          <w:vertAlign w:val="subscript"/>
        </w:rPr>
        <w:t xml:space="preserve"> 절대값에 영향, 비에는 공통모드로 거의 상쇄).  (ii) *σ*</w:t>
      </w:r>
      <w:r>
        <w:rPr>
          <w:rFonts w:ascii="Times New Roman" w:cs="Times New Roman" w:eastAsia="Times New Roman" w:hAnsi="Times New Roman"/>
          <w:sz w:val="21"/>
          <w:szCs w:val="21"/>
        </w:rPr>
        <w:t xml:space="preserve">e</w:t>
      </w:r>
      <w:r>
        <w:rPr>
          <w:rFonts w:ascii="Times New Roman" w:cs="Times New Roman" w:eastAsia="Times New Roman" w:hAnsi="Times New Roman"/>
          <w:sz w:val="21"/>
          <w:szCs w:val="21"/>
          <w:vertAlign w:val="subscript"/>
        </w:rPr>
        <w:t xml:space="preserve">(VGCF) 100 S cm^−1^ 은 **압분 분말값**(0.012 Ω cm)이고 단섬유 고유값(≈10^4^ S cm^−1^)이 아니다.  복셀이 닿은 섬유를 융합시켜 섬유-섬유 접촉저항을 안 담으므로 접촉저항이 포함된 쪽을 쓰는 것이 맞다 — 단섬유값을 쓰면 접촉저항이 두 번 소거된다.  0.15 μm 복셀에서 섬유가 한 칸 굵기로 그려지므로 원/정사각 면적비 (π/4) 로 재척도해 78.5 S cm^−1^ 를 쓴다 (축방향 컨덕턴스 보존).  이 두 문장은 리뷰어가 물으면 그때 넣으면 된다.  (iii) 표의 공백은 각각 — 두께 · porosity · 면적용량 = 재압밀 대기(D3) / coverage · 접촉수 · 연결률 = 0.15 μm 재추출 대기(D4) / σ</w:t>
      </w:r>
      <w:r>
        <w:rPr>
          <w:rFonts w:ascii="Times New Roman" w:cs="Times New Roman" w:eastAsia="Times New Roman" w:hAnsi="Times New Roman"/>
          <w:sz w:val="21"/>
          <w:szCs w:val="21"/>
        </w:rPr>
        <w:t xml:space="preserve">ion_ 전부 = Fig 2h 보정 대기(D12·D13).</w:t>
      </w:r>
    </w:p>
    <w:p>
      <w:pPr>
        <w:spacing w:after="120" w:line="290"/>
        <w:ind w:left="400" w:hanging="400"/>
        <w:jc w:val="both"/>
      </w:pPr>
      <w:r>
        <w:rPr>
          <w:rFonts w:ascii="Times New Roman" w:cs="Times New Roman" w:eastAsia="Times New Roman" w:hAnsi="Times New Roman"/>
          <w:b/>
          <w:bCs/>
          <w:sz w:val="21"/>
          <w:szCs w:val="21"/>
        </w:rPr>
        <w:t xml:space="preserve">D11.  </w:t>
      </w:r>
      <w:r>
        <w:rPr>
          <w:rFonts w:ascii="Times New Roman" w:cs="Times New Roman" w:eastAsia="Times New Roman" w:hAnsi="Times New Roman"/>
          <w:b/>
          <w:bCs/>
          <w:sz w:val="21"/>
          <w:szCs w:val="21"/>
        </w:rPr>
        <w:t xml:space="preserve">레퍼런스.</w:t>
      </w:r>
      <w:r>
        <w:rPr>
          <w:rFonts w:ascii="Times New Roman" w:cs="Times New Roman" w:eastAsia="Times New Roman" w:hAnsi="Times New Roman"/>
          <w:sz w:val="21"/>
          <w:szCs w:val="21"/>
        </w:rPr>
        <w:t xml:space="preserve"> Methods 는 이제 인용 5개만 쓴다 — LIGGGHTS · MPM · 치밀 LPSCl 영률 · NCM 영률 · 전해질 grain 이온전도도.  이 논문에서 보정하거나 측정한 것이 아닌 </w:t>
      </w:r>
      <w:r>
        <w:rPr>
          <w:rFonts w:ascii="Times New Roman" w:cs="Times New Roman" w:eastAsia="Times New Roman" w:hAnsi="Times New Roman"/>
          <w:b/>
          <w:bCs/>
          <w:sz w:val="21"/>
          <w:szCs w:val="21"/>
        </w:rPr>
        <w:t xml:space="preserve">모든 정량 입력</w:t>
      </w:r>
      <w:r>
        <w:rPr>
          <w:rFonts w:ascii="Times New Roman" w:cs="Times New Roman" w:eastAsia="Times New Roman" w:hAnsi="Times New Roman"/>
          <w:sz w:val="21"/>
          <w:szCs w:val="21"/>
        </w:rPr>
        <w:t xml:space="preserve">은 Table S2 의 Source 열에 출처가 있다.  임의로 붙였던 [100]/[102]/[107]/[109]/[110] 은 없앴다.</w:t>
      </w:r>
    </w:p>
    <w:p>
      <w:pPr>
        <w:spacing w:after="120" w:line="290"/>
        <w:ind w:left="400" w:hanging="400"/>
        <w:jc w:val="both"/>
      </w:pPr>
      <w:r>
        <w:rPr>
          <w:rFonts w:ascii="Times New Roman" w:cs="Times New Roman" w:eastAsia="Times New Roman" w:hAnsi="Times New Roman"/>
          <w:b/>
          <w:bCs/>
          <w:sz w:val="21"/>
          <w:szCs w:val="21"/>
        </w:rPr>
        <w:t xml:space="preserve">D12.  </w:t>
      </w:r>
      <w:r>
        <w:rPr>
          <w:rFonts w:ascii="Times New Roman" w:cs="Times New Roman" w:eastAsia="Times New Roman" w:hAnsi="Times New Roman"/>
          <w:b/>
          <w:bCs/>
          <w:sz w:val="21"/>
          <w:szCs w:val="21"/>
        </w:rPr>
        <w:t xml:space="preserve">이온 결과는 아직 결과로 내세우지 않는다.</w:t>
      </w:r>
      <w:r>
        <w:rPr>
          <w:rFonts w:ascii="Times New Roman" w:cs="Times New Roman" w:eastAsia="Times New Roman" w:hAnsi="Times New Roman"/>
          <w:sz w:val="21"/>
          <w:szCs w:val="21"/>
        </w:rPr>
        <w:t xml:space="preserve"> 값 자체는 재현된다(8팔 전부 수렴, 쌍대응 ±0.003 %).  그러나 두 가지가 열려 있다.  (i) 복셀 크기에 대해 한 번도 확인한 적이 없고, </w:t>
      </w:r>
      <w:r>
        <w:rPr>
          <w:rFonts w:ascii="Times New Roman" w:cs="Times New Roman" w:eastAsia="Times New Roman" w:hAnsi="Times New Roman"/>
          <w:b/>
          <w:bCs/>
          <w:sz w:val="21"/>
          <w:szCs w:val="21"/>
        </w:rPr>
        <w:t xml:space="preserve">확인할 수도 없다</w:t>
      </w:r>
      <w:r>
        <w:rPr>
          <w:rFonts w:ascii="Times New Roman" w:cs="Times New Roman" w:eastAsia="Times New Roman" w:hAnsi="Times New Roman"/>
          <w:sz w:val="21"/>
          <w:szCs w:val="21"/>
        </w:rPr>
        <w:t xml:space="preserve"> — 0.15 μm 아래에서 전해질 충전이 무너진다(미충전 셀이 0.15 μm 에서 약 5 %, 0.125 μm 에서 18 %, 0.10 μm 에서 42 %) → 이온 솔브가 그 격자에서 못 쓰게 된다.  (ii) 더 중요한 것 — 생산 설정에서 PTFE 가 전도 격자에 </w:t>
      </w:r>
      <w:r>
        <w:rPr>
          <w:rFonts w:ascii="Times New Roman" w:cs="Times New Roman" w:eastAsia="Times New Roman" w:hAnsi="Times New Roman"/>
          <w:b/>
          <w:bCs/>
          <w:sz w:val="21"/>
          <w:szCs w:val="21"/>
        </w:rPr>
        <w:t xml:space="preserve">아예 스탬프되지 않는다</w:t>
      </w:r>
      <w:r>
        <w:rPr>
          <w:rFonts w:ascii="Times New Roman" w:cs="Times New Roman" w:eastAsia="Times New Roman" w:hAnsi="Times New Roman"/>
          <w:sz w:val="21"/>
          <w:szCs w:val="21"/>
        </w:rPr>
        <w:t xml:space="preserve">.  그래서 Figure 2h 가 보고하는 효과, 즉 PTFE 는 LPSCl 이온전도도를 27 % 로 죽이고 SDCP 는 80 % 로만 죽인다는 것을 모델이 표현할 수 없다.  PTFE 가 보이지 않으면 SBE 와 DBE 의 이온적 차이는 "DBE 에만 SDCP 가 있어 전해질·기공 부피를 점유한다" 하나로 줄어들고, 그것은 구성상 작은 손해일 수밖에 없다.  ⇒ </w:t>
      </w:r>
      <w:r>
        <w:rPr>
          <w:rFonts w:ascii="Times New Roman" w:cs="Times New Roman" w:eastAsia="Times New Roman" w:hAnsi="Times New Roman"/>
          <w:b/>
          <w:bCs/>
          <w:sz w:val="21"/>
          <w:szCs w:val="21"/>
        </w:rPr>
        <w:t xml:space="preserve">표의 이온 행을 전부 비웠다</w:t>
      </w:r>
      <w:r>
        <w:rPr>
          <w:rFonts w:ascii="Times New Roman" w:cs="Times New Roman" w:eastAsia="Times New Roman" w:hAnsi="Times New Roman"/>
          <w:sz w:val="21"/>
          <w:szCs w:val="21"/>
        </w:rPr>
        <w:t xml:space="preserve"> (각주 c).  D13 의 보정을 마친 뒤 채운다.</w:t>
      </w:r>
    </w:p>
    <w:p>
      <w:pPr>
        <w:spacing w:after="120" w:line="290"/>
        <w:ind w:left="400" w:hanging="400"/>
        <w:jc w:val="both"/>
      </w:pPr>
      <w:r>
        <w:rPr>
          <w:rFonts w:ascii="Times New Roman" w:cs="Times New Roman" w:eastAsia="Times New Roman" w:hAnsi="Times New Roman"/>
          <w:b/>
          <w:bCs/>
          <w:sz w:val="21"/>
          <w:szCs w:val="21"/>
        </w:rPr>
        <w:t xml:space="preserve">D13.  </w:t>
      </w:r>
      <w:r>
        <w:rPr>
          <w:rFonts w:ascii="Times New Roman" w:cs="Times New Roman" w:eastAsia="Times New Roman" w:hAnsi="Times New Roman"/>
          <w:b/>
          <w:bCs/>
          <w:sz w:val="21"/>
          <w:szCs w:val="21"/>
        </w:rPr>
        <w:t xml:space="preserve">Figure 2h 로 이온 상 전도도를 보정할 수 있다 — 다음 우선순위 (신규).</w:t>
      </w:r>
      <w:r>
        <w:rPr>
          <w:rFonts w:ascii="Times New Roman" w:cs="Times New Roman" w:eastAsia="Times New Roman" w:hAnsi="Times New Roman"/>
          <w:sz w:val="21"/>
          <w:szCs w:val="21"/>
        </w:rPr>
        <w:t xml:space="preserve"> Figure 2h 는 9:1 wt 펠릿을 재는데, 이것이 곧 </w:t>
      </w:r>
      <w:r>
        <w:rPr>
          <w:rFonts w:ascii="Times New Roman" w:cs="Times New Roman" w:eastAsia="Times New Roman" w:hAnsi="Times New Roman"/>
          <w:b/>
          <w:bCs/>
          <w:sz w:val="21"/>
          <w:szCs w:val="21"/>
        </w:rPr>
        <w:t xml:space="preserve">이 논문 자신의 상-수준 보정 데이터</w:t>
      </w:r>
      <w:r>
        <w:rPr>
          <w:rFonts w:ascii="Times New Roman" w:cs="Times New Roman" w:eastAsia="Times New Roman" w:hAnsi="Times New Roman"/>
          <w:sz w:val="21"/>
          <w:szCs w:val="21"/>
        </w:rPr>
        <w:t xml:space="preserve">다.  리포 밀도 규약(LPSCl 2.00 · PTFE 2.20 · SDCP 1.30 g cm</w:t>
      </w:r>
      <w:r>
        <w:rPr>
          <w:rFonts w:ascii="Times New Roman" w:cs="Times New Roman" w:eastAsia="Times New Roman" w:hAnsi="Times New Roman"/>
          <w:sz w:val="21"/>
          <w:szCs w:val="21"/>
          <w:vertAlign w:val="superscript"/>
        </w:rPr>
        <w:t xml:space="preserve">−3</w:t>
      </w:r>
      <w:r>
        <w:rPr>
          <w:rFonts w:ascii="Times New Roman" w:cs="Times New Roman" w:eastAsia="Times New Roman" w:hAnsi="Times New Roman"/>
          <w:sz w:val="21"/>
          <w:szCs w:val="21"/>
        </w:rPr>
        <w:t xml:space="preserve">)으로 부피분율을 내고 불활성 충전재 희석(Bruggeman, (1 − </w:t>
      </w:r>
      <w:r>
        <w:rPr>
          <w:rFonts w:ascii="Times New Roman" w:cs="Times New Roman" w:eastAsia="Times New Roman" w:hAnsi="Times New Roman"/>
          <w:i/>
          <w:iCs/>
          <w:sz w:val="21"/>
          <w:szCs w:val="21"/>
        </w:rPr>
        <w:t xml:space="preserve">φ</w:t>
      </w:r>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vertAlign w:val="superscript"/>
        </w:rPr>
        <w:t xml:space="preserve">1.5</w:t>
      </w:r>
      <w:r>
        <w:rPr>
          <w:rFonts w:ascii="Times New Roman" w:cs="Times New Roman" w:eastAsia="Times New Roman" w:hAnsi="Times New Roman"/>
          <w:sz w:val="21"/>
          <w:szCs w:val="21"/>
        </w:rPr>
        <w:t xml:space="preserve">)과 비교하면: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100"/>
        <w:gridCol w:w="1600"/>
        <w:gridCol w:w="1900"/>
      </w:tblGrid>
      <w:tr>
        <w:trPr>
          <w:tblHeader/>
        </w:trPr>
        <w:tc>
          <w:tcPr>
            <w:tcW w:type="dxa" w:w="1900"/>
            <w:shd w:fill="EFEFEF"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1"/>
                <w:szCs w:val="21"/>
              </w:rPr>
              <w:t xml:space="preserve">Binder</w:t>
            </w:r>
          </w:p>
        </w:tc>
        <w:tc>
          <w:tcPr>
            <w:tcW w:type="dxa" w:w="1500"/>
            <w:shd w:fill="EFEFEF"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1"/>
                <w:szCs w:val="21"/>
              </w:rPr>
              <w:t xml:space="preserve">vol %</w:t>
            </w:r>
          </w:p>
        </w:tc>
        <w:tc>
          <w:tcPr>
            <w:tcW w:type="dxa" w:w="2100"/>
            <w:shd w:fill="EFEFEF"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1"/>
                <w:szCs w:val="21"/>
              </w:rPr>
              <w:t xml:space="preserve">Dilution-only prediction</w:t>
            </w:r>
          </w:p>
        </w:tc>
        <w:tc>
          <w:tcPr>
            <w:tcW w:type="dxa" w:w="1600"/>
            <w:shd w:fill="EFEFEF"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1"/>
                <w:szCs w:val="21"/>
              </w:rPr>
              <w:t xml:space="preserve">Measured</w:t>
            </w:r>
          </w:p>
        </w:tc>
        <w:tc>
          <w:tcPr>
            <w:tcW w:type="dxa" w:w="1900"/>
            <w:shd w:fill="EFEFEF"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1"/>
                <w:szCs w:val="21"/>
              </w:rPr>
              <w:t xml:space="preserve">Measured / prediction</w:t>
            </w:r>
          </w:p>
        </w:tc>
      </w:tr>
      <w:tr>
        <w:tc>
          <w:tcPr>
            <w:tcW w:type="dxa" w:w="19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PTFE (9:1)</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9.17</w:t>
            </w:r>
          </w:p>
        </w:tc>
        <w:tc>
          <w:tcPr>
            <w:tcW w:type="dxa" w:w="21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3.09 mS cm</w:t>
            </w:r>
            <w:r>
              <w:rPr>
                <w:rFonts w:ascii="Times New Roman" w:cs="Times New Roman" w:eastAsia="Times New Roman" w:hAnsi="Times New Roman"/>
                <w:sz w:val="21"/>
                <w:szCs w:val="21"/>
                <w:vertAlign w:val="superscript"/>
              </w:rPr>
              <w:t xml:space="preserve">−1</w:t>
            </w:r>
          </w:p>
        </w:tc>
        <w:tc>
          <w:tcPr>
            <w:tcW w:type="dxa" w:w="16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0.97 mS cm</w:t>
            </w:r>
            <w:r>
              <w:rPr>
                <w:rFonts w:ascii="Times New Roman" w:cs="Times New Roman" w:eastAsia="Times New Roman" w:hAnsi="Times New Roman"/>
                <w:sz w:val="21"/>
                <w:szCs w:val="21"/>
                <w:vertAlign w:val="superscript"/>
              </w:rPr>
              <w:t xml:space="preserve">−1</w:t>
            </w:r>
          </w:p>
        </w:tc>
        <w:tc>
          <w:tcPr>
            <w:tcW w:type="dxa" w:w="1900"/>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1"/>
                <w:szCs w:val="21"/>
              </w:rPr>
              <w:t xml:space="preserve">0.31</w:t>
            </w:r>
          </w:p>
        </w:tc>
      </w:tr>
      <w:tr>
        <w:tc>
          <w:tcPr>
            <w:tcW w:type="dxa" w:w="1900"/>
            <w:tcMar>
              <w:top w:type="dxa" w:w="60"/>
              <w:left w:type="dxa" w:w="100"/>
              <w:bottom w:type="dxa" w:w="60"/>
              <w:right w:type="dxa" w:w="100"/>
            </w:tcMar>
          </w:tcPr>
          <w:p>
            <w:pPr>
              <w:spacing w:after="0" w:line="260"/>
              <w:jc w:val="left"/>
            </w:pPr>
            <w:r>
              <w:rPr>
                <w:rFonts w:ascii="Times New Roman" w:cs="Times New Roman" w:eastAsia="Times New Roman" w:hAnsi="Times New Roman"/>
                <w:sz w:val="21"/>
                <w:szCs w:val="21"/>
              </w:rPr>
              <w:t xml:space="preserve">SDCP (9:1)</w:t>
            </w:r>
          </w:p>
        </w:tc>
        <w:tc>
          <w:tcPr>
            <w:tcW w:type="dxa" w:w="15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14.60</w:t>
            </w:r>
          </w:p>
        </w:tc>
        <w:tc>
          <w:tcPr>
            <w:tcW w:type="dxa" w:w="21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2.82 mS cm</w:t>
            </w:r>
            <w:r>
              <w:rPr>
                <w:rFonts w:ascii="Times New Roman" w:cs="Times New Roman" w:eastAsia="Times New Roman" w:hAnsi="Times New Roman"/>
                <w:sz w:val="21"/>
                <w:szCs w:val="21"/>
                <w:vertAlign w:val="superscript"/>
              </w:rPr>
              <w:t xml:space="preserve">−1</w:t>
            </w:r>
          </w:p>
        </w:tc>
        <w:tc>
          <w:tcPr>
            <w:tcW w:type="dxa" w:w="1600"/>
            <w:tcMar>
              <w:top w:type="dxa" w:w="60"/>
              <w:left w:type="dxa" w:w="100"/>
              <w:bottom w:type="dxa" w:w="60"/>
              <w:right w:type="dxa" w:w="100"/>
            </w:tcMar>
          </w:tcPr>
          <w:p>
            <w:pPr>
              <w:spacing w:after="0" w:line="260"/>
              <w:jc w:val="center"/>
            </w:pPr>
            <w:r>
              <w:rPr>
                <w:rFonts w:ascii="Times New Roman" w:cs="Times New Roman" w:eastAsia="Times New Roman" w:hAnsi="Times New Roman"/>
                <w:sz w:val="21"/>
                <w:szCs w:val="21"/>
              </w:rPr>
              <w:t xml:space="preserve">2.86 mS cm</w:t>
            </w:r>
            <w:r>
              <w:rPr>
                <w:rFonts w:ascii="Times New Roman" w:cs="Times New Roman" w:eastAsia="Times New Roman" w:hAnsi="Times New Roman"/>
                <w:sz w:val="21"/>
                <w:szCs w:val="21"/>
                <w:vertAlign w:val="superscript"/>
              </w:rPr>
              <w:t xml:space="preserve">−1</w:t>
            </w:r>
          </w:p>
        </w:tc>
        <w:tc>
          <w:tcPr>
            <w:tcW w:type="dxa" w:w="1900"/>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1"/>
                <w:szCs w:val="21"/>
              </w:rPr>
              <w:t xml:space="preserve">1.02</w:t>
            </w:r>
          </w:p>
        </w:tc>
      </w:tr>
    </w:tbl>
    <w:p>
      <w:pPr>
        <w:spacing w:after="80"/>
      </w:pPr>
    </w:p>
    <w:p>
      <w:pPr>
        <w:spacing w:after="120" w:line="290"/>
        <w:ind w:left="400" w:hanging="400"/>
        <w:jc w:val="both"/>
      </w:pPr>
      <w:r>
        <w:rPr>
          <w:rFonts w:ascii="Times New Roman" w:cs="Times New Roman" w:eastAsia="Times New Roman" w:hAnsi="Times New Roman"/>
          <w:b/>
          <w:bCs/>
          <w:sz w:val="21"/>
          <w:szCs w:val="21"/>
        </w:rPr>
        <w:t xml:space="preserve">  </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SDCP 는 이온망에서 사실상 불활성 충전재로 거동한다</w:t>
      </w:r>
      <w:r>
        <w:rPr>
          <w:rFonts w:ascii="Times New Roman" w:cs="Times New Roman" w:eastAsia="Times New Roman" w:hAnsi="Times New Roman"/>
          <w:sz w:val="21"/>
          <w:szCs w:val="21"/>
        </w:rPr>
        <w:t xml:space="preserve"> — 부피 희석만으로 실측이 1.5 % 안에서 설명된다 (Maxwell–Garnett 로 교차확인: 절연 가정 2.84 vs 실측 2.86; σ</w:t>
      </w:r>
      <w:r>
        <w:rPr>
          <w:rFonts w:ascii="Times New Roman" w:cs="Times New Roman" w:eastAsia="Times New Roman" w:hAnsi="Times New Roman"/>
          <w:sz w:val="21"/>
          <w:szCs w:val="21"/>
          <w:vertAlign w:val="subscript"/>
        </w:rPr>
        <w:t xml:space="preserve">i</w:t>
      </w:r>
      <w:r>
        <w:rPr>
          <w:rFonts w:ascii="Times New Roman" w:cs="Times New Roman" w:eastAsia="Times New Roman" w:hAnsi="Times New Roman"/>
          <w:sz w:val="21"/>
          <w:szCs w:val="21"/>
        </w:rPr>
        <w:t xml:space="preserve"> = 1.0 mS cm</w:t>
      </w: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 가정은 3.10 으로 벗어난다).  ρ</w:t>
      </w:r>
      <w:r>
        <w:rPr>
          <w:rFonts w:ascii="Times New Roman" w:cs="Times New Roman" w:eastAsia="Times New Roman" w:hAnsi="Times New Roman"/>
          <w:sz w:val="21"/>
          <w:szCs w:val="21"/>
          <w:vertAlign w:val="subscript"/>
        </w:rPr>
        <w:t xml:space="preserve">SDCP</w:t>
      </w:r>
      <w:r>
        <w:rPr>
          <w:rFonts w:ascii="Times New Roman" w:cs="Times New Roman" w:eastAsia="Times New Roman" w:hAnsi="Times New Roman"/>
          <w:sz w:val="21"/>
          <w:szCs w:val="21"/>
        </w:rPr>
        <w:t xml:space="preserve"> 가 proxy 값(1.3)이라 1.1–1.7 g cm</w:t>
      </w:r>
      <w:r>
        <w:rPr>
          <w:rFonts w:ascii="Times New Roman" w:cs="Times New Roman" w:eastAsia="Times New Roman" w:hAnsi="Times New Roman"/>
          <w:sz w:val="21"/>
          <w:szCs w:val="21"/>
          <w:vertAlign w:val="superscript"/>
        </w:rPr>
        <w:t xml:space="preserve">−3</w:t>
      </w:r>
      <w:r>
        <w:rPr>
          <w:rFonts w:ascii="Times New Roman" w:cs="Times New Roman" w:eastAsia="Times New Roman" w:hAnsi="Times New Roman"/>
          <w:sz w:val="21"/>
          <w:szCs w:val="21"/>
        </w:rPr>
        <w:t xml:space="preserve"> 로 흔들어 봐도 비는 1.06–0.96 로 결론이 바뀌지 않는다.  반대로 </w:t>
      </w:r>
      <w:r>
        <w:rPr>
          <w:rFonts w:ascii="Times New Roman" w:cs="Times New Roman" w:eastAsia="Times New Roman" w:hAnsi="Times New Roman"/>
          <w:b/>
          <w:bCs/>
          <w:sz w:val="21"/>
          <w:szCs w:val="21"/>
        </w:rPr>
        <w:t xml:space="preserve">PTFE 는 희석으로 설명되는 것의 3.2 배를 더 깎는다</w:t>
      </w:r>
      <w:r>
        <w:rPr>
          <w:rFonts w:ascii="Times New Roman" w:cs="Times New Roman" w:eastAsia="Times New Roman" w:hAnsi="Times New Roman"/>
          <w:sz w:val="21"/>
          <w:szCs w:val="21"/>
        </w:rPr>
        <w:t xml:space="preserve"> — 부피 점유가 아니라 표면 피복/피브릴 웹의 차단 효과다.</w:t>
      </w:r>
    </w:p>
    <w:p>
      <w:pPr>
        <w:spacing w:after="120" w:line="290"/>
        <w:ind w:left="400" w:hanging="400"/>
        <w:jc w:val="both"/>
      </w:pPr>
      <w:r>
        <w:rPr>
          <w:rFonts w:ascii="Times New Roman" w:cs="Times New Roman" w:eastAsia="Times New Roman" w:hAnsi="Times New Roman"/>
          <w:b/>
          <w:bCs/>
          <w:sz w:val="21"/>
          <w:szCs w:val="21"/>
        </w:rPr>
        <w:t xml:space="preserve">  </w:t>
      </w:r>
      <w:r>
        <w:rPr>
          <w:rFonts w:ascii="Times New Roman" w:cs="Times New Roman" w:eastAsia="Times New Roman" w:hAnsi="Times New Roman"/>
          <w:sz w:val="21"/>
          <w:szCs w:val="21"/>
        </w:rPr>
        <w:t xml:space="preserve">⇒ 지금 모델은 이 두 가지를 </w:t>
      </w:r>
      <w:r>
        <w:rPr>
          <w:rFonts w:ascii="Times New Roman" w:cs="Times New Roman" w:eastAsia="Times New Roman" w:hAnsi="Times New Roman"/>
          <w:b/>
          <w:bCs/>
          <w:sz w:val="21"/>
          <w:szCs w:val="21"/>
        </w:rPr>
        <w:t xml:space="preserve">모두</w:t>
      </w:r>
      <w:r>
        <w:rPr>
          <w:rFonts w:ascii="Times New Roman" w:cs="Times New Roman" w:eastAsia="Times New Roman" w:hAnsi="Times New Roman"/>
          <w:sz w:val="21"/>
          <w:szCs w:val="21"/>
        </w:rPr>
        <w:t xml:space="preserve"> 놓치고 있다: σ</w:t>
      </w:r>
      <w:r>
        <w:rPr>
          <w:rFonts w:ascii="Times New Roman" w:cs="Times New Roman" w:eastAsia="Times New Roman" w:hAnsi="Times New Roman"/>
          <w:sz w:val="21"/>
          <w:szCs w:val="21"/>
          <w:vertAlign w:val="subscript"/>
        </w:rPr>
        <w:t xml:space="preserve">ion</w:t>
      </w:r>
      <w:r>
        <w:rPr>
          <w:rFonts w:ascii="Times New Roman" w:cs="Times New Roman" w:eastAsia="Times New Roman" w:hAnsi="Times New Roman"/>
          <w:sz w:val="21"/>
          <w:szCs w:val="21"/>
        </w:rPr>
        <w:t xml:space="preserve">(SDCP) 를 1.0 mS cm</w:t>
      </w: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 로 두어 실측보다 후하게 잡았고, PTFE 는 아예 안 그린다.  두 오차가 </w:t>
      </w:r>
      <w:r>
        <w:rPr>
          <w:rFonts w:ascii="Times New Roman" w:cs="Times New Roman" w:eastAsia="Times New Roman" w:hAnsi="Times New Roman"/>
          <w:b/>
          <w:bCs/>
          <w:sz w:val="21"/>
          <w:szCs w:val="21"/>
        </w:rPr>
        <w:t xml:space="preserve">같은 방향으로</w:t>
      </w:r>
      <w:r>
        <w:rPr>
          <w:rFonts w:ascii="Times New Roman" w:cs="Times New Roman" w:eastAsia="Times New Roman" w:hAnsi="Times New Roman"/>
          <w:sz w:val="21"/>
          <w:szCs w:val="21"/>
        </w:rPr>
        <w:t xml:space="preserve"> 작용해 이온 비를 DBE 에 불리하게 민다.  ⚠ 다만 부피만 보면 DBE 쪽 바인더가 오히려 많다 (2.03 vs 1.51 vol% of solid — SDCP 가 PTFE 보다 가벼워서다).  즉 DBE 의 이온 이득은 부피가 아니라 </w:t>
      </w:r>
      <w:r>
        <w:rPr>
          <w:rFonts w:ascii="Times New Roman" w:cs="Times New Roman" w:eastAsia="Times New Roman" w:hAnsi="Times New Roman"/>
          <w:b/>
          <w:bCs/>
          <w:sz w:val="21"/>
          <w:szCs w:val="21"/>
        </w:rPr>
        <w:t xml:space="preserve">PTFE 차단의 비대칭</w:t>
      </w:r>
      <w:r>
        <w:rPr>
          <w:rFonts w:ascii="Times New Roman" w:cs="Times New Roman" w:eastAsia="Times New Roman" w:hAnsi="Times New Roman"/>
          <w:sz w:val="21"/>
          <w:szCs w:val="21"/>
        </w:rPr>
        <w:t xml:space="preserve">(SBE 1 wt% vs DBE 0.5 wt%)에서만 나올 수 있고, 그것이 지금 모델에 없는 항이다.</w:t>
      </w:r>
    </w:p>
    <w:p>
      <w:pPr>
        <w:spacing w:after="120" w:line="290"/>
        <w:ind w:left="400" w:hanging="400"/>
        <w:jc w:val="both"/>
      </w:pPr>
      <w:r>
        <w:rPr>
          <w:rFonts w:ascii="Times New Roman" w:cs="Times New Roman" w:eastAsia="Times New Roman" w:hAnsi="Times New Roman"/>
          <w:b/>
          <w:bCs/>
          <w:sz w:val="21"/>
          <w:szCs w:val="21"/>
        </w:rPr>
        <w:t xml:space="preserve">  </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제안하는 보정 (frame[4] — 모델끼리가 아니라 실험에 맞춘다)</w:t>
      </w:r>
      <w:r>
        <w:rPr>
          <w:rFonts w:ascii="Times New Roman" w:cs="Times New Roman" w:eastAsia="Times New Roman" w:hAnsi="Times New Roman"/>
          <w:sz w:val="21"/>
          <w:szCs w:val="21"/>
        </w:rPr>
        <w:t xml:space="preserve">: 9:1 LPSCl+바인더 펠릿을 같은 복셀 파이프라인으로 만들고, ⓐ σ</w:t>
      </w:r>
      <w:r>
        <w:rPr>
          <w:rFonts w:ascii="Times New Roman" w:cs="Times New Roman" w:eastAsia="Times New Roman" w:hAnsi="Times New Roman"/>
          <w:sz w:val="21"/>
          <w:szCs w:val="21"/>
          <w:vertAlign w:val="subscript"/>
        </w:rPr>
        <w:t xml:space="preserve">ion</w:t>
      </w:r>
      <w:r>
        <w:rPr>
          <w:rFonts w:ascii="Times New Roman" w:cs="Times New Roman" w:eastAsia="Times New Roman" w:hAnsi="Times New Roman"/>
          <w:sz w:val="21"/>
          <w:szCs w:val="21"/>
        </w:rPr>
        <w:t xml:space="preserve">(SDCP) 와 ⓑ PTFE 의 차단 표현(스탬프 + 표면층)을 Figure 2h 의 0.97 / 2.86 mS cm</w:t>
      </w: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 를 재현하도록 맞춘다.  그렇게 얻은 상 전도도를 전극에 넣어 8팔을 다시 돌리면 이온 축이 </w:t>
      </w:r>
      <w:r>
        <w:rPr>
          <w:rFonts w:ascii="Times New Roman" w:cs="Times New Roman" w:eastAsia="Times New Roman" w:hAnsi="Times New Roman"/>
          <w:b/>
          <w:bCs/>
          <w:sz w:val="21"/>
          <w:szCs w:val="21"/>
        </w:rPr>
        <w:t xml:space="preserve">이 논문 자신의 측정에 앵커된</w:t>
      </w:r>
      <w:r>
        <w:rPr>
          <w:rFonts w:ascii="Times New Roman" w:cs="Times New Roman" w:eastAsia="Times New Roman" w:hAnsi="Times New Roman"/>
          <w:sz w:val="21"/>
          <w:szCs w:val="21"/>
        </w:rPr>
        <w:t xml:space="preserve"> 결과가 된다.  작은 RVE 라 비용도 낮다.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2026-08-23T06:48:52.978Z</dcterms:created>
  <dcterms:modified xsi:type="dcterms:W3CDTF">2026-08-23T06:48:52.978Z</dcterms:modified>
</cp:coreProperties>
</file>

<file path=docProps/custom.xml><?xml version="1.0" encoding="utf-8"?>
<Properties xmlns="http://schemas.openxmlformats.org/officeDocument/2006/custom-properties" xmlns:vt="http://schemas.openxmlformats.org/officeDocument/2006/docPropsVTypes"/>
</file>