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E2825" w14:textId="77777777" w:rsidR="006620FC" w:rsidRDefault="008545DD">
      <w:pPr>
        <w:spacing w:after="240"/>
        <w:jc w:val="center"/>
        <w:rPr>
          <w:rFonts w:ascii="Times New Roman" w:eastAsia="Times New Roman" w:hAnsi="Times New Roman" w:cs="Times New Roman"/>
        </w:rPr>
      </w:pPr>
      <w:r>
        <w:rPr>
          <w:rFonts w:ascii="Times New Roman" w:eastAsia="Times New Roman" w:hAnsi="Times New Roman" w:cs="Times New Roman"/>
          <w:b/>
          <w:bCs/>
          <w:sz w:val="24"/>
          <w:szCs w:val="24"/>
          <w:u w:val="single"/>
        </w:rPr>
        <w:t>Comments to the Author(s)</w:t>
      </w:r>
    </w:p>
    <w:p w14:paraId="4C4E2826" w14:textId="7000DB28" w:rsidR="006620FC" w:rsidRDefault="008545DD">
      <w:pPr>
        <w:spacing w:after="160" w:line="276" w:lineRule="auto"/>
        <w:jc w:val="both"/>
        <w:rPr>
          <w:rFonts w:ascii="Times New Roman" w:eastAsia="Times New Roman" w:hAnsi="Times New Roman" w:cs="Times New Roman"/>
          <w:sz w:val="24"/>
          <w:szCs w:val="24"/>
        </w:rPr>
      </w:pPr>
      <w:r>
        <w:rPr>
          <w:rFonts w:ascii="Times New Roman" w:hAnsi="Times New Roman"/>
          <w:b w:val="0"/>
          <w:sz w:val="24"/>
        </w:rPr>
        <w:t>In this study, the authors investigate how the particle size of the Li6PS5Cl (LPSC) solid electrolyte and the cathode-active-material / solid-electrolyte (CAM/SSE) volume ratio jointly govern interfacial transport and stability in sulfide all-solid-state composite cathodes. Combining EIS / DC-polarization screening, in-situ EIS with distribution-of-relaxation-times (DRT) analysis, rate and cycling tests, post-mortem SEM / FIB-SEM, and a three-dimensional LAMMPS particle-packing simulation, the manuscript develops a coherent narrative: fine LPSC fills inter-particle voids, lowers the ionic-transport tortuosity and porosity, but raises the electronic-pathway tortuosity, so that an intermediate (≈50:50) composition best balances the two transport modes. The topic is timely, and the multi-technique dataset is systematic and practically relevant. However, several concerns remain — most importantly regarding the physical fidelity of the simulation that underpins the central mechanism, the fact that the claimed ionic/electronic trade-off is only half-demonstrated experimentally, and a number of interpretive and presentation issues. The authors should address the following points before publication:</w:t>
      </w:r>
    </w:p>
    <w:p w14:paraId="4C4E2826" w14:textId="7000DB28" w:rsidR="006620FC" w:rsidRDefault="008545DD">
      <w:pPr>
        <w:spacing w:after="160" w:line="276" w:lineRule="auto"/>
        <w:jc w:val="both"/>
        <w:rPr>
          <w:rFonts w:ascii="Times New Roman" w:eastAsia="Times New Roman" w:hAnsi="Times New Roman" w:cs="Times New Roman"/>
          <w:sz w:val="24"/>
          <w:szCs w:val="24"/>
        </w:rPr>
      </w:pP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The main concern is the physical fidelity of the packing simulation (§2.4, Fig. 2).</w:t>
      </w:r>
      <w:r>
        <w:rPr>
          <w:rFonts w:ascii="Times New Roman" w:hAnsi="Times New Roman"/>
          <w:b w:val="0"/>
          <w:sz w:val="24"/>
        </w:rPr>
        <w:t xml:space="preserve"> The central mechanistic claim — that fine-SSE void-filling lowers porosity/tortuosity and thereby improves performance — is supported by a 3D model that treats the solid electrolyte as a </w:t>
      </w:r>
      <w:r>
        <w:rPr>
          <w:rFonts w:ascii="Times New Roman" w:hAnsi="Times New Roman"/>
          <w:b/>
          <w:sz w:val="24"/>
        </w:rPr>
        <w:t>purely Hertzian-elastic, adhesive granular medium and therefore omits plastic deformation entirely</w:t>
      </w:r>
      <w:r>
        <w:rPr>
          <w:rFonts w:ascii="Times New Roman" w:hAnsi="Times New Roman"/>
          <w:b w:val="0"/>
          <w:sz w:val="24"/>
        </w:rPr>
        <w:t xml:space="preserve"> (“Hertzian contact model with tangential history” + “short-range adhesive [Lennard–Jones] interaction”; “elastic contact moduli pertinent to actual cold-pressing scenarios”). This is internally inconsistent with the very phenomenon the paper invokes: LPSC is a soft argyrodite that, at the relevant pressures (150 MPa stack; cold-pressing typically ≥300 MPa), is at or above its yield stress (σ_y ≈ 0.05–0.3 GPa) and densifies by irreversible plastic flow into the CAM interstices. The following specific contradictions follow:</w:t>
      </w:r>
      <w:r>
        <w:rPr>
          <w:rFonts w:ascii="Times New Roman" w:hAnsi="Times New Roman"/>
          <w:sz w:val="24"/>
        </w:rPr>
        <w:br/>
      </w:r>
      <w:r>
        <w:rPr>
          <w:rFonts w:ascii="Times New Roman" w:hAnsi="Times New Roman"/>
          <w:b/>
          <w:sz w:val="24"/>
        </w:rPr>
        <w:t>(C1)</w:t>
      </w:r>
      <w:r>
        <w:rPr>
          <w:rFonts w:ascii="Times New Roman" w:hAnsi="Times New Roman"/>
          <w:b w:val="0"/>
          <w:sz w:val="24"/>
        </w:rPr>
        <w:t xml:space="preserve"> The processing pressure exceeds the yield stress, so the electrolyte provably yields, yet it is modeled as elastic — an elastic description of a material that is demonstrably in its plastic regime is inconsistent with the authors’ own densification conditions.</w:t>
      </w:r>
      <w:r>
        <w:rPr>
          <w:rFonts w:ascii="Times New Roman" w:hAnsi="Times New Roman"/>
          <w:sz w:val="24"/>
        </w:rPr>
        <w:br/>
      </w:r>
      <w:r>
        <w:rPr>
          <w:rFonts w:ascii="Times New Roman" w:hAnsi="Times New Roman"/>
          <w:b/>
          <w:sz w:val="24"/>
        </w:rPr>
        <w:t>(C2)</w:t>
      </w:r>
      <w:r>
        <w:rPr>
          <w:rFonts w:ascii="Times New Roman" w:hAnsi="Times New Roman"/>
          <w:b w:val="0"/>
          <w:sz w:val="24"/>
        </w:rPr>
        <w:t xml:space="preserve"> The simulated porosity is roughly twice the measured value: the fine-SSE simulation gives 19.56%, whereas the FIB-SEM of the fine-LPSC 50 vol% electrode gives 9.43% (and the pristine porosity that the as-pressed packing should be compared against would be lower still). An elastic/rigid sphere fills voids only geometrically and saturates near the jamming limit (~20% for this size ratio), so it cannot reach the experimental plastic density — the model under-represents the void-filling it is meant to prove.</w:t>
      </w:r>
      <w:r>
        <w:rPr>
          <w:rFonts w:ascii="Times New Roman" w:hAnsi="Times New Roman"/>
          <w:sz w:val="24"/>
        </w:rPr>
        <w:br/>
      </w:r>
      <w:r>
        <w:rPr>
          <w:rFonts w:ascii="Times New Roman" w:hAnsi="Times New Roman"/>
          <w:b/>
          <w:sz w:val="24"/>
        </w:rPr>
        <w:t>(C3)</w:t>
      </w:r>
      <w:r>
        <w:rPr>
          <w:rFonts w:ascii="Times New Roman" w:hAnsi="Times New Roman"/>
          <w:b w:val="0"/>
          <w:sz w:val="24"/>
        </w:rPr>
        <w:t xml:space="preserve"> The model contradicts the authors’ own micrographs: the SEM/FIB-SEM descriptions (“fine LPSC particles effectively fill the interstices”, boundary flattening, “covers CAM more thoroughly”) are plastic-flow (core-preserved, boundary-flattened) morphology, whereas the supporting simulation is elastic.</w:t>
      </w:r>
      <w:r>
        <w:rPr>
          <w:rFonts w:ascii="Times New Roman" w:hAnsi="Times New Roman"/>
          <w:sz w:val="24"/>
        </w:rPr>
        <w:br/>
      </w:r>
      <w:r>
        <w:rPr>
          <w:rFonts w:ascii="Times New Roman" w:hAnsi="Times New Roman"/>
          <w:b/>
          <w:sz w:val="24"/>
        </w:rPr>
        <w:t>(C4)</w:t>
      </w:r>
      <w:r>
        <w:rPr>
          <w:rFonts w:ascii="Times New Roman" w:hAnsi="Times New Roman"/>
          <w:b w:val="0"/>
          <w:sz w:val="24"/>
        </w:rPr>
        <w:t xml:space="preserve"> Densification of an elastic+adhesive packing under a z-only NPT barostat is largely reversible: porosity is reduced by rearrangement, recoverable elastic overlap (which springs back on unloading), and Lennard–Jones-adhesion clustering — none of which is the irreversible compaction that cold-pressing produces.</w:t>
      </w:r>
      <w:r>
        <w:rPr>
          <w:rFonts w:ascii="Times New Roman" w:hAnsi="Times New Roman"/>
          <w:sz w:val="24"/>
        </w:rPr>
        <w:br/>
      </w:r>
      <w:r>
        <w:rPr>
          <w:rFonts w:ascii="Times New Roman" w:hAnsi="Times New Roman"/>
          <w:b/>
          <w:sz w:val="24"/>
        </w:rPr>
        <w:t>(C5)</w:t>
      </w:r>
      <w:r>
        <w:rPr>
          <w:rFonts w:ascii="Times New Roman" w:hAnsi="Times New Roman"/>
          <w:b w:val="0"/>
          <w:sz w:val="24"/>
        </w:rPr>
        <w:t xml:space="preserve"> Elastic point contacts misrepresent the conducting neck: ionic transport is constriction-limited (R ∝ 1/(σ·a), Holm), and a Hertzian contact radius a = (R*δ)^½ is far smaller than the plastically flattened contact from A = F/H (Tabor). The model therefore overestimates constriction resistance and inflates the ionic tortuosity, so even the tortuosity trend may be exaggerated.</w:t>
      </w:r>
      <w:r>
        <w:rPr>
          <w:rFonts w:ascii="Times New Roman" w:hAnsi="Times New Roman"/>
          <w:sz w:val="24"/>
        </w:rPr>
        <w:br/>
      </w:r>
      <w:r>
        <w:rPr>
          <w:rFonts w:ascii="Times New Roman" w:hAnsi="Times New Roman"/>
          <w:b/>
          <w:sz w:val="24"/>
        </w:rPr>
        <w:t>(C6)</w:t>
      </w:r>
      <w:r>
        <w:rPr>
          <w:rFonts w:ascii="Times New Roman" w:hAnsi="Times New Roman"/>
          <w:b w:val="0"/>
          <w:sz w:val="24"/>
        </w:rPr>
        <w:t xml:space="preserve"> Because tortuosity is computed on a network that is ~2× too porous, the absolute values (6.360 vs 3.914) cannot be validated against the real electrode (tortuosity is strongly porosity-dependent, τ ≈ ε^(−½) and steeper near percolation); only the qualitative ordering (coarse &gt; fine) is defensible.</w:t>
      </w:r>
      <w:r>
        <w:rPr>
          <w:rFonts w:ascii="Times New Roman" w:hAnsi="Times New Roman"/>
          <w:sz w:val="24"/>
        </w:rPr>
        <w:br/>
      </w:r>
      <w:r>
        <w:rPr>
          <w:rFonts w:ascii="Times New Roman" w:hAnsi="Times New Roman"/>
          <w:b/>
          <w:sz w:val="24"/>
        </w:rPr>
        <w:t>Recommendation:</w:t>
      </w:r>
      <w:r>
        <w:rPr>
          <w:rFonts w:ascii="Times New Roman" w:hAnsi="Times New Roman"/>
          <w:b w:val="0"/>
          <w:sz w:val="24"/>
        </w:rPr>
        <w:t xml:space="preserve"> adopt an elastoplastic contact (a yield-capped normal force with A = F/H above yield), or at minimum a hysteretic loading–unloading law that captures irreversible overlap, so the SSE can plastically fill voids; or explicitly reframe Fig. 2 as a geometric, qualitative-trend tool and withdraw the quantitative porosity/tortuosity comparison with the FIB-SEM data.</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The “molecular-dynamics” framing and parameters are inappropriate for micron-scale grains.</w:t>
      </w:r>
      <w:r>
        <w:rPr>
          <w:rFonts w:ascii="Times New Roman" w:hAnsi="Times New Roman"/>
          <w:b w:val="0"/>
          <w:sz w:val="24"/>
        </w:rPr>
        <w:t xml:space="preserve"> A 1 fs time step, a 300 K thermostat, and 500,000 steps (≈0.5 ns total) carry no physical meaning for 0.5–6 µm particles: thermal energy and femtosecond dynamics are irrelevant to granular compaction, and 0.5 ns cannot accommodate micron-grain rearrangement kinetics. Please clarify whether mass-scaling / viscous damping was used to reach a quasi-static, force-converged (jammed) state rather than a kinetically frozen one, and describe/parameterize the method as the granular discrete-element (DEM) calculation that it is (contact time, damping, converged coordination number) rather than as MD.</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Geometric tortuosity is not transport tortuosity, and the simulation statistics are under-reported.</w:t>
      </w:r>
      <w:r>
        <w:rPr>
          <w:rFonts w:ascii="Times New Roman" w:hAnsi="Times New Roman"/>
          <w:b w:val="0"/>
          <w:sz w:val="24"/>
        </w:rPr>
        <w:t xml:space="preserve"> The path-length / straight-line definition is a geometric proxy and does not equal the τ that enters σ_eff = σ₀·ε/τ. Porosity/tortuosity are reported to four significant figures (35.76%, 3.914) from what appears to be a single random realization; please report the CAM/SSE composition used for Fig. 2 (currently unstated), the number of seeds, and the seed-to-seed scatter, and reconcile the geometric τ with a flux-based (transport) tortuosity. Note also an axis mismatch: the simulation varies SSE particle </w:t>
      </w:r>
      <w:r>
        <w:rPr>
          <w:rFonts w:ascii="Times New Roman" w:hAnsi="Times New Roman"/>
          <w:b/>
          <w:sz w:val="24"/>
        </w:rPr>
        <w:t>size</w:t>
      </w:r>
      <w:r>
        <w:rPr>
          <w:rFonts w:ascii="Times New Roman" w:hAnsi="Times New Roman"/>
          <w:b w:val="0"/>
          <w:sz w:val="24"/>
        </w:rPr>
        <w:t xml:space="preserve"> (coarse vs fine) at one composition, whereas every electrochemical experiment varies </w:t>
      </w:r>
      <w:r>
        <w:rPr>
          <w:rFonts w:ascii="Times New Roman" w:hAnsi="Times New Roman"/>
          <w:b/>
          <w:sz w:val="24"/>
        </w:rPr>
        <w:t>composition</w:t>
      </w:r>
      <w:r>
        <w:rPr>
          <w:rFonts w:ascii="Times New Roman" w:hAnsi="Times New Roman"/>
          <w:b w:val="0"/>
          <w:sz w:val="24"/>
        </w:rPr>
        <w:t xml:space="preserve"> (50 vs 60 vol%) at fixed fine size, so Fig. 2 does not directly model the cells it is used to explain.</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The central ionic/electronic trade-off is only half-demonstrated experimentally.</w:t>
      </w:r>
      <w:r>
        <w:rPr>
          <w:rFonts w:ascii="Times New Roman" w:hAnsi="Times New Roman"/>
          <w:b w:val="0"/>
          <w:sz w:val="24"/>
        </w:rPr>
        <w:t xml:space="preserve"> All electrochemical data are monotonic (50 vol% outperforms 60 vol% at every rate), i.e. they show only the ion-limited arm (too little SSE). The electron-limited arm (too much SSE / too little CAM, where electronic percolation should fail) appears only in the simulation, not in any cell. A genuine optimum at ≈50:50 requires a U-shaped performance curve; please add a lower-CAM composition (e.g. ≤40 vol% NCM90) that degrades through electronic-percolation loss, or soften the “50:50 is balanced/optimal” claim to “within the 50–60 vol% window studied, 50 vol% is superior.”</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The simulated (as-densified) and FIB-SEM (post-cycling) porosities are not the same quantity.</w:t>
      </w:r>
      <w:r>
        <w:rPr>
          <w:rFonts w:ascii="Times New Roman" w:hAnsi="Times New Roman"/>
          <w:b w:val="0"/>
          <w:sz w:val="24"/>
        </w:rPr>
        <w:t xml:space="preserve"> The 9.43% / 18.93% values are explicitly measured after cycling and therefore include cycling-induced cracking/debonding, whereas the simulation is an as-pressed structure. Please report pristine FIB-SEM porosity as well, so that the as-fabricated packing (the simulation target) and the cycling-induced Δ-porosity are separated. Relatedly, the cold-pressing (fabrication) pressure should be stated explicitly and distinguished from the 150 MPa stack pressure, since pristine porosity is set by the former.</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Particle size and composition are confounded.</w:t>
      </w:r>
      <w:r>
        <w:rPr>
          <w:rFonts w:ascii="Times New Roman" w:hAnsi="Times New Roman"/>
          <w:b w:val="0"/>
          <w:sz w:val="24"/>
        </w:rPr>
        <w:t xml:space="preserve"> The 50 vs 60 vol% comparison changes both the SSE volume fraction (coverage) and the packing geometry at once, so the porosity/hotspot differences cannot be attributed uniquely to “insufficient SSE coverage.” A control that varies one axis at fixed other (e.g. the same SSE vol% at two SSE sizes, or a direct coverage measurement) would substantiate the “size and composition coupling” claimed in the title.</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The CEI interpretation from in-situ DRT is inferential and should be cross-validated.</w:t>
      </w:r>
      <w:r>
        <w:rPr>
          <w:rFonts w:ascii="Times New Roman" w:hAnsi="Times New Roman"/>
          <w:b w:val="0"/>
          <w:sz w:val="24"/>
        </w:rPr>
        <w:t xml:space="preserve"> Assigning the low-frequency (≥10⁻¹ s) DRT relaxation and the Fig. 3e,f “hotspots” to CEI thickening / ion-transport limitation is reasonable but not unique (solid-state diffusion limitation, particle cracking, and contact loss occupy similar time scales). Please (i) cross-reference FIB-SEM CEI thickness / XPS speciation, (ii) provide a fixed time-constant↔process mapping used consistently across panels, and (iii) quantify the hotspots (peak count / intensity / dispersion) rather than relying on threshold-sensitive isosurface contrast.</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(Minor) A capacity-retention value appears to be a typo that contradicts the thesis and Fig. 4a.</w:t>
      </w:r>
      <w:r>
        <w:rPr>
          <w:rFonts w:ascii="Times New Roman" w:hAnsi="Times New Roman"/>
          <w:b w:val="0"/>
          <w:sz w:val="24"/>
        </w:rPr>
        <w:t xml:space="preserve"> The text states the 50 vol% NCM90 electrode retains “6.2% of its initial capacity” while 60 vol% retains 58.4%, yet Fig. 4a shows 50 vol% above 60 vol% throughout and the text concludes 50 vol% is superior; this is almost certainly “96.2%”. Please verify against the Fig. S2 raw data and correct.</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(Minor) Several claims are overstated relative to the data.</w:t>
      </w:r>
      <w:r>
        <w:rPr>
          <w:rFonts w:ascii="Times New Roman" w:hAnsi="Times New Roman"/>
          <w:b w:val="0"/>
          <w:sz w:val="24"/>
        </w:rPr>
        <w:t xml:space="preserve"> “Long-term cycling” denotes only 10 cycles (Fig. S2) — please relabel as short-term or extend to ≥100 cycles; “absence of ion-transport pathways” (60 vol%) is too strong given the electrode still delivers ~167 mAh g⁻¹, so “impeded/insufficient” is more accurate; and “a clear threshold behavior” is claimed from only two compositions, so an intermediate point is needed to locate any threshold.</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(Minor, presentation) Fig. 4c and 4e use different y-axis ranges</w:t>
      </w:r>
      <w:r>
        <w:rPr>
          <w:rFonts w:ascii="Times New Roman" w:hAnsi="Times New Roman"/>
          <w:b w:val="0"/>
          <w:sz w:val="24"/>
        </w:rPr>
        <w:t xml:space="preserve"> (−4…+6 vs −1.5…+1.0 mAh V⁻¹), which visually understates the dQ/dV intensity difference between the two compositions; please plot on a common axis or state the scaling. Please also specify the voltage reference (e.g. Li-In), since the H1–M / M–H2 / H2–H3 peak assignments depend on it.</w:t>
      </w:r>
    </w:p>
    <w:p w14:paraId="7EF48859" w14:textId="71D2D8CB" w:rsidR="005833F1" w:rsidRDefault="00E40323" w:rsidP="005833F1">
      <w:pPr>
        <w:numPr>
          <w:ilvl w:val="0"/>
          <w:numId w:val="1"/>
        </w:numPr>
        <w:spacing w:after="200" w:line="276" w:lineRule="auto"/>
        <w:jc w:val="both"/>
        <w:rPr>
          <w:rFonts w:ascii="Times New Roman" w:hAnsi="Times New Roman" w:cs="Times New Roman"/>
          <w:sz w:val="24"/>
          <w:szCs w:val="24"/>
        </w:rPr>
      </w:pPr>
      <w:proofErr w:type="gramStart"/>
      <w:proofErr w:type="gramEnd"/>
      <w:r>
        <w:rPr>
          <w:rFonts w:ascii="Times New Roman" w:hAnsi="Times New Roman"/>
          <w:b/>
          <w:sz w:val="24"/>
        </w:rPr>
        <w:t>(Minor) Statistical rigor and copy-editing.</w:t>
      </w:r>
      <w:r>
        <w:rPr>
          <w:rFonts w:ascii="Times New Roman" w:hAnsi="Times New Roman"/>
          <w:b w:val="0"/>
          <w:sz w:val="24"/>
        </w:rPr>
        <w:t xml:space="preserve"> Several metrics are reported to excessive precision (43.11%, 180.12 mAh g⁻¹, 35.76%) without cell counts or error bars; please report n and uncertainty for the key comparisons. Finally, please correct the recurring typographical issues: HTML apostrophe artifacts (“can#039;t”, “there#039;s”), “intrinc” → intrinsic, “LAMPS” → LAMMPS, “maintaing/remaing”, and the many missing spaces after periods.</w:t>
      </w:r>
    </w:p>
    <w:p w14:paraId="4C4E2826" w14:textId="7000DB28" w:rsidR="006620FC" w:rsidRDefault="008545DD">
      <w:pPr>
        <w:spacing w:after="160" w:line="276" w:lineRule="auto"/>
        <w:jc w:val="both"/>
        <w:rPr>
          <w:rFonts w:ascii="Times New Roman" w:eastAsia="Times New Roman" w:hAnsi="Times New Roman" w:cs="Times New Roman"/>
          <w:sz w:val="24"/>
          <w:szCs w:val="24"/>
        </w:rPr>
      </w:pPr>
    </w:p>
    <w:p w14:paraId="4C4E2826" w14:textId="7000DB28" w:rsidR="006620FC" w:rsidRDefault="008545DD">
      <w:pPr>
        <w:spacing w:after="160" w:line="276" w:lineRule="auto"/>
        <w:jc w:val="both"/>
        <w:rPr>
          <w:rFonts w:ascii="Times New Roman" w:eastAsia="Times New Roman" w:hAnsi="Times New Roman" w:cs="Times New Roman"/>
          <w:sz w:val="24"/>
          <w:szCs w:val="24"/>
        </w:rPr>
      </w:pPr>
      <w:r>
        <w:rPr>
          <w:rFonts w:ascii="Times New Roman" w:hAnsi="Times New Roman"/>
          <w:b w:val="0"/>
          <w:sz w:val="24"/>
        </w:rPr>
        <w:t xml:space="preserve">Overall, this is a worthwhile and timely contribution, and the authors are commended for candidly acknowledging the unvalidated degradation cascade and the idealized 150 MPa test condition. However, the simulation’s omission of plastic deformation (which controls the porosity, coverage, and contact area at the heart of the paper’s argument) and the only half-demonstrated trade-off are substantive. I therefore recommend </w:t>
      </w:r>
      <w:r>
        <w:rPr>
          <w:rFonts w:ascii="Times New Roman" w:hAnsi="Times New Roman"/>
          <w:b/>
          <w:sz w:val="24"/>
        </w:rPr>
        <w:t>Major Revision</w:t>
      </w:r>
      <w:r>
        <w:rPr>
          <w:rFonts w:ascii="Times New Roman" w:hAnsi="Times New Roman"/>
          <w:b w:val="0"/>
          <w:sz w:val="24"/>
        </w:rPr>
        <w:t>.</w:t>
      </w:r>
    </w:p>
    <w:sectPr w:rsidR="006620F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B8786" w14:textId="77777777" w:rsidR="009F2C47" w:rsidRDefault="009F2C47" w:rsidP="00FA4922">
      <w:r>
        <w:separator/>
      </w:r>
    </w:p>
  </w:endnote>
  <w:endnote w:type="continuationSeparator" w:id="0">
    <w:p w14:paraId="44AF2C99" w14:textId="77777777" w:rsidR="009F2C47" w:rsidRDefault="009F2C47" w:rsidP="00FA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98D08" w14:textId="77777777" w:rsidR="009F2C47" w:rsidRDefault="009F2C47" w:rsidP="00FA4922">
      <w:r>
        <w:separator/>
      </w:r>
    </w:p>
  </w:footnote>
  <w:footnote w:type="continuationSeparator" w:id="0">
    <w:p w14:paraId="1C588A73" w14:textId="77777777" w:rsidR="009F2C47" w:rsidRDefault="009F2C47" w:rsidP="00FA4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0529B"/>
    <w:multiLevelType w:val="hybridMultilevel"/>
    <w:tmpl w:val="B5668674"/>
    <w:lvl w:ilvl="0" w:tplc="350C9EEE">
      <w:start w:val="1"/>
      <w:numFmt w:val="decimal"/>
      <w:lvlText w:val="%1."/>
      <w:lvlJc w:val="left"/>
      <w:pPr>
        <w:ind w:left="890" w:hanging="450"/>
      </w:pPr>
      <w:rPr>
        <w:rFonts w:eastAsia="Times New Roman"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6633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0FC"/>
    <w:rsid w:val="00141BC6"/>
    <w:rsid w:val="00150980"/>
    <w:rsid w:val="00185D10"/>
    <w:rsid w:val="002E012E"/>
    <w:rsid w:val="003146E5"/>
    <w:rsid w:val="003419F6"/>
    <w:rsid w:val="00351765"/>
    <w:rsid w:val="003A7757"/>
    <w:rsid w:val="003D51A4"/>
    <w:rsid w:val="00405395"/>
    <w:rsid w:val="00423568"/>
    <w:rsid w:val="004F7C3D"/>
    <w:rsid w:val="005240F5"/>
    <w:rsid w:val="00536AE8"/>
    <w:rsid w:val="005833F1"/>
    <w:rsid w:val="00646677"/>
    <w:rsid w:val="006620FC"/>
    <w:rsid w:val="007D1508"/>
    <w:rsid w:val="008545DD"/>
    <w:rsid w:val="008F1652"/>
    <w:rsid w:val="009223AD"/>
    <w:rsid w:val="009503C3"/>
    <w:rsid w:val="00974028"/>
    <w:rsid w:val="009E754B"/>
    <w:rsid w:val="009F2C47"/>
    <w:rsid w:val="00A36AF7"/>
    <w:rsid w:val="00A4077B"/>
    <w:rsid w:val="00B415BA"/>
    <w:rsid w:val="00C2255E"/>
    <w:rsid w:val="00C25375"/>
    <w:rsid w:val="00C91CF8"/>
    <w:rsid w:val="00D513BD"/>
    <w:rsid w:val="00D77854"/>
    <w:rsid w:val="00E40323"/>
    <w:rsid w:val="00EB0461"/>
    <w:rsid w:val="00F04285"/>
    <w:rsid w:val="00F43D22"/>
    <w:rsid w:val="00FA4922"/>
    <w:rsid w:val="00FB16B4"/>
    <w:rsid w:val="00FD293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E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맑은 고딕" w:hAnsi="Arial" w:cs="Arial"/>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1">
    <w:name w:val="제목 11"/>
    <w:next w:val="a3"/>
    <w:qFormat/>
    <w:rPr>
      <w:color w:val="2E74B5"/>
      <w:sz w:val="32"/>
      <w:szCs w:val="32"/>
    </w:rPr>
  </w:style>
  <w:style w:type="paragraph" w:customStyle="1" w:styleId="21">
    <w:name w:val="제목 21"/>
    <w:next w:val="a3"/>
    <w:qFormat/>
    <w:rPr>
      <w:color w:val="2E74B5"/>
      <w:sz w:val="26"/>
      <w:szCs w:val="26"/>
    </w:rPr>
  </w:style>
  <w:style w:type="paragraph" w:customStyle="1" w:styleId="31">
    <w:name w:val="제목 31"/>
    <w:next w:val="a3"/>
    <w:qFormat/>
    <w:rPr>
      <w:color w:val="1F4D78"/>
      <w:sz w:val="24"/>
      <w:szCs w:val="24"/>
    </w:rPr>
  </w:style>
  <w:style w:type="paragraph" w:customStyle="1" w:styleId="41">
    <w:name w:val="제목 41"/>
    <w:next w:val="a3"/>
    <w:qFormat/>
    <w:rPr>
      <w:i/>
      <w:iCs/>
      <w:color w:val="2E74B5"/>
      <w:sz w:val="22"/>
      <w:szCs w:val="22"/>
    </w:rPr>
  </w:style>
  <w:style w:type="paragraph" w:customStyle="1" w:styleId="51">
    <w:name w:val="제목 51"/>
    <w:next w:val="a3"/>
    <w:qFormat/>
    <w:rPr>
      <w:color w:val="2E74B5"/>
      <w:sz w:val="22"/>
      <w:szCs w:val="22"/>
    </w:rPr>
  </w:style>
  <w:style w:type="paragraph" w:customStyle="1" w:styleId="61">
    <w:name w:val="제목 61"/>
    <w:next w:val="a3"/>
    <w:qFormat/>
    <w:rPr>
      <w:color w:val="1F4D78"/>
      <w:sz w:val="22"/>
      <w:szCs w:val="22"/>
    </w:rPr>
  </w:style>
  <w:style w:type="paragraph" w:customStyle="1" w:styleId="1">
    <w:name w:val="굵은 텍스트1"/>
    <w:next w:val="a3"/>
    <w:qFormat/>
    <w:rPr>
      <w:b/>
      <w:bCs/>
      <w:sz w:val="22"/>
      <w:szCs w:val="22"/>
    </w:rPr>
  </w:style>
  <w:style w:type="paragraph" w:styleId="a4">
    <w:name w:val="List Paragraph"/>
    <w:qFormat/>
    <w:rPr>
      <w:sz w:val="22"/>
      <w:szCs w:val="22"/>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FA4922"/>
    <w:pPr>
      <w:tabs>
        <w:tab w:val="center" w:pos="4513"/>
        <w:tab w:val="right" w:pos="9026"/>
      </w:tabs>
      <w:snapToGrid w:val="0"/>
    </w:pPr>
  </w:style>
  <w:style w:type="character" w:customStyle="1" w:styleId="Char1">
    <w:name w:val="머리글 Char"/>
    <w:link w:val="aa"/>
    <w:uiPriority w:val="99"/>
    <w:rsid w:val="00FA4922"/>
    <w:rPr>
      <w:sz w:val="22"/>
      <w:szCs w:val="22"/>
    </w:rPr>
  </w:style>
  <w:style w:type="paragraph" w:styleId="ab">
    <w:name w:val="footer"/>
    <w:basedOn w:val="a"/>
    <w:link w:val="Char2"/>
    <w:uiPriority w:val="99"/>
    <w:unhideWhenUsed/>
    <w:rsid w:val="00FA4922"/>
    <w:pPr>
      <w:tabs>
        <w:tab w:val="center" w:pos="4513"/>
        <w:tab w:val="right" w:pos="9026"/>
      </w:tabs>
      <w:snapToGrid w:val="0"/>
    </w:pPr>
  </w:style>
  <w:style w:type="character" w:customStyle="1" w:styleId="Char2">
    <w:name w:val="바닥글 Char"/>
    <w:link w:val="ab"/>
    <w:uiPriority w:val="99"/>
    <w:rsid w:val="00FA492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2686</Characters>
  <Application>Microsoft Office Word</Application>
  <DocSecurity>0</DocSecurity>
  <Lines>41</Lines>
  <Paragraphs>10</Paragraphs>
  <ScaleCrop>false</ScaleCrop>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2026-04-08T11:35:00Z</dcterms:created>
  <dcterms:modified xsi:type="dcterms:W3CDTF">2026-04-13T00:34:00Z</dcterms:modified>
  <cp:version>1200.0100.01</cp:version>
</cp:coreProperties>
</file>