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line="480" w:lineRule="auto"/>
      </w:pPr>
      <w:r>
        <w:rPr>
          <w:i/>
          <w:iCs/>
        </w:rPr>
        <w:t xml:space="preserve">Computational details</w:t>
      </w:r>
    </w:p>
    <w:p>
      <w:pPr>
        <w:spacing w:after="0" w:line="480" w:lineRule="auto"/>
        <w:ind w:firstLineChars="150" w:firstLine="360"/>
        <w:jc w:val="both"/>
      </w:pPr>
      <w:r>
        <w:t xml:space="preserve">DFT calculations were performed with Quantum ESPRESSO [1–3] using the Perdew–Burke–Ernzerhof (PBE) generalized gradient approximation (GGA) [4]. Kinetic energy cutoffs of 60 and 480 Ry were used for the wavefunctions and charge density, respectively, the Brillouin zone was sampled with Γ-centered Monkhorst–Pack </w:t>
      </w:r>
      <w:r>
        <w:rPr>
          <w:i/>
          <w:iCs/>
        </w:rPr>
        <w:t xml:space="preserve">k</w:t>
      </w:r>
      <w:r>
        <w:t xml:space="preserve">-point grids [5], and self-consistent calculations were converged to 10</w:t>
      </w:r>
      <w:r>
        <w:rPr>
          <w:vertAlign w:val="superscript"/>
        </w:rPr>
        <w:t xml:space="preserve">−8</w:t>
      </w:r>
      <w:r>
        <w:t xml:space="preserve"> Ry.</w:t>
      </w:r>
    </w:p>
    <w:p>
      <w:pPr>
        <w:spacing w:after="0" w:line="480" w:lineRule="auto"/>
        <w:ind w:firstLineChars="150" w:firstLine="360"/>
        <w:jc w:val="both"/>
      </w:pPr>
      <w:r>
        <w:t xml:space="preserve">Li migration barriers were calculated with the climbing-image nudged elastic band (CI-NEB) method [6] for a Li vacancy hopping between nearest-neighbor 8</w:t>
      </w:r>
      <w:r>
        <w:rPr>
          <w:i/>
          <w:iCs/>
        </w:rPr>
        <w:t xml:space="preserve">c</w:t>
      </w:r>
      <w:r>
        <w:t xml:space="preserve"> sites. Antifluorite Li</w:t>
      </w:r>
      <w:r>
        <w:rPr>
          <w:vertAlign w:val="subscript"/>
        </w:rPr>
        <w:t xml:space="preserve">2</w:t>
      </w:r>
      <w:r>
        <w:t xml:space="preserve">S (</w:t>
      </w:r>
      <w:r>
        <w:rPr>
          <w:i/>
          <w:iCs/>
        </w:rPr>
        <w:t xml:space="preserve">Fm</w:t>
      </w:r>
      <w:r>
        <w:t xml:space="preserve">3̅</w:t>
      </w:r>
      <w:r>
        <w:rPr>
          <w:i/>
          <w:iCs/>
        </w:rPr>
        <w:t xml:space="preserve">m</w:t>
      </w:r>
      <w:r>
        <w:t xml:space="preserve">; mp-1153 in the Materials Project database [7]) and an ordered BiF</w:t>
      </w:r>
      <w:r>
        <w:rPr>
          <w:vertAlign w:val="subscript"/>
        </w:rPr>
        <w:t xml:space="preserve">3</w:t>
      </w:r>
      <w:r>
        <w:t xml:space="preserve">-type Li</w:t>
      </w:r>
      <w:r>
        <w:rPr>
          <w:vertAlign w:val="subscript"/>
        </w:rPr>
        <w:t xml:space="preserve">3</w:t>
      </w:r>
      <w:r>
        <w:t xml:space="preserve">Nd model (</w:t>
      </w:r>
      <w:r>
        <w:rPr>
          <w:i/>
          <w:iCs/>
        </w:rPr>
        <w:t xml:space="preserve">Fm</w:t>
      </w:r>
      <w:r>
        <w:t xml:space="preserve">3̅</w:t>
      </w:r>
      <w:r>
        <w:rPr>
          <w:i/>
          <w:iCs/>
        </w:rPr>
        <w:t xml:space="preserve">m</w:t>
      </w:r>
      <w:r>
        <w:t xml:space="preserve">; mp-976264, a hypothetical phase above the convex hull) were first relaxed with variable cell. Ultrasoft GBRV pseudopotentials were used for Li and S [8], and a projector augmented-wave (PAW) dataset from PSlibrary with the Nd 4</w:t>
      </w:r>
      <w:r>
        <w:rPr>
          <w:i/>
          <w:iCs/>
        </w:rPr>
        <w:t xml:space="preserve">f</w:t>
      </w:r>
      <w:r>
        <w:t xml:space="preserve"> electrons frozen in the core was used for Nd [9]. The vacancies were placed in 3 × 3 × 3 (Li</w:t>
      </w:r>
      <w:r>
        <w:rPr>
          <w:vertAlign w:val="subscript"/>
        </w:rPr>
        <w:t xml:space="preserve">2</w:t>
      </w:r>
      <w:r>
        <w:t xml:space="preserve">S, 80 atoms) and 2 × 2 × 2 (Li</w:t>
      </w:r>
      <w:r>
        <w:rPr>
          <w:vertAlign w:val="subscript"/>
        </w:rPr>
        <w:t xml:space="preserve">3</w:t>
      </w:r>
      <w:r>
        <w:t xml:space="preserve">Nd, 31 atoms) supercells of the primitive cells, sampled with a 3 × 3 × 3 </w:t>
      </w:r>
      <w:r>
        <w:rPr>
          <w:i/>
          <w:iCs/>
        </w:rPr>
        <w:t xml:space="preserve">k</w:t>
      </w:r>
      <w:r>
        <w:t xml:space="preserve">-point grid. The vacancy in the insulating Li</w:t>
      </w:r>
      <w:r>
        <w:rPr>
          <w:vertAlign w:val="subscript"/>
        </w:rPr>
        <w:t xml:space="preserve">2</w:t>
      </w:r>
      <w:r>
        <w:t xml:space="preserve">S was modeled in the negatively charged state (V</w:t>
      </w:r>
      <w:r>
        <w:rPr>
          <w:vertAlign w:val="subscript"/>
        </w:rPr>
        <w:t xml:space="preserve">Li</w:t>
      </w:r>
      <w:r>
        <w:rPr>
          <w:vertAlign w:val="superscript"/>
        </w:rPr>
        <w:t xml:space="preserve">−</w:t>
      </w:r>
      <w:r>
        <w:t xml:space="preserve">) with a uniform compensating background charge and Gaussian smearing of 0.005 Ry, whereas that in the metallic Li</w:t>
      </w:r>
      <w:r>
        <w:rPr>
          <w:vertAlign w:val="subscript"/>
        </w:rPr>
        <w:t xml:space="preserve">3</w:t>
      </w:r>
      <w:r>
        <w:t xml:space="preserve">Nd was modeled as neutral with Marzari–Vanderbilt smearing [10] of 0.02 Ry.</w:t>
      </w:r>
    </w:p>
    <w:p>
      <w:pPr>
        <w:spacing w:after="0" w:line="480" w:lineRule="auto"/>
        <w:ind w:firstLineChars="150" w:firstLine="360"/>
        <w:jc w:val="both"/>
      </w:pPr>
      <w:r>
        <w:t xml:space="preserve">The two vacancy endpoints were relaxed at fixed cell until all force components were below 10</w:t>
      </w:r>
      <w:r>
        <w:rPr>
          <w:vertAlign w:val="superscript"/>
        </w:rPr>
        <w:t xml:space="preserve">−3</w:t>
      </w:r>
      <w:r>
        <w:t xml:space="preserve"> Ry bohr</w:t>
      </w:r>
      <w:r>
        <w:rPr>
          <w:vertAlign w:val="superscript"/>
        </w:rPr>
        <w:t xml:space="preserve">−1</w:t>
      </w:r>
      <w:r>
        <w:t xml:space="preserve">, and the minimum-energy path, represented by seven images, was optimized until the force perpendicular to the path fell below 0.05 eV Å</w:t>
      </w:r>
      <w:r>
        <w:rPr>
          <w:vertAlign w:val="superscript"/>
        </w:rPr>
        <w:t xml:space="preserve">−1</w:t>
      </w:r>
      <w:r>
        <w:t xml:space="preserve">. For Li</w:t>
      </w:r>
      <w:r>
        <w:rPr>
          <w:vertAlign w:val="subscript"/>
        </w:rPr>
        <w:t xml:space="preserve">3</w:t>
      </w:r>
      <w:r>
        <w:t xml:space="preserve">Nd, both vacancy endpoints reconstructed substantially on relaxation from the ideal lattice, so the barrier refers to this locally reconstructed 2 × 2 × 2 model. A check with a 3 × 3 × 3 supercell was attempted, but its vacancy endpoints also reconstructed substantially and the CI-NEB between them did not converge; the Li</w:t>
      </w:r>
      <w:r>
        <w:rPr>
          <w:vertAlign w:val="subscript"/>
        </w:rPr>
        <w:t xml:space="preserve">3</w:t>
      </w:r>
      <w:r>
        <w:t xml:space="preserve">Nd barrier is therefore not converged with respect to cell size.</w:t>
      </w:r>
    </w:p>
    <w:p>
      <w:pPr>
        <w:spacing w:after="0" w:line="480" w:lineRule="auto"/>
        <w:ind w:firstLineChars="150" w:firstLine="360"/>
        <w:jc w:val="both"/>
      </w:pPr>
      <w:r>
        <w:t xml:space="preserve">The band gaps of the interphase components in Fig. 3h were calculated for Li</w:t>
      </w:r>
      <w:r>
        <w:rPr>
          <w:vertAlign w:val="subscript"/>
        </w:rPr>
        <w:t xml:space="preserve">2</w:t>
      </w:r>
      <w:r>
        <w:t xml:space="preserve">S (mp-1153, </w:t>
      </w:r>
      <w:r>
        <w:rPr>
          <w:i/>
          <w:iCs/>
        </w:rPr>
        <w:t xml:space="preserve">Fm</w:t>
      </w:r>
      <w:r>
        <w:t xml:space="preserve">3̅</w:t>
      </w:r>
      <w:r>
        <w:rPr>
          <w:i/>
          <w:iCs/>
        </w:rPr>
        <w:t xml:space="preserve">m</w:t>
      </w:r>
      <w:r>
        <w:t xml:space="preserve">), Li</w:t>
      </w:r>
      <w:r>
        <w:rPr>
          <w:vertAlign w:val="subscript"/>
        </w:rPr>
        <w:t xml:space="preserve">3</w:t>
      </w:r>
      <w:r>
        <w:t xml:space="preserve">P (mp-736, </w:t>
      </w:r>
      <w:r>
        <w:rPr>
          <w:i/>
          <w:iCs/>
        </w:rPr>
        <w:t xml:space="preserve">P</w:t>
      </w:r>
      <w:r>
        <w:t xml:space="preserve">6</w:t>
      </w:r>
      <w:r>
        <w:rPr>
          <w:vertAlign w:val="subscript"/>
        </w:rPr>
        <w:t xml:space="preserve">3</w:t>
      </w:r>
      <w:r>
        <w:t xml:space="preserve">/</w:t>
      </w:r>
      <w:r>
        <w:rPr>
          <w:i/>
          <w:iCs/>
        </w:rPr>
        <w:t xml:space="preserve">mmc</w:t>
      </w:r>
      <w:r>
        <w:t xml:space="preserve">), Li</w:t>
      </w:r>
      <w:r>
        <w:rPr>
          <w:vertAlign w:val="subscript"/>
        </w:rPr>
        <w:t xml:space="preserve">2</w:t>
      </w:r>
      <w:r>
        <w:t xml:space="preserve">O (mp-1960, </w:t>
      </w:r>
      <w:r>
        <w:rPr>
          <w:i/>
          <w:iCs/>
        </w:rPr>
        <w:t xml:space="preserve">Fm</w:t>
      </w:r>
      <w:r>
        <w:t xml:space="preserve">3̅</w:t>
      </w:r>
      <w:r>
        <w:rPr>
          <w:i/>
          <w:iCs/>
        </w:rPr>
        <w:t xml:space="preserve">m</w:t>
      </w:r>
      <w:r>
        <w:t xml:space="preserve">), β-Li</w:t>
      </w:r>
      <w:r>
        <w:rPr>
          <w:vertAlign w:val="subscript"/>
        </w:rPr>
        <w:t xml:space="preserve">3</w:t>
      </w:r>
      <w:r>
        <w:t xml:space="preserve">PO</w:t>
      </w:r>
      <w:r>
        <w:rPr>
          <w:vertAlign w:val="subscript"/>
        </w:rPr>
        <w:t xml:space="preserve">4</w:t>
      </w:r>
      <w:r>
        <w:t xml:space="preserve"> (mp-13725, </w:t>
      </w:r>
      <w:r>
        <w:rPr>
          <w:i/>
          <w:iCs/>
        </w:rPr>
        <w:t xml:space="preserve">Pmn</w:t>
      </w:r>
      <w:r>
        <w:t xml:space="preserve">2</w:t>
      </w:r>
      <w:r>
        <w:rPr>
          <w:vertAlign w:val="subscript"/>
        </w:rPr>
        <w:t xml:space="preserve">1</w:t>
      </w:r>
      <w:r>
        <w:t xml:space="preserve">), and rock-salt LiCl (mp-22905, </w:t>
      </w:r>
      <w:r>
        <w:rPr>
          <w:i/>
          <w:iCs/>
        </w:rPr>
        <w:t xml:space="preserve">Fm</w:t>
      </w:r>
      <w:r>
        <w:t xml:space="preserve">3̅</w:t>
      </w:r>
      <w:r>
        <w:rPr>
          <w:i/>
          <w:iCs/>
        </w:rPr>
        <w:t xml:space="preserve">m</w:t>
      </w:r>
      <w:r>
        <w:t xml:space="preserve">), starting from the Materials Project structures [7]. Ultrasoft GBRV pseudopotentials were used for Li, S, and Cl [8], and PSlibrary datasets for P (ultrasoft) and O (PAW) [9]. The structures were fully relaxed with Marzari–Vanderbilt smearing [10] of 0.01 Ry and a </w:t>
      </w:r>
      <w:r>
        <w:rPr>
          <w:i/>
          <w:iCs/>
        </w:rPr>
        <w:t xml:space="preserve">k</w:t>
      </w:r>
      <w:r>
        <w:t xml:space="preserve">-point spacing of 0.30 Å</w:t>
      </w:r>
      <w:r>
        <w:rPr>
          <w:vertAlign w:val="superscript"/>
        </w:rPr>
        <w:t xml:space="preserve">−1</w:t>
      </w:r>
      <w:r>
        <w:t xml:space="preserve">, and the band gap was obtained from the Kohn–Sham eigenvalues at the valence band maximum and conduction band minimum of a non-self-consistent calculation with fixed occupations on a denser </w:t>
      </w:r>
      <w:r>
        <w:rPr>
          <w:i/>
          <w:iCs/>
        </w:rPr>
        <w:t xml:space="preserve">k</w:t>
      </w:r>
      <w:r>
        <w:t xml:space="preserve">-point grid (spacing 0.15 Å</w:t>
      </w:r>
      <w:r>
        <w:rPr>
          <w:vertAlign w:val="superscript"/>
        </w:rPr>
        <w:t xml:space="preserve">−1</w:t>
      </w:r>
      <w:r>
        <w:t xml:space="preserve">).</w:t>
      </w:r>
    </w:p>
    <w:p>
      <w:pPr>
        <w:spacing w:after="0" w:line="480" w:lineRule="auto"/>
        <w:ind w:firstLineChars="150" w:firstLine="360"/>
        <w:jc w:val="both"/>
      </w:pPr>
      <w:r>
        <w:t xml:space="preserve">Interfacial reaction energies between the SEs and NCM (LiNi</w:t>
      </w:r>
      <w:r>
        <w:rPr>
          <w:vertAlign w:val="subscript"/>
        </w:rPr>
        <w:t xml:space="preserve">0.8</w:t>
      </w:r>
      <w:r>
        <w:t xml:space="preserve">Co</w:t>
      </w:r>
      <w:r>
        <w:rPr>
          <w:vertAlign w:val="subscript"/>
        </w:rPr>
        <w:t xml:space="preserve">0.1</w:t>
      </w:r>
      <w:r>
        <w:t xml:space="preserve">Mn</w:t>
      </w:r>
      <w:r>
        <w:rPr>
          <w:vertAlign w:val="subscript"/>
        </w:rPr>
        <w:t xml:space="preserve">0.1</w:t>
      </w:r>
      <w:r>
        <w:t xml:space="preserve">O</w:t>
      </w:r>
      <w:r>
        <w:rPr>
          <w:vertAlign w:val="subscript"/>
        </w:rPr>
        <w:t xml:space="preserve">2</w:t>
      </w:r>
      <w:r>
        <w:t xml:space="preserve">) were calculated following the approach of Richards et al. [11], as implemented in pymatgen [12], using Materials Project energies [7] in the mixed GGA/GGA+</w:t>
      </w:r>
      <w:r>
        <w:rPr>
          <w:i/>
          <w:iCs/>
        </w:rPr>
        <w:t xml:space="preserve">U</w:t>
      </w:r>
      <w:r>
        <w:t xml:space="preserve"> scheme [13]. LPSCl</w:t>
      </w:r>
      <w:r>
        <w:rPr>
          <w:vertAlign w:val="subscript"/>
        </w:rPr>
        <w:t xml:space="preserve">1.6</w:t>
      </w:r>
      <w:r>
        <w:t xml:space="preserve"> (Li</w:t>
      </w:r>
      <w:r>
        <w:rPr>
          <w:vertAlign w:val="subscript"/>
        </w:rPr>
        <w:t xml:space="preserve">5.4</w:t>
      </w:r>
      <w:r>
        <w:t xml:space="preserve">PS</w:t>
      </w:r>
      <w:r>
        <w:rPr>
          <w:vertAlign w:val="subscript"/>
        </w:rPr>
        <w:t xml:space="preserve">4.4</w:t>
      </w:r>
      <w:r>
        <w:t xml:space="preserve">Cl</w:t>
      </w:r>
      <w:r>
        <w:rPr>
          <w:vertAlign w:val="subscript"/>
        </w:rPr>
        <w:t xml:space="preserve">1.6</w:t>
      </w:r>
      <w:r>
        <w:t xml:space="preserve">) and NdO-LPSCl</w:t>
      </w:r>
      <w:r>
        <w:rPr>
          <w:vertAlign w:val="subscript"/>
        </w:rPr>
        <w:t xml:space="preserve">1.6</w:t>
      </w:r>
      <w:r>
        <w:t xml:space="preserve"> (Li</w:t>
      </w:r>
      <w:r>
        <w:rPr>
          <w:vertAlign w:val="subscript"/>
        </w:rPr>
        <w:t xml:space="preserve">5.44</w:t>
      </w:r>
      <w:r>
        <w:t xml:space="preserve">Nd</w:t>
      </w:r>
      <w:r>
        <w:rPr>
          <w:vertAlign w:val="subscript"/>
        </w:rPr>
        <w:t xml:space="preserve">0.02</w:t>
      </w:r>
      <w:r>
        <w:t xml:space="preserve">P</w:t>
      </w:r>
      <w:r>
        <w:rPr>
          <w:vertAlign w:val="subscript"/>
        </w:rPr>
        <w:t xml:space="preserve">0.98</w:t>
      </w:r>
      <w:r>
        <w:t xml:space="preserve">S</w:t>
      </w:r>
      <w:r>
        <w:rPr>
          <w:vertAlign w:val="subscript"/>
        </w:rPr>
        <w:t xml:space="preserve">4.37</w:t>
      </w:r>
      <w:r>
        <w:t xml:space="preserve">O</w:t>
      </w:r>
      <w:r>
        <w:rPr>
          <w:vertAlign w:val="subscript"/>
        </w:rPr>
        <w:t xml:space="preserve">0.03</w:t>
      </w:r>
      <w:r>
        <w:t xml:space="preserve">Cl</w:t>
      </w:r>
      <w:r>
        <w:rPr>
          <w:vertAlign w:val="subscript"/>
        </w:rPr>
        <w:t xml:space="preserve">1.6</w:t>
      </w:r>
      <w:r>
        <w:t xml:space="preserve">) were represented by the convex-hull energies at their compositions. The interface was treated as open to Li, with the Li chemical potential set by the applied voltage </w:t>
      </w:r>
      <w:r>
        <w:rPr>
          <w:i/>
          <w:iCs/>
        </w:rPr>
        <w:t xml:space="preserve">φ</w:t>
      </w:r>
      <w:r>
        <w:t xml:space="preserve"> (vs. Li/Li</w:t>
      </w:r>
      <w:r>
        <w:rPr>
          <w:vertAlign w:val="superscript"/>
        </w:rPr>
        <w:t xml:space="preserve">+</w:t>
      </w:r>
      <w:r>
        <w:t xml:space="preserve">) through Eq. (S1) [14], where </w:t>
      </w:r>
      <w:r>
        <w:rPr>
          <w:i/>
          <w:iCs/>
        </w:rPr>
        <w:t xml:space="preserve">μ</w:t>
      </w:r>
      <w:r>
        <w:rPr>
          <w:vertAlign w:val="subscript"/>
        </w:rPr>
        <w:t xml:space="preserve">Li</w:t>
      </w:r>
      <w:r>
        <w:rPr>
          <w:vertAlign w:val="superscript"/>
        </w:rPr>
        <w:t xml:space="preserve">0</w:t>
      </w:r>
      <w:r>
        <w:t xml:space="preserve"> is the chemical potential of Li metal and </w:t>
      </w:r>
      <w:r>
        <w:rPr>
          <w:i/>
          <w:iCs/>
        </w:rPr>
        <w:t xml:space="preserve">e</w:t>
      </w:r>
      <w:r>
        <w:t xml:space="preserve"> is the elementary charge. With the grand potential of each phase defined by Eq. (S2), where </w:t>
      </w:r>
      <w:r>
        <w:rPr>
          <w:i/>
          <w:iCs/>
        </w:rPr>
        <w:t xml:space="preserve">E</w:t>
      </w:r>
      <w:r>
        <w:t xml:space="preserve"> is its energy and </w:t>
      </w:r>
      <w:r>
        <w:rPr>
          <w:i/>
          <w:iCs/>
        </w:rPr>
        <w:t xml:space="preserve">N</w:t>
      </w:r>
      <w:r>
        <w:rPr>
          <w:vertAlign w:val="subscript"/>
        </w:rPr>
        <w:t xml:space="preserve">Li</w:t>
      </w:r>
      <w:r>
        <w:t xml:space="preserve"> is its number of Li atoms, the reaction energy was obtained from Eq. (S3), where </w:t>
      </w:r>
      <w:r>
        <w:rPr>
          <w:i/>
          <w:iCs/>
        </w:rPr>
        <w:t xml:space="preserve">x</w:t>
      </w:r>
      <w:r>
        <w:t xml:space="preserve"> is the fraction of SE in the SE/NCM mixture, </w:t>
      </w:r>
      <w:r>
        <w:rPr>
          <w:i/>
          <w:iCs/>
        </w:rPr>
        <w:t xml:space="preserve">Φ</w:t>
      </w:r>
      <w:r>
        <w:rPr>
          <w:vertAlign w:val="subscript"/>
        </w:rPr>
        <w:t xml:space="preserve">eq</w:t>
      </w:r>
      <w:r>
        <w:t xml:space="preserve">(</w:t>
      </w:r>
      <w:r>
        <w:rPr>
          <w:i/>
          <w:iCs/>
        </w:rPr>
        <w:t xml:space="preserve">x</w:t>
      </w:r>
      <w:r>
        <w:t xml:space="preserve">) is the grand potential of the equilibrium phases of the mixture, and </w:t>
      </w:r>
      <w:r>
        <w:rPr>
          <w:i/>
          <w:iCs/>
        </w:rPr>
        <w:t xml:space="preserve">Φ</w:t>
      </w:r>
      <w:r>
        <w:rPr>
          <w:vertAlign w:val="subscript"/>
        </w:rPr>
        <w:t xml:space="preserve">SE</w:t>
      </w:r>
      <w:r>
        <w:t xml:space="preserve"> and </w:t>
      </w:r>
      <w:r>
        <w:rPr>
          <w:i/>
          <w:iCs/>
        </w:rPr>
        <w:t xml:space="preserve">Φ</w:t>
      </w:r>
      <w:r>
        <w:rPr>
          <w:vertAlign w:val="subscript"/>
        </w:rPr>
        <w:t xml:space="preserve">NCM</w:t>
      </w:r>
      <w:r>
        <w:t xml:space="preserve"> are those of the unreacted SE and NCM; all grand potentials were normalized per atom excluding Li. The calculations were performed at six voltages between 2.5 and 4.5 V, and the reaction products were taken from the equilibrium phases at the minimizing </w:t>
      </w:r>
      <w:r>
        <w:rPr>
          <w:i/>
          <w:iCs/>
        </w:rPr>
        <w:t xml:space="preserve">x</w:t>
      </w:r>
      <w:r>
        <w:t xml:space="preserve">.</w:t>
      </w:r>
    </w:p>
    <w:p>
      <w:pPr>
        <w:tabs>
          <w:tab w:val="center" w:pos="4513"/>
          <w:tab w:val="right" w:pos="9026"/>
        </w:tabs>
        <w:spacing w:after="0" w:line="480" w:lineRule="auto"/>
      </w:pPr>
      <w:r>
        <w:tab/>
      </w:r>
      <m:oMath>
        <m:sSub>
          <m:e>
            <m:r>
              <w:rPr>
                <w:rFonts w:ascii="Cambria Math" w:hAnsi="Cambria Math"/>
              </w:rPr>
              <m:t xml:space="preserve">μ</m:t>
            </m:r>
          </m:e>
          <m:sub>
            <m:r>
              <m:rPr>
                <m:sty m:val="p"/>
              </m:rPr>
              <w:rPr>
                <w:rFonts w:ascii="Cambria Math" w:hAnsi="Cambria Math"/>
              </w:rPr>
              <m:t xml:space="preserve">Li</m:t>
            </m:r>
          </m:sub>
        </m:sSub>
        <m:d>
          <m:e>
            <m:r>
              <w:rPr>
                <w:rFonts w:ascii="Cambria Math" w:hAnsi="Cambria Math"/>
              </w:rPr>
              <m:t xml:space="preserve">φ</m:t>
            </m:r>
          </m:e>
        </m:d>
        <m:r>
          <m:rPr>
            <m:sty m:val="p"/>
          </m:rPr>
          <w:rPr>
            <w:rFonts w:ascii="Cambria Math" w:hAnsi="Cambria Math"/>
          </w:rPr>
          <m:t xml:space="preserve">=</m:t>
        </m:r>
        <m:sSubSup>
          <m:e>
            <m:r>
              <w:rPr>
                <w:rFonts w:ascii="Cambria Math" w:hAnsi="Cambria Math"/>
              </w:rPr>
              <m:t xml:space="preserve">μ</m:t>
            </m:r>
          </m:e>
          <m:sub>
            <m:r>
              <m:rPr>
                <m:sty m:val="p"/>
              </m:rPr>
              <w:rPr>
                <w:rFonts w:ascii="Cambria Math" w:hAnsi="Cambria Math"/>
              </w:rPr>
              <m:t xml:space="preserve">Li</m:t>
            </m:r>
          </m:sub>
          <m:sup>
            <m:r>
              <m:rPr>
                <m:sty m:val="p"/>
              </m:rPr>
              <w:rPr>
                <w:rFonts w:ascii="Cambria Math" w:hAnsi="Cambria Math"/>
              </w:rPr>
              <m:t xml:space="preserve">0</m:t>
            </m:r>
          </m:sup>
        </m:sSubSup>
        <m:r>
          <m:rPr>
            <m:sty m:val="p"/>
          </m:rPr>
          <w:rPr>
            <w:rFonts w:ascii="Cambria Math" w:hAnsi="Cambria Math"/>
          </w:rPr>
          <m:t xml:space="preserve">−</m:t>
        </m:r>
        <m:r>
          <w:rPr>
            <w:rFonts w:ascii="Cambria Math" w:hAnsi="Cambria Math"/>
          </w:rPr>
          <m:t xml:space="preserve">e</m:t>
        </m:r>
        <m:r>
          <w:rPr>
            <w:rFonts w:ascii="Cambria Math" w:hAnsi="Cambria Math"/>
          </w:rPr>
          <m:t xml:space="preserve">φ</m:t>
        </m:r>
      </m:oMath>
      <w:r>
        <w:tab/>
        <w:t xml:space="preserve">(S1)</w:t>
      </w:r>
    </w:p>
    <w:p>
      <w:pPr>
        <w:tabs>
          <w:tab w:val="center" w:pos="4513"/>
          <w:tab w:val="right" w:pos="9026"/>
        </w:tabs>
        <w:spacing w:after="0" w:line="480" w:lineRule="auto"/>
      </w:pPr>
      <w:r>
        <w:tab/>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sSub>
          <m:e>
            <m:r>
              <w:rPr>
                <w:rFonts w:ascii="Cambria Math" w:hAnsi="Cambria Math"/>
              </w:rPr>
              <m:t xml:space="preserve">μ</m:t>
            </m:r>
          </m:e>
          <m:sub>
            <m:r>
              <m:rPr>
                <m:sty m:val="p"/>
              </m:rPr>
              <w:rPr>
                <w:rFonts w:ascii="Cambria Math" w:hAnsi="Cambria Math"/>
              </w:rPr>
              <m:t xml:space="preserve">Li</m:t>
            </m:r>
          </m:sub>
        </m:sSub>
        <m:sSub>
          <m:e>
            <m:r>
              <w:rPr>
                <w:rFonts w:ascii="Cambria Math" w:hAnsi="Cambria Math"/>
              </w:rPr>
              <m:t xml:space="preserve">N</m:t>
            </m:r>
          </m:e>
          <m:sub>
            <m:r>
              <m:rPr>
                <m:sty m:val="p"/>
              </m:rPr>
              <w:rPr>
                <w:rFonts w:ascii="Cambria Math" w:hAnsi="Cambria Math"/>
              </w:rPr>
              <m:t xml:space="preserve">Li</m:t>
            </m:r>
          </m:sub>
        </m:sSub>
      </m:oMath>
      <w:r>
        <w:tab/>
        <w:t xml:space="preserve">(S2)</w:t>
      </w:r>
    </w:p>
    <w:p>
      <w:pPr>
        <w:tabs>
          <w:tab w:val="center" w:pos="4513"/>
          <w:tab w:val="right" w:pos="9026"/>
        </w:tabs>
        <w:spacing w:after="0" w:line="480" w:lineRule="auto"/>
      </w:pPr>
      <w:r>
        <w:tab/>
      </w:r>
      <m:oMath>
        <m:r>
          <m:rPr>
            <m:sty m:val="p"/>
          </m:rPr>
          <w:rPr>
            <w:rFonts w:ascii="Cambria Math" w:hAnsi="Cambria Math"/>
          </w:rPr>
          <m:t xml:space="preserve">Δ</m:t>
        </m:r>
        <m:sSub>
          <m:e>
            <m:r>
              <w:rPr>
                <w:rFonts w:ascii="Cambria Math" w:hAnsi="Cambria Math"/>
              </w:rPr>
              <m:t xml:space="preserve">E</m:t>
            </m:r>
          </m:e>
          <m:sub>
            <m:r>
              <m:rPr>
                <m:sty m:val="p"/>
              </m:rPr>
              <w:rPr>
                <w:rFonts w:ascii="Cambria Math" w:hAnsi="Cambria Math"/>
              </w:rPr>
              <m:t xml:space="preserve">rxn</m:t>
            </m:r>
          </m:sub>
        </m:sSub>
        <m:d>
          <m:e>
            <m:r>
              <w:rPr>
                <w:rFonts w:ascii="Cambria Math" w:hAnsi="Cambria Math"/>
              </w:rPr>
              <m:t xml:space="preserve">φ</m:t>
            </m:r>
          </m:e>
        </m:d>
        <m:r>
          <m:rPr>
            <m:sty m:val="p"/>
          </m:rPr>
          <w:rPr>
            <w:rFonts w:ascii="Cambria Math" w:hAnsi="Cambria Math"/>
          </w:rPr>
          <m:t xml:space="preserve">=</m:t>
        </m:r>
        <m:func>
          <m:fName>
            <m:limLow>
              <m:e>
                <m:r>
                  <m:rPr>
                    <m:sty m:val="p"/>
                  </m:rPr>
                  <w:rPr>
                    <w:rFonts w:ascii="Cambria Math" w:hAnsi="Cambria Math"/>
                  </w:rPr>
                  <m:t xml:space="preserve">min</m:t>
                </m:r>
              </m:e>
              <m:lim>
                <m:r>
                  <w:rPr>
                    <w:rFonts w:ascii="Cambria Math" w:hAnsi="Cambria Math"/>
                  </w:rPr>
                  <m:t xml:space="preserve">x</m:t>
                </m:r>
              </m:lim>
            </m:limLow>
          </m:fName>
          <m:e>
            <m:d>
              <m:dPr>
                <m:begChr m:val="["/>
                <m:endChr m:val="]"/>
              </m:dPr>
              <m:e>
                <m:sSub>
                  <m:e>
                    <m:r>
                      <w:rPr>
                        <w:rFonts w:ascii="Cambria Math" w:hAnsi="Cambria Math"/>
                      </w:rPr>
                      <m:t xml:space="preserve">Φ</m:t>
                    </m:r>
                  </m:e>
                  <m:sub>
                    <m:r>
                      <m:rPr>
                        <m:sty m:val="p"/>
                      </m:rPr>
                      <w:rPr>
                        <w:rFonts w:ascii="Cambria Math" w:hAnsi="Cambria Math"/>
                      </w:rPr>
                      <m:t xml:space="preserve">eq</m:t>
                    </m:r>
                  </m:sub>
                </m:sSub>
                <m:d>
                  <m:e>
                    <m:r>
                      <w:rPr>
                        <w:rFonts w:ascii="Cambria Math" w:hAnsi="Cambria Math"/>
                      </w:rPr>
                      <m:t xml:space="preserve">x</m:t>
                    </m:r>
                  </m:e>
                </m:d>
                <m:r>
                  <m:rPr>
                    <m:sty m:val="p"/>
                  </m:rPr>
                  <w:rPr>
                    <w:rFonts w:ascii="Cambria Math" w:hAnsi="Cambria Math"/>
                  </w:rPr>
                  <m:t xml:space="preserve">−</m:t>
                </m:r>
                <m:r>
                  <w:rPr>
                    <w:rFonts w:ascii="Cambria Math" w:hAnsi="Cambria Math"/>
                  </w:rPr>
                  <m:t xml:space="preserve">x</m:t>
                </m:r>
                <m:sSub>
                  <m:e>
                    <m:r>
                      <w:rPr>
                        <w:rFonts w:ascii="Cambria Math" w:hAnsi="Cambria Math"/>
                      </w:rPr>
                      <m:t xml:space="preserve">Φ</m:t>
                    </m:r>
                  </m:e>
                  <m:sub>
                    <m:r>
                      <m:rPr>
                        <m:sty m:val="p"/>
                      </m:rPr>
                      <w:rPr>
                        <w:rFonts w:ascii="Cambria Math" w:hAnsi="Cambria Math"/>
                      </w:rPr>
                      <m:t xml:space="preserve">SE</m:t>
                    </m:r>
                  </m:sub>
                </m:sSub>
                <m:r>
                  <m:rPr>
                    <m:sty m:val="p"/>
                  </m:rPr>
                  <w:rPr>
                    <w:rFonts w:ascii="Cambria Math" w:hAnsi="Cambria Math"/>
                  </w:rPr>
                  <m:t xml:space="preserve">−</m:t>
                </m:r>
                <m:d>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x</m:t>
                    </m:r>
                  </m:e>
                </m:d>
                <m:sSub>
                  <m:e>
                    <m:r>
                      <w:rPr>
                        <w:rFonts w:ascii="Cambria Math" w:hAnsi="Cambria Math"/>
                      </w:rPr>
                      <m:t xml:space="preserve">Φ</m:t>
                    </m:r>
                  </m:e>
                  <m:sub>
                    <m:r>
                      <m:rPr>
                        <m:sty m:val="p"/>
                      </m:rPr>
                      <w:rPr>
                        <w:rFonts w:ascii="Cambria Math" w:hAnsi="Cambria Math"/>
                      </w:rPr>
                      <m:t xml:space="preserve">NCM</m:t>
                    </m:r>
                  </m:sub>
                </m:sSub>
              </m:e>
            </m:d>
          </m:e>
        </m:func>
      </m:oMath>
      <w:r>
        <w:tab/>
        <w:t xml:space="preserve">(S3)</w:t>
      </w:r>
    </w:p>
    <w:p>
      <w:pPr>
        <w:spacing w:after="0" w:line="480" w:lineRule="auto"/>
        <w:ind w:firstLineChars="150" w:firstLine="360"/>
        <w:jc w:val="both"/>
      </w:pPr>
      <w:r>
        <w:t xml:space="preserve">The band gaps of the Nd-containing CEI components, including NdP</w:t>
      </w:r>
      <w:r>
        <w:rPr>
          <w:vertAlign w:val="subscript"/>
        </w:rPr>
        <w:t xml:space="preserve">5</w:t>
      </w:r>
      <w:r>
        <w:t xml:space="preserve">O</w:t>
      </w:r>
      <w:r>
        <w:rPr>
          <w:vertAlign w:val="subscript"/>
        </w:rPr>
        <w:t xml:space="preserve">14</w:t>
      </w:r>
      <w:r>
        <w:t xml:space="preserve"> (mp-560681, </w:t>
      </w:r>
      <w:r>
        <w:rPr>
          <w:i/>
          <w:iCs/>
        </w:rPr>
        <w:t xml:space="preserve">Pmna</w:t>
      </w:r>
      <w:r>
        <w:t xml:space="preserve">), were calculated with the same procedure, but with PAW datasets from PSlibrary for all elements [9]. Because the Nd 4</w:t>
      </w:r>
      <w:r>
        <w:rPr>
          <w:i/>
          <w:iCs/>
        </w:rPr>
        <w:t xml:space="preserve">f</w:t>
      </w:r>
      <w:r>
        <w:t xml:space="preserve"> electrons are frozen in the core of the Nd dataset, the calculations were non-spin-polarized and no Hubbard </w:t>
      </w:r>
      <w:r>
        <w:rPr>
          <w:i/>
          <w:iCs/>
        </w:rPr>
        <w:t xml:space="preserve">U</w:t>
      </w:r>
      <w:r>
        <w:t xml:space="preserve"> correction was applied.</w:t>
      </w:r>
    </w:p>
    <w:p>
      <w:pPr>
        <w:spacing w:before="240" w:after="240" w:line="480" w:lineRule="auto"/>
      </w:pPr>
      <w:r>
        <w:rPr>
          <w:i/>
          <w:iCs/>
        </w:rPr>
        <w:t xml:space="preserve">References</w:t>
      </w:r>
    </w:p>
    <w:p>
      <w:pPr>
        <w:tabs>
          <w:tab w:val="left" w:pos="560"/>
        </w:tabs>
        <w:spacing w:after="0" w:line="480" w:lineRule="auto"/>
        <w:ind w:left="560" w:hanging="560"/>
      </w:pPr>
      <w:r>
        <w:t xml:space="preserve">[1]</w:t>
      </w:r>
      <w:r>
        <w:tab/>
      </w:r>
      <w:r>
        <w:t xml:space="preserve">P. Giannozzi, S. Baroni, N. Bonini, M. Calandra, R. Car, C. Cavazzoni, D. Ceresoli, G. L. Chiarotti, M. Cococcioni, I. Dabo, A. Dal Corso, S. de Gironcoli, S. Fabris, G. Fratesi, R. Gebauer, U. Gerstmann, C. Gougoussis, A. Kokalj, M. Lazzeri, L. Martin-Samos, N. Marzari, F. Mauri, R. Mazzarello, S. Paolini, A. Pasquarello, L. Paulatto, C. Sbraccia, S. Scandolo, G. Sclauzero, A. P. Seitsonen, A. Smogunov, P. Umari, R. M. Wentzcovitch, QUANTUM ESPRESSO: a modular and open-source software project for quantum simulations of materials, J. Phys.: Condens. Matter 21 (2009) 395502. https://doi.org/10.1088/0953-8984/21/39/395502.</w:t>
      </w:r>
    </w:p>
    <w:p>
      <w:pPr>
        <w:tabs>
          <w:tab w:val="left" w:pos="560"/>
        </w:tabs>
        <w:spacing w:after="0" w:line="480" w:lineRule="auto"/>
        <w:ind w:left="560" w:hanging="560"/>
      </w:pPr>
      <w:r>
        <w:t xml:space="preserve">[2]</w:t>
      </w:r>
      <w:r>
        <w:tab/>
      </w:r>
      <w:r>
        <w:t xml:space="preserve">P. Giannozzi, O. Andreussi, T. Brumme, O. Bunau, M. Buongiorno Nardelli, M. Calandra, R. Car, C. Cavazzoni, D. Ceresoli, M. Cococcioni, N. Colonna, I. Carnimeo, A. Dal Corso, S. de Gironcoli, P. Delugas, R. A. DiStasio Jr., A. Ferretti, A. Floris, G. Fratesi, G. Fugallo, R. Gebauer, U. Gerstmann, F. Giustino, T. Gorni, J. Jia, M. Kawamura, H.-Y. Ko, A. Kokalj, E. Küçükbenli, M. Lazzeri, M. Marsili, N. Marzari, F. Mauri, N. L. Nguyen, H.-V. Nguyen, A. Otero-de-la-Roza, L. Paulatto, S. Poncé, D. Rocca, R. Sabatini, B. Santra, M. Schlipf, A. P. Seitsonen, A. Smogunov, I. Timrov, T. Thonhauser, P. Umari, N. Vast, X. Wu, S. Baroni, Advanced capabilities for materials modelling with Quantum ESPRESSO, J. Phys.: Condens. Matter 29 (2017) 465901. https://doi.org/10.1088/1361-648X/aa8f79.</w:t>
      </w:r>
    </w:p>
    <w:p>
      <w:pPr>
        <w:tabs>
          <w:tab w:val="left" w:pos="560"/>
        </w:tabs>
        <w:spacing w:after="0" w:line="480" w:lineRule="auto"/>
        <w:ind w:left="560" w:hanging="560"/>
      </w:pPr>
      <w:r>
        <w:t xml:space="preserve">[3]</w:t>
      </w:r>
      <w:r>
        <w:tab/>
      </w:r>
      <w:r>
        <w:t xml:space="preserve">P. Giannozzi, O. Baseggio, P. Bonfà, D. Brunato, R. Car, I. Carnimeo, C. Cavazzoni, S. de Gironcoli, P. Delugas, F. Ferrari Ruffino, A. Ferretti, N. Marzari, I. Timrov, A. Urru, S. Baroni, Quantum ESPRESSO toward the exascale, J. Chem. Phys. 152 (2020) 154105. https://doi.org/10.1063/5.0005082.</w:t>
      </w:r>
    </w:p>
    <w:p>
      <w:pPr>
        <w:tabs>
          <w:tab w:val="left" w:pos="560"/>
        </w:tabs>
        <w:spacing w:after="0" w:line="480" w:lineRule="auto"/>
        <w:ind w:left="560" w:hanging="560"/>
      </w:pPr>
      <w:r>
        <w:t xml:space="preserve">[4]</w:t>
      </w:r>
      <w:r>
        <w:tab/>
      </w:r>
      <w:r>
        <w:t xml:space="preserve">J. P. Perdew, K. Burke, M. Ernzerhof, Generalized gradient approximation made simple, Phys. Rev. Lett. 77 (1996) 3865–3868. https://doi.org/10.1103/PhysRevLett.77.3865.</w:t>
      </w:r>
    </w:p>
    <w:p>
      <w:pPr>
        <w:tabs>
          <w:tab w:val="left" w:pos="560"/>
        </w:tabs>
        <w:spacing w:after="0" w:line="480" w:lineRule="auto"/>
        <w:ind w:left="560" w:hanging="560"/>
      </w:pPr>
      <w:r>
        <w:t xml:space="preserve">[5]</w:t>
      </w:r>
      <w:r>
        <w:tab/>
      </w:r>
      <w:r>
        <w:t xml:space="preserve">H. J. Monkhorst, J. D. Pack, Special points for Brillouin-zone integrations, Phys. Rev. B 13 (1976) 5188–5192. https://doi.org/10.1103/PhysRevB.13.5188.</w:t>
      </w:r>
    </w:p>
    <w:p>
      <w:pPr>
        <w:tabs>
          <w:tab w:val="left" w:pos="560"/>
        </w:tabs>
        <w:spacing w:after="0" w:line="480" w:lineRule="auto"/>
        <w:ind w:left="560" w:hanging="560"/>
      </w:pPr>
      <w:r>
        <w:t xml:space="preserve">[6]</w:t>
      </w:r>
      <w:r>
        <w:tab/>
      </w:r>
      <w:r>
        <w:t xml:space="preserve">G. Henkelman, B. P. Uberuaga, H. Jónsson, A climbing image nudged elastic band method for finding saddle points and minimum energy paths, J. Chem. Phys. 113 (2000) 9901–9904. https://doi.org/10.1063/1.1329672.</w:t>
      </w:r>
    </w:p>
    <w:p>
      <w:pPr>
        <w:tabs>
          <w:tab w:val="left" w:pos="560"/>
        </w:tabs>
        <w:spacing w:after="0" w:line="480" w:lineRule="auto"/>
        <w:ind w:left="560" w:hanging="560"/>
      </w:pPr>
      <w:r>
        <w:t xml:space="preserve">[7]</w:t>
      </w:r>
      <w:r>
        <w:tab/>
      </w:r>
      <w:r>
        <w:t xml:space="preserve">A. Jain, S. P. Ong, G. Hautier, W. Chen, W. D. Richards, S. Dacek, S. Cholia, D. Gunter, D. Skinner, G. Ceder, K. A. Persson, Commentary: The Materials Project: A materials genome approach to accelerating materials innovation, APL Mater. 1 (2013) 011002. https://doi.org/10.1063/1.4812323.</w:t>
      </w:r>
    </w:p>
    <w:p>
      <w:pPr>
        <w:tabs>
          <w:tab w:val="left" w:pos="560"/>
        </w:tabs>
        <w:spacing w:after="0" w:line="480" w:lineRule="auto"/>
        <w:ind w:left="560" w:hanging="560"/>
      </w:pPr>
      <w:r>
        <w:t xml:space="preserve">[8]</w:t>
      </w:r>
      <w:r>
        <w:tab/>
      </w:r>
      <w:r>
        <w:t xml:space="preserve">K. F. Garrity, J. W. Bennett, K. M. Rabe, D. Vanderbilt, Pseudopotentials for high-throughput DFT calculations, Comput. Mater. Sci. 81 (2014) 446–452. https://doi.org/10.1016/j.commatsci.2013.08.053.</w:t>
      </w:r>
    </w:p>
    <w:p>
      <w:pPr>
        <w:tabs>
          <w:tab w:val="left" w:pos="560"/>
        </w:tabs>
        <w:spacing w:after="0" w:line="480" w:lineRule="auto"/>
        <w:ind w:left="560" w:hanging="560"/>
      </w:pPr>
      <w:r>
        <w:t xml:space="preserve">[9]</w:t>
      </w:r>
      <w:r>
        <w:tab/>
      </w:r>
      <w:r>
        <w:t xml:space="preserve">A. Dal Corso, Pseudopotentials periodic table: From H to Pu, Comput. Mater. Sci. 95 (2014) 337–350. https://doi.org/10.1016/j.commatsci.2014.07.043.</w:t>
      </w:r>
    </w:p>
    <w:p>
      <w:pPr>
        <w:tabs>
          <w:tab w:val="left" w:pos="560"/>
        </w:tabs>
        <w:spacing w:after="0" w:line="480" w:lineRule="auto"/>
        <w:ind w:left="560" w:hanging="560"/>
      </w:pPr>
      <w:r>
        <w:t xml:space="preserve">[10]</w:t>
      </w:r>
      <w:r>
        <w:tab/>
      </w:r>
      <w:r>
        <w:t xml:space="preserve">N. Marzari, D. Vanderbilt, A. De Vita, M. C. Payne, Thermal contraction and disordering of the Al(110) surface, Phys. Rev. Lett. 82 (1999) 3296–3299. https://doi.org/10.1103/PhysRevLett.82.3296.</w:t>
      </w:r>
    </w:p>
    <w:p>
      <w:pPr>
        <w:tabs>
          <w:tab w:val="left" w:pos="560"/>
        </w:tabs>
        <w:spacing w:after="0" w:line="480" w:lineRule="auto"/>
        <w:ind w:left="560" w:hanging="560"/>
      </w:pPr>
      <w:r>
        <w:t xml:space="preserve">[11]</w:t>
      </w:r>
      <w:r>
        <w:tab/>
      </w:r>
      <w:r>
        <w:t xml:space="preserve">W. D. Richards, L. J. Miara, Y. Wang, J. C. Kim, G. Ceder, Interface stability in solid-state batteries, Chem. Mater. 28 (2016) 266–273. https://doi.org/10.1021/acs.chemmater.5b04082.</w:t>
      </w:r>
    </w:p>
    <w:p>
      <w:pPr>
        <w:tabs>
          <w:tab w:val="left" w:pos="560"/>
        </w:tabs>
        <w:spacing w:after="0" w:line="480" w:lineRule="auto"/>
        <w:ind w:left="560" w:hanging="560"/>
      </w:pPr>
      <w:r>
        <w:t xml:space="preserve">[12]</w:t>
      </w:r>
      <w:r>
        <w:tab/>
      </w:r>
      <w:r>
        <w:t xml:space="preserve">S. P. Ong, W. D. Richards, A. Jain, G. Hautier, M. Kocher, S. Cholia, D. Gunter, V. L. Chevrier, K. A. Persson, G. Ceder, Python Materials Genomics (pymatgen): A robust, open-source python library for materials analysis, Comput. Mater. Sci. 68 (2013) 314–319. https://doi.org/10.1016/j.commatsci.2012.10.028.</w:t>
      </w:r>
    </w:p>
    <w:p>
      <w:pPr>
        <w:tabs>
          <w:tab w:val="left" w:pos="560"/>
        </w:tabs>
        <w:spacing w:after="0" w:line="480" w:lineRule="auto"/>
        <w:ind w:left="560" w:hanging="560"/>
      </w:pPr>
      <w:r>
        <w:t xml:space="preserve">[13]</w:t>
      </w:r>
      <w:r>
        <w:tab/>
      </w:r>
      <w:r>
        <w:t xml:space="preserve">A. Jain, G. Hautier, S. P. Ong, C. J. Moore, C. C. Fischer, K. A. Persson, G. Ceder, Formation enthalpies by mixing GGA and GGA+U calculations, Phys. Rev. B 84 (2011) 045115. https://doi.org/10.1103/PhysRevB.84.045115.</w:t>
      </w:r>
    </w:p>
    <w:p>
      <w:pPr>
        <w:tabs>
          <w:tab w:val="left" w:pos="560"/>
        </w:tabs>
        <w:spacing w:after="0" w:line="480" w:lineRule="auto"/>
        <w:ind w:left="560" w:hanging="560"/>
      </w:pPr>
      <w:r>
        <w:t xml:space="preserve">[14]</w:t>
      </w:r>
      <w:r>
        <w:tab/>
      </w:r>
      <w:r>
        <w:t xml:space="preserve">Y. Zhu, X. He, Y. Mo, Origin of outstanding stability in the lithium solid electrolyte materials: Insights from thermodynamic analyses based on first-principles calculations, ACS Appl. Mater. Interfaces 7 (2015) 23685–23693. https://doi.org/10.1021/acsami.5b07517.</w:t>
      </w:r>
    </w:p>
    <w:sectPr w:rsidR="00C71D8E" w:rsidRPr="00D15B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34"/>
    <w:rsid w:val="00355836"/>
    <w:rsid w:val="00977C40"/>
    <w:rsid w:val="00C71D8E"/>
    <w:rsid w:val="00D15B34"/>
    <w:rsid w:val="00FF76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DF7"/>
  <w15:chartTrackingRefBased/>
  <w15:docId w15:val="{8D066B1B-066F-4522-8C30-83527923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B34"/>
    <w:pPr>
      <w:widowControl w:val="0"/>
      <w:spacing w:line="259" w:lineRule="auto"/>
    </w:pPr>
    <w:rPr>
      <w:rFonts w:ascii="Times New Roman" w:hAnsi="Times New Roman" w:cs="Times New Roman"/>
      <w:kern w:val="0"/>
      <w:sz w:val="24"/>
      <w:lang w:val="en"/>
      <w14:ligatures w14:val="none"/>
    </w:rPr>
  </w:style>
  <w:style w:type="paragraph" w:styleId="1">
    <w:name w:val="heading 1"/>
    <w:basedOn w:val="a"/>
    <w:next w:val="a"/>
    <w:link w:val="1Char"/>
    <w:uiPriority w:val="9"/>
    <w:qFormat/>
    <w:rsid w:val="00D15B34"/>
    <w:pPr>
      <w:keepNext/>
      <w:keepLines/>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val="en-US"/>
      <w14:ligatures w14:val="standardContextual"/>
    </w:rPr>
  </w:style>
  <w:style w:type="paragraph" w:styleId="2">
    <w:name w:val="heading 2"/>
    <w:basedOn w:val="a"/>
    <w:next w:val="a"/>
    <w:link w:val="2Char"/>
    <w:uiPriority w:val="9"/>
    <w:semiHidden/>
    <w:unhideWhenUsed/>
    <w:qFormat/>
    <w:rsid w:val="00D15B34"/>
    <w:pPr>
      <w:keepNext/>
      <w:keepLines/>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val="en-US"/>
      <w14:ligatures w14:val="standardContextual"/>
    </w:rPr>
  </w:style>
  <w:style w:type="paragraph" w:styleId="3">
    <w:name w:val="heading 3"/>
    <w:basedOn w:val="a"/>
    <w:next w:val="a"/>
    <w:link w:val="3Char"/>
    <w:uiPriority w:val="9"/>
    <w:semiHidden/>
    <w:unhideWhenUsed/>
    <w:qFormat/>
    <w:rsid w:val="00D15B34"/>
    <w:pPr>
      <w:keepNext/>
      <w:keepLines/>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lang w:val="en-US"/>
      <w14:ligatures w14:val="standardContextual"/>
    </w:rPr>
  </w:style>
  <w:style w:type="paragraph" w:styleId="4">
    <w:name w:val="heading 4"/>
    <w:basedOn w:val="a"/>
    <w:next w:val="a"/>
    <w:link w:val="4Char"/>
    <w:uiPriority w:val="9"/>
    <w:semiHidden/>
    <w:unhideWhenUsed/>
    <w:qFormat/>
    <w:rsid w:val="00D15B34"/>
    <w:pPr>
      <w:keepNext/>
      <w:keepLines/>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 w:val="22"/>
      <w:lang w:val="en-US"/>
      <w14:ligatures w14:val="standardContextual"/>
    </w:rPr>
  </w:style>
  <w:style w:type="paragraph" w:styleId="5">
    <w:name w:val="heading 5"/>
    <w:basedOn w:val="a"/>
    <w:next w:val="a"/>
    <w:link w:val="5Char"/>
    <w:uiPriority w:val="9"/>
    <w:semiHidden/>
    <w:unhideWhenUsed/>
    <w:qFormat/>
    <w:rsid w:val="00D15B34"/>
    <w:pPr>
      <w:keepNext/>
      <w:keepLines/>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 w:val="22"/>
      <w:lang w:val="en-US"/>
      <w14:ligatures w14:val="standardContextual"/>
    </w:rPr>
  </w:style>
  <w:style w:type="paragraph" w:styleId="6">
    <w:name w:val="heading 6"/>
    <w:basedOn w:val="a"/>
    <w:next w:val="a"/>
    <w:link w:val="6Char"/>
    <w:uiPriority w:val="9"/>
    <w:semiHidden/>
    <w:unhideWhenUsed/>
    <w:qFormat/>
    <w:rsid w:val="00D15B34"/>
    <w:pPr>
      <w:keepNext/>
      <w:keepLines/>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 w:val="22"/>
      <w:lang w:val="en-US"/>
      <w14:ligatures w14:val="standardContextual"/>
    </w:rPr>
  </w:style>
  <w:style w:type="paragraph" w:styleId="7">
    <w:name w:val="heading 7"/>
    <w:basedOn w:val="a"/>
    <w:next w:val="a"/>
    <w:link w:val="7Char"/>
    <w:uiPriority w:val="9"/>
    <w:semiHidden/>
    <w:unhideWhenUsed/>
    <w:qFormat/>
    <w:rsid w:val="00D15B34"/>
    <w:pPr>
      <w:keepNext/>
      <w:keepLines/>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 w:val="22"/>
      <w:lang w:val="en-US"/>
      <w14:ligatures w14:val="standardContextual"/>
    </w:rPr>
  </w:style>
  <w:style w:type="paragraph" w:styleId="8">
    <w:name w:val="heading 8"/>
    <w:basedOn w:val="a"/>
    <w:next w:val="a"/>
    <w:link w:val="8Char"/>
    <w:uiPriority w:val="9"/>
    <w:semiHidden/>
    <w:unhideWhenUsed/>
    <w:qFormat/>
    <w:rsid w:val="00D15B34"/>
    <w:pPr>
      <w:keepNext/>
      <w:keepLines/>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 w:val="22"/>
      <w:lang w:val="en-US"/>
      <w14:ligatures w14:val="standardContextual"/>
    </w:rPr>
  </w:style>
  <w:style w:type="paragraph" w:styleId="9">
    <w:name w:val="heading 9"/>
    <w:basedOn w:val="a"/>
    <w:next w:val="a"/>
    <w:link w:val="9Char"/>
    <w:uiPriority w:val="9"/>
    <w:semiHidden/>
    <w:unhideWhenUsed/>
    <w:qFormat/>
    <w:rsid w:val="00D15B34"/>
    <w:pPr>
      <w:keepNext/>
      <w:keepLines/>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5B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5B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5B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5B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5B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5B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5B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5B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5B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5B34"/>
    <w:pPr>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제목 Char"/>
    <w:basedOn w:val="a0"/>
    <w:link w:val="a3"/>
    <w:uiPriority w:val="10"/>
    <w:rsid w:val="00D15B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5B34"/>
    <w:pPr>
      <w:numPr>
        <w:ilvl w:val="1"/>
      </w:numPr>
      <w:wordWrap w:val="0"/>
      <w:autoSpaceDE w:val="0"/>
      <w:autoSpaceDN w:val="0"/>
      <w:spacing w:line="24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Char0">
    <w:name w:val="부제 Char"/>
    <w:basedOn w:val="a0"/>
    <w:link w:val="a4"/>
    <w:uiPriority w:val="11"/>
    <w:rsid w:val="00D15B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5B34"/>
    <w:pPr>
      <w:wordWrap w:val="0"/>
      <w:autoSpaceDE w:val="0"/>
      <w:autoSpaceDN w:val="0"/>
      <w:spacing w:before="160" w:line="240" w:lineRule="auto"/>
      <w:jc w:val="center"/>
    </w:pPr>
    <w:rPr>
      <w:rFonts w:asciiTheme="minorEastAsia" w:hAnsiTheme="minorHAnsi" w:cstheme="minorBidi"/>
      <w:i/>
      <w:iCs/>
      <w:color w:val="404040" w:themeColor="text1" w:themeTint="BF"/>
      <w:kern w:val="2"/>
      <w:sz w:val="22"/>
      <w:lang w:val="en-US"/>
      <w14:ligatures w14:val="standardContextual"/>
    </w:rPr>
  </w:style>
  <w:style w:type="character" w:customStyle="1" w:styleId="Char1">
    <w:name w:val="인용 Char"/>
    <w:basedOn w:val="a0"/>
    <w:link w:val="a5"/>
    <w:uiPriority w:val="29"/>
    <w:rsid w:val="00D15B34"/>
    <w:rPr>
      <w:i/>
      <w:iCs/>
      <w:color w:val="404040" w:themeColor="text1" w:themeTint="BF"/>
    </w:rPr>
  </w:style>
  <w:style w:type="paragraph" w:styleId="a6">
    <w:name w:val="List Paragraph"/>
    <w:basedOn w:val="a"/>
    <w:uiPriority w:val="34"/>
    <w:qFormat/>
    <w:rsid w:val="00D15B34"/>
    <w:pPr>
      <w:wordWrap w:val="0"/>
      <w:autoSpaceDE w:val="0"/>
      <w:autoSpaceDN w:val="0"/>
      <w:spacing w:line="240" w:lineRule="auto"/>
      <w:ind w:left="720"/>
      <w:contextualSpacing/>
    </w:pPr>
    <w:rPr>
      <w:rFonts w:asciiTheme="minorEastAsia" w:hAnsiTheme="minorHAnsi" w:cstheme="minorBidi"/>
      <w:kern w:val="2"/>
      <w:sz w:val="22"/>
      <w:lang w:val="en-US"/>
      <w14:ligatures w14:val="standardContextual"/>
    </w:rPr>
  </w:style>
  <w:style w:type="character" w:styleId="a7">
    <w:name w:val="Intense Emphasis"/>
    <w:basedOn w:val="a0"/>
    <w:uiPriority w:val="21"/>
    <w:qFormat/>
    <w:rsid w:val="00D15B34"/>
    <w:rPr>
      <w:i/>
      <w:iCs/>
      <w:color w:val="0F4761" w:themeColor="accent1" w:themeShade="BF"/>
    </w:rPr>
  </w:style>
  <w:style w:type="paragraph" w:styleId="a8">
    <w:name w:val="Intense Quote"/>
    <w:basedOn w:val="a"/>
    <w:next w:val="a"/>
    <w:link w:val="Char2"/>
    <w:uiPriority w:val="30"/>
    <w:qFormat/>
    <w:rsid w:val="00D15B34"/>
    <w:pPr>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hAnsiTheme="minorHAnsi" w:cstheme="minorBidi"/>
      <w:i/>
      <w:iCs/>
      <w:color w:val="0F4761" w:themeColor="accent1" w:themeShade="BF"/>
      <w:kern w:val="2"/>
      <w:sz w:val="22"/>
      <w:lang w:val="en-US"/>
      <w14:ligatures w14:val="standardContextual"/>
    </w:rPr>
  </w:style>
  <w:style w:type="character" w:customStyle="1" w:styleId="Char2">
    <w:name w:val="강한 인용 Char"/>
    <w:basedOn w:val="a0"/>
    <w:link w:val="a8"/>
    <w:uiPriority w:val="30"/>
    <w:rsid w:val="00D15B34"/>
    <w:rPr>
      <w:i/>
      <w:iCs/>
      <w:color w:val="0F4761" w:themeColor="accent1" w:themeShade="BF"/>
    </w:rPr>
  </w:style>
  <w:style w:type="character" w:styleId="a9">
    <w:name w:val="Intense Reference"/>
    <w:basedOn w:val="a0"/>
    <w:uiPriority w:val="32"/>
    <w:qFormat/>
    <w:rsid w:val="00D15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YEOKYUNG LEE</dc:creator>
  <cp:keywords/>
  <dc:description/>
  <cp:lastModifiedBy>YEOKYUNG LEE</cp:lastModifiedBy>
  <cp:revision>1</cp:revision>
  <dcterms:created xsi:type="dcterms:W3CDTF">2026-10-20T05:28:00Z</dcterms:created>
  <dcterms:modified xsi:type="dcterms:W3CDTF">2026-10-20T05:29:00Z</dcterms:modified>
</cp:coreProperties>
</file>